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5B67" w:rsidRPr="00090F1A" w:rsidRDefault="00735B67" w:rsidP="00735B67">
      <w:pPr>
        <w:spacing w:line="240" w:lineRule="auto"/>
        <w:rPr>
          <w:rFonts w:ascii="Arial" w:hAnsi="Arial" w:cs="Arial"/>
          <w:sz w:val="24"/>
          <w:szCs w:val="24"/>
        </w:rPr>
      </w:pPr>
      <w:bookmarkStart w:id="0" w:name="_GoBack"/>
      <w:r w:rsidRPr="00B65FC5">
        <w:rPr>
          <w:rFonts w:ascii="Arial" w:hAnsi="Arial" w:cs="Arial"/>
          <w:b/>
          <w:sz w:val="24"/>
          <w:szCs w:val="24"/>
        </w:rPr>
        <w:t xml:space="preserve">Supplemental Table </w:t>
      </w:r>
      <w:r w:rsidR="007021AA">
        <w:rPr>
          <w:rFonts w:ascii="Arial" w:hAnsi="Arial" w:cs="Arial"/>
          <w:b/>
          <w:sz w:val="24"/>
          <w:szCs w:val="24"/>
        </w:rPr>
        <w:t>3</w:t>
      </w:r>
      <w:r w:rsidRPr="00B65FC5">
        <w:rPr>
          <w:rFonts w:ascii="Arial" w:hAnsi="Arial" w:cs="Arial"/>
          <w:b/>
          <w:sz w:val="24"/>
          <w:szCs w:val="24"/>
        </w:rPr>
        <w:t xml:space="preserve">: </w:t>
      </w:r>
      <w:r w:rsidRPr="00090F1A">
        <w:rPr>
          <w:rFonts w:ascii="Arial" w:hAnsi="Arial" w:cs="Arial"/>
          <w:sz w:val="24"/>
          <w:szCs w:val="24"/>
        </w:rPr>
        <w:t>Explanation of Treatment Attributes</w:t>
      </w:r>
    </w:p>
    <w:bookmarkEnd w:id="0"/>
    <w:p w:rsidR="002258B8" w:rsidRDefault="002258B8"/>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2268"/>
        <w:gridCol w:w="6498"/>
      </w:tblGrid>
      <w:tr w:rsidR="00735B67" w:rsidRPr="00B65FC5" w:rsidTr="0082790D">
        <w:tc>
          <w:tcPr>
            <w:tcW w:w="2268" w:type="dxa"/>
            <w:tcBorders>
              <w:top w:val="single" w:sz="4" w:space="0" w:color="auto"/>
              <w:bottom w:val="single" w:sz="4" w:space="0" w:color="auto"/>
            </w:tcBorders>
          </w:tcPr>
          <w:p w:rsidR="00735B67" w:rsidRPr="00B65FC5" w:rsidRDefault="00735B67" w:rsidP="00090F1A">
            <w:pPr>
              <w:spacing w:line="240" w:lineRule="auto"/>
              <w:rPr>
                <w:rFonts w:ascii="Arial" w:hAnsi="Arial" w:cs="Arial"/>
                <w:sz w:val="24"/>
                <w:szCs w:val="24"/>
              </w:rPr>
            </w:pPr>
            <w:r w:rsidRPr="00B65FC5">
              <w:rPr>
                <w:rFonts w:ascii="Arial" w:hAnsi="Arial" w:cs="Arial"/>
                <w:sz w:val="24"/>
                <w:szCs w:val="24"/>
              </w:rPr>
              <w:t>Treatment attribute</w:t>
            </w:r>
          </w:p>
        </w:tc>
        <w:tc>
          <w:tcPr>
            <w:tcW w:w="6498" w:type="dxa"/>
            <w:tcBorders>
              <w:top w:val="single" w:sz="4" w:space="0" w:color="auto"/>
              <w:bottom w:val="single" w:sz="4" w:space="0" w:color="auto"/>
            </w:tcBorders>
          </w:tcPr>
          <w:p w:rsidR="00735B67" w:rsidRPr="00B65FC5" w:rsidRDefault="00735B67" w:rsidP="00090F1A">
            <w:pPr>
              <w:spacing w:line="240" w:lineRule="auto"/>
              <w:rPr>
                <w:rFonts w:ascii="Arial" w:hAnsi="Arial" w:cs="Arial"/>
                <w:sz w:val="24"/>
                <w:szCs w:val="24"/>
              </w:rPr>
            </w:pPr>
            <w:r w:rsidRPr="00B65FC5">
              <w:rPr>
                <w:rFonts w:ascii="Arial" w:hAnsi="Arial" w:cs="Arial"/>
                <w:sz w:val="24"/>
                <w:szCs w:val="24"/>
              </w:rPr>
              <w:t>Explanation</w:t>
            </w:r>
          </w:p>
        </w:tc>
      </w:tr>
      <w:tr w:rsidR="00735B67" w:rsidRPr="00B65FC5" w:rsidTr="0082790D">
        <w:trPr>
          <w:trHeight w:val="413"/>
        </w:trPr>
        <w:tc>
          <w:tcPr>
            <w:tcW w:w="2268" w:type="dxa"/>
            <w:tcBorders>
              <w:top w:val="single" w:sz="4" w:space="0" w:color="auto"/>
            </w:tcBorders>
          </w:tcPr>
          <w:p w:rsidR="00735B67" w:rsidRPr="00B65FC5" w:rsidRDefault="00735B67" w:rsidP="00090F1A">
            <w:pPr>
              <w:spacing w:line="240" w:lineRule="auto"/>
              <w:rPr>
                <w:rFonts w:ascii="Arial" w:hAnsi="Arial" w:cs="Arial"/>
                <w:sz w:val="24"/>
                <w:szCs w:val="24"/>
              </w:rPr>
            </w:pPr>
            <w:r>
              <w:rPr>
                <w:rFonts w:ascii="Arial" w:hAnsi="Arial" w:cs="Arial"/>
                <w:sz w:val="24"/>
                <w:szCs w:val="24"/>
              </w:rPr>
              <w:t>Time (months) until a complication of bone metastases</w:t>
            </w:r>
          </w:p>
        </w:tc>
        <w:tc>
          <w:tcPr>
            <w:tcW w:w="6498" w:type="dxa"/>
            <w:tcBorders>
              <w:top w:val="single" w:sz="4" w:space="0" w:color="auto"/>
            </w:tcBorders>
          </w:tcPr>
          <w:p w:rsidR="00735B67" w:rsidRPr="00B65FC5" w:rsidRDefault="00735B67" w:rsidP="00090F1A">
            <w:pPr>
              <w:pStyle w:val="bullet1"/>
              <w:numPr>
                <w:ilvl w:val="0"/>
                <w:numId w:val="0"/>
              </w:numPr>
              <w:spacing w:before="0"/>
              <w:rPr>
                <w:rFonts w:ascii="Arial" w:hAnsi="Arial" w:cs="Arial"/>
                <w:sz w:val="24"/>
                <w:szCs w:val="24"/>
              </w:rPr>
            </w:pPr>
            <w:r w:rsidRPr="00AA6883">
              <w:rPr>
                <w:rFonts w:ascii="Arial" w:hAnsi="Arial" w:cs="Arial"/>
                <w:sz w:val="24"/>
                <w:szCs w:val="24"/>
              </w:rPr>
              <w:t>A complication of bone metastases could be a fracture, radiation therapy to prevent a fracture and/or to treat bone pain, surgery to the bone to prevent fracture</w:t>
            </w:r>
            <w:r>
              <w:rPr>
                <w:rFonts w:ascii="Arial" w:hAnsi="Arial" w:cs="Arial"/>
                <w:sz w:val="24"/>
                <w:szCs w:val="24"/>
              </w:rPr>
              <w:t>, or</w:t>
            </w:r>
            <w:r w:rsidRPr="00AA6883">
              <w:rPr>
                <w:rFonts w:ascii="Arial" w:hAnsi="Arial" w:cs="Arial"/>
                <w:sz w:val="24"/>
                <w:szCs w:val="24"/>
              </w:rPr>
              <w:t xml:space="preserve"> increased pressure </w:t>
            </w:r>
            <w:r>
              <w:rPr>
                <w:rFonts w:ascii="Arial" w:hAnsi="Arial" w:cs="Arial"/>
                <w:sz w:val="24"/>
                <w:szCs w:val="24"/>
              </w:rPr>
              <w:t>to</w:t>
            </w:r>
            <w:r w:rsidRPr="00AA6883">
              <w:rPr>
                <w:rFonts w:ascii="Arial" w:hAnsi="Arial" w:cs="Arial"/>
                <w:sz w:val="24"/>
                <w:szCs w:val="24"/>
              </w:rPr>
              <w:t xml:space="preserve"> the spinal cord. Radiation therapy and pressure </w:t>
            </w:r>
            <w:r>
              <w:rPr>
                <w:rFonts w:ascii="Arial" w:hAnsi="Arial" w:cs="Arial"/>
                <w:sz w:val="24"/>
                <w:szCs w:val="24"/>
              </w:rPr>
              <w:t>to</w:t>
            </w:r>
            <w:r w:rsidRPr="00AA6883">
              <w:rPr>
                <w:rFonts w:ascii="Arial" w:hAnsi="Arial" w:cs="Arial"/>
                <w:sz w:val="24"/>
                <w:szCs w:val="24"/>
              </w:rPr>
              <w:t xml:space="preserve"> the spinal cord may lead to symptoms such as </w:t>
            </w:r>
            <w:r>
              <w:rPr>
                <w:rFonts w:ascii="Arial" w:hAnsi="Arial" w:cs="Arial"/>
                <w:sz w:val="24"/>
                <w:szCs w:val="24"/>
              </w:rPr>
              <w:t xml:space="preserve">weakness in the </w:t>
            </w:r>
            <w:r w:rsidRPr="00AA6883">
              <w:rPr>
                <w:rFonts w:ascii="Arial" w:hAnsi="Arial" w:cs="Arial"/>
                <w:sz w:val="24"/>
                <w:szCs w:val="24"/>
              </w:rPr>
              <w:t xml:space="preserve">legs, tiredness, </w:t>
            </w:r>
            <w:r>
              <w:rPr>
                <w:rFonts w:ascii="Arial" w:hAnsi="Arial" w:cs="Arial"/>
                <w:sz w:val="24"/>
                <w:szCs w:val="24"/>
              </w:rPr>
              <w:t xml:space="preserve">burning of the </w:t>
            </w:r>
            <w:r w:rsidRPr="00AA6883">
              <w:rPr>
                <w:rFonts w:ascii="Arial" w:hAnsi="Arial" w:cs="Arial"/>
                <w:sz w:val="24"/>
                <w:szCs w:val="24"/>
              </w:rPr>
              <w:t>skin</w:t>
            </w:r>
            <w:r>
              <w:rPr>
                <w:rFonts w:ascii="Arial" w:hAnsi="Arial" w:cs="Arial"/>
                <w:sz w:val="24"/>
                <w:szCs w:val="24"/>
              </w:rPr>
              <w:t xml:space="preserve"> and loss of control of the</w:t>
            </w:r>
            <w:r w:rsidRPr="00AA6883">
              <w:rPr>
                <w:rFonts w:ascii="Arial" w:hAnsi="Arial" w:cs="Arial"/>
                <w:sz w:val="24"/>
                <w:szCs w:val="24"/>
              </w:rPr>
              <w:t xml:space="preserve"> bladder or bowel. Treatment </w:t>
            </w:r>
            <w:r>
              <w:rPr>
                <w:rFonts w:ascii="Arial" w:hAnsi="Arial" w:cs="Arial"/>
                <w:sz w:val="24"/>
                <w:szCs w:val="24"/>
              </w:rPr>
              <w:t xml:space="preserve">with a bone-targeted agent </w:t>
            </w:r>
            <w:r w:rsidRPr="00AA6883">
              <w:rPr>
                <w:rFonts w:ascii="Arial" w:hAnsi="Arial" w:cs="Arial"/>
                <w:sz w:val="24"/>
                <w:szCs w:val="24"/>
              </w:rPr>
              <w:t>can help to delay these types of complications.</w:t>
            </w:r>
          </w:p>
        </w:tc>
      </w:tr>
      <w:tr w:rsidR="00735B67" w:rsidRPr="00B65FC5" w:rsidTr="0082790D">
        <w:trPr>
          <w:trHeight w:val="413"/>
        </w:trPr>
        <w:tc>
          <w:tcPr>
            <w:tcW w:w="2268" w:type="dxa"/>
          </w:tcPr>
          <w:p w:rsidR="00735B67" w:rsidRDefault="00735B67" w:rsidP="0082790D">
            <w:pPr>
              <w:rPr>
                <w:rFonts w:ascii="Arial" w:hAnsi="Arial" w:cs="Arial"/>
                <w:sz w:val="24"/>
                <w:szCs w:val="24"/>
              </w:rPr>
            </w:pPr>
            <w:r>
              <w:rPr>
                <w:rFonts w:ascii="Arial" w:hAnsi="Arial" w:cs="Arial"/>
                <w:sz w:val="24"/>
                <w:szCs w:val="24"/>
              </w:rPr>
              <w:t>Time (months) until worsening of pain</w:t>
            </w:r>
          </w:p>
          <w:p w:rsidR="00735B67" w:rsidRDefault="00735B67" w:rsidP="00090F1A">
            <w:pPr>
              <w:ind w:left="108"/>
              <w:rPr>
                <w:rFonts w:ascii="Arial" w:hAnsi="Arial" w:cs="Arial"/>
                <w:sz w:val="24"/>
                <w:szCs w:val="24"/>
              </w:rPr>
            </w:pPr>
          </w:p>
          <w:p w:rsidR="00735B67" w:rsidRPr="00B65FC5" w:rsidRDefault="00735B67" w:rsidP="00090F1A">
            <w:pPr>
              <w:spacing w:line="240" w:lineRule="auto"/>
              <w:rPr>
                <w:rFonts w:ascii="Arial" w:hAnsi="Arial" w:cs="Arial"/>
                <w:sz w:val="24"/>
                <w:szCs w:val="24"/>
              </w:rPr>
            </w:pPr>
            <w:r w:rsidRPr="00B65FC5">
              <w:rPr>
                <w:rFonts w:ascii="Arial" w:hAnsi="Arial" w:cs="Arial"/>
                <w:sz w:val="24"/>
                <w:szCs w:val="24"/>
              </w:rPr>
              <w:br w:type="page"/>
            </w:r>
          </w:p>
        </w:tc>
        <w:tc>
          <w:tcPr>
            <w:tcW w:w="6498" w:type="dxa"/>
          </w:tcPr>
          <w:p w:rsidR="00735B67" w:rsidRPr="00B65FC5" w:rsidRDefault="00735B67" w:rsidP="00090F1A">
            <w:pPr>
              <w:pStyle w:val="bullet1"/>
              <w:numPr>
                <w:ilvl w:val="0"/>
                <w:numId w:val="0"/>
              </w:numPr>
              <w:spacing w:before="0"/>
              <w:rPr>
                <w:rFonts w:ascii="Arial" w:hAnsi="Arial" w:cs="Arial"/>
                <w:sz w:val="24"/>
                <w:szCs w:val="24"/>
              </w:rPr>
            </w:pPr>
            <w:r>
              <w:rPr>
                <w:rFonts w:ascii="Arial" w:hAnsi="Arial" w:cs="Arial"/>
                <w:sz w:val="24"/>
                <w:szCs w:val="24"/>
              </w:rPr>
              <w:t>Pain due to bone metastases can keep a person from carrying out their usual daily activities such as walking outside and inside activities. Pain can increase in the future but, bone-targeted agents can help to delay the time until the pain worsens.</w:t>
            </w:r>
          </w:p>
        </w:tc>
      </w:tr>
      <w:tr w:rsidR="00735B67" w:rsidRPr="00B65FC5" w:rsidTr="0082790D">
        <w:trPr>
          <w:trHeight w:val="413"/>
        </w:trPr>
        <w:tc>
          <w:tcPr>
            <w:tcW w:w="2268" w:type="dxa"/>
          </w:tcPr>
          <w:p w:rsidR="00735B67" w:rsidRPr="00B65FC5" w:rsidRDefault="00735B67" w:rsidP="00090F1A">
            <w:pPr>
              <w:spacing w:line="240" w:lineRule="auto"/>
              <w:rPr>
                <w:rFonts w:ascii="Arial" w:hAnsi="Arial" w:cs="Arial"/>
                <w:sz w:val="24"/>
                <w:szCs w:val="24"/>
              </w:rPr>
            </w:pPr>
            <w:r>
              <w:rPr>
                <w:rFonts w:ascii="Arial" w:hAnsi="Arial" w:cs="Arial"/>
                <w:sz w:val="24"/>
                <w:szCs w:val="24"/>
              </w:rPr>
              <w:t>Risk of osteonecrosis of the jaw (ONJ)</w:t>
            </w:r>
          </w:p>
        </w:tc>
        <w:tc>
          <w:tcPr>
            <w:tcW w:w="6498" w:type="dxa"/>
          </w:tcPr>
          <w:p w:rsidR="00735B67" w:rsidRPr="00B65FC5" w:rsidRDefault="00735B67" w:rsidP="00090F1A">
            <w:pPr>
              <w:pStyle w:val="bullet1"/>
              <w:numPr>
                <w:ilvl w:val="0"/>
                <w:numId w:val="0"/>
              </w:numPr>
              <w:spacing w:before="0"/>
              <w:rPr>
                <w:rFonts w:ascii="Arial" w:hAnsi="Arial" w:cs="Arial"/>
                <w:sz w:val="24"/>
                <w:szCs w:val="24"/>
              </w:rPr>
            </w:pPr>
            <w:r w:rsidRPr="00B65FC5">
              <w:rPr>
                <w:rFonts w:ascii="Arial" w:hAnsi="Arial" w:cs="Arial"/>
                <w:sz w:val="24"/>
                <w:szCs w:val="24"/>
              </w:rPr>
              <w:t>Occurring when the bone in the jaw, inside the mouth, is exposed, usually after a tooth is removed. ONJ can occur even if a person has false teeth and it can be painful and include other symptoms such as numbness, swelling and a feeling of heaviness of the jaw. The condition could improve with treatment, but that healing was not guaranteed.</w:t>
            </w:r>
          </w:p>
        </w:tc>
      </w:tr>
      <w:tr w:rsidR="00735B67" w:rsidRPr="00B65FC5" w:rsidTr="0082790D">
        <w:tc>
          <w:tcPr>
            <w:tcW w:w="2268" w:type="dxa"/>
          </w:tcPr>
          <w:p w:rsidR="00735B67" w:rsidRPr="00B65FC5" w:rsidRDefault="00735B67" w:rsidP="00090F1A">
            <w:pPr>
              <w:spacing w:line="240" w:lineRule="auto"/>
              <w:rPr>
                <w:rFonts w:ascii="Arial" w:hAnsi="Arial" w:cs="Arial"/>
                <w:sz w:val="24"/>
                <w:szCs w:val="24"/>
              </w:rPr>
            </w:pPr>
            <w:r>
              <w:rPr>
                <w:rFonts w:ascii="Arial" w:hAnsi="Arial" w:cs="Arial"/>
                <w:sz w:val="24"/>
                <w:szCs w:val="24"/>
              </w:rPr>
              <w:t>Risk of r</w:t>
            </w:r>
            <w:r w:rsidRPr="00B65FC5">
              <w:rPr>
                <w:rFonts w:ascii="Arial" w:hAnsi="Arial" w:cs="Arial"/>
                <w:sz w:val="24"/>
                <w:szCs w:val="24"/>
              </w:rPr>
              <w:t>enal Impairment</w:t>
            </w:r>
          </w:p>
        </w:tc>
        <w:tc>
          <w:tcPr>
            <w:tcW w:w="6498" w:type="dxa"/>
          </w:tcPr>
          <w:p w:rsidR="00735B67" w:rsidRPr="00B65FC5" w:rsidRDefault="00735B67" w:rsidP="00090F1A">
            <w:pPr>
              <w:pStyle w:val="bullet1"/>
              <w:numPr>
                <w:ilvl w:val="0"/>
                <w:numId w:val="0"/>
              </w:numPr>
              <w:spacing w:before="0"/>
              <w:rPr>
                <w:rFonts w:ascii="Arial" w:hAnsi="Arial" w:cs="Arial"/>
                <w:sz w:val="24"/>
                <w:szCs w:val="24"/>
              </w:rPr>
            </w:pPr>
            <w:r w:rsidRPr="00B65FC5">
              <w:rPr>
                <w:rFonts w:ascii="Arial" w:hAnsi="Arial" w:cs="Arial"/>
                <w:sz w:val="24"/>
                <w:szCs w:val="24"/>
              </w:rPr>
              <w:t xml:space="preserve">Occurring when the kidneys do not work as well as they should, excess waste can build up in the body and blood, resulting in lack of energy. Assessment of renal impairment requires a blood test and that renal impairment may require changes to the chemotherapy dose that can affect efficacy of treatment. </w:t>
            </w:r>
          </w:p>
        </w:tc>
      </w:tr>
      <w:tr w:rsidR="00735B67" w:rsidRPr="00B65FC5" w:rsidTr="0082790D">
        <w:tc>
          <w:tcPr>
            <w:tcW w:w="2268" w:type="dxa"/>
          </w:tcPr>
          <w:p w:rsidR="00735B67" w:rsidRPr="00025B20" w:rsidRDefault="00735B67" w:rsidP="0082790D">
            <w:pPr>
              <w:rPr>
                <w:rFonts w:ascii="Arial" w:hAnsi="Arial" w:cs="Arial"/>
                <w:sz w:val="24"/>
                <w:szCs w:val="24"/>
              </w:rPr>
            </w:pPr>
            <w:r w:rsidRPr="00025B20">
              <w:rPr>
                <w:rFonts w:ascii="Arial" w:hAnsi="Arial" w:cs="Arial"/>
                <w:sz w:val="24"/>
                <w:szCs w:val="24"/>
              </w:rPr>
              <w:t>Mode of administration</w:t>
            </w:r>
          </w:p>
          <w:p w:rsidR="00735B67" w:rsidRDefault="00735B67" w:rsidP="00090F1A">
            <w:pPr>
              <w:ind w:left="108"/>
              <w:rPr>
                <w:rFonts w:ascii="Arial" w:hAnsi="Arial" w:cs="Arial"/>
                <w:b/>
                <w:sz w:val="24"/>
                <w:szCs w:val="24"/>
              </w:rPr>
            </w:pPr>
          </w:p>
          <w:p w:rsidR="00735B67" w:rsidRDefault="00735B67" w:rsidP="00090F1A">
            <w:pPr>
              <w:ind w:left="108"/>
              <w:rPr>
                <w:rFonts w:ascii="Arial" w:hAnsi="Arial" w:cs="Arial"/>
                <w:b/>
                <w:sz w:val="24"/>
                <w:szCs w:val="24"/>
              </w:rPr>
            </w:pPr>
          </w:p>
          <w:p w:rsidR="00735B67" w:rsidRPr="00B65FC5" w:rsidRDefault="00735B67" w:rsidP="00090F1A">
            <w:pPr>
              <w:spacing w:line="240" w:lineRule="auto"/>
              <w:rPr>
                <w:rFonts w:ascii="Arial" w:hAnsi="Arial" w:cs="Arial"/>
                <w:sz w:val="24"/>
                <w:szCs w:val="24"/>
              </w:rPr>
            </w:pPr>
          </w:p>
        </w:tc>
        <w:tc>
          <w:tcPr>
            <w:tcW w:w="6498" w:type="dxa"/>
          </w:tcPr>
          <w:p w:rsidR="00735B67" w:rsidRDefault="00735B67" w:rsidP="00090F1A">
            <w:pPr>
              <w:spacing w:line="240" w:lineRule="auto"/>
              <w:rPr>
                <w:rFonts w:ascii="Arial" w:hAnsi="Arial" w:cs="Arial"/>
                <w:sz w:val="24"/>
                <w:szCs w:val="24"/>
              </w:rPr>
            </w:pPr>
            <w:r>
              <w:rPr>
                <w:rFonts w:ascii="Arial" w:hAnsi="Arial" w:cs="Arial"/>
                <w:sz w:val="24"/>
                <w:szCs w:val="24"/>
              </w:rPr>
              <w:t xml:space="preserve">Treatments to delay bone complications can be taken as: </w:t>
            </w:r>
          </w:p>
          <w:p w:rsidR="00735B67" w:rsidRDefault="00735B67" w:rsidP="00735B67">
            <w:pPr>
              <w:pStyle w:val="ListParagraph"/>
              <w:numPr>
                <w:ilvl w:val="0"/>
                <w:numId w:val="2"/>
              </w:numPr>
              <w:ind w:left="342" w:hanging="342"/>
              <w:rPr>
                <w:rFonts w:ascii="Arial" w:hAnsi="Arial" w:cs="Arial"/>
              </w:rPr>
            </w:pPr>
            <w:r>
              <w:rPr>
                <w:rFonts w:ascii="Arial" w:hAnsi="Arial" w:cs="Arial"/>
              </w:rPr>
              <w:t>Daily oral tablet, once a day in the morning at least 60 minutes before eating or drinking, not combined with other medicines or vitamins and waiting at least 60 minutes after taking the tablet before lying down.</w:t>
            </w:r>
          </w:p>
          <w:p w:rsidR="00735B67" w:rsidRDefault="00735B67" w:rsidP="00735B67">
            <w:pPr>
              <w:pStyle w:val="ListParagraph"/>
              <w:numPr>
                <w:ilvl w:val="0"/>
                <w:numId w:val="2"/>
              </w:numPr>
              <w:ind w:left="342" w:hanging="342"/>
              <w:rPr>
                <w:rFonts w:ascii="Arial" w:hAnsi="Arial" w:cs="Arial"/>
              </w:rPr>
            </w:pPr>
            <w:r>
              <w:rPr>
                <w:rFonts w:ascii="Arial" w:hAnsi="Arial" w:cs="Arial"/>
              </w:rPr>
              <w:t xml:space="preserve">Injection every 4 weeks at doctor’s office, hospital or clinic, where a nurse will insert a needle in the skin. Mild pain, redness and swelling might occur at the place where the medicine was injected. </w:t>
            </w:r>
          </w:p>
          <w:p w:rsidR="00735B67" w:rsidRPr="00B65FC5" w:rsidRDefault="00735B67" w:rsidP="00735B67">
            <w:pPr>
              <w:pStyle w:val="ListParagraph"/>
              <w:numPr>
                <w:ilvl w:val="0"/>
                <w:numId w:val="2"/>
              </w:numPr>
              <w:ind w:left="342" w:hanging="342"/>
              <w:rPr>
                <w:rFonts w:ascii="Arial" w:hAnsi="Arial" w:cs="Arial"/>
              </w:rPr>
            </w:pPr>
            <w:r>
              <w:rPr>
                <w:rFonts w:ascii="Arial" w:hAnsi="Arial" w:cs="Arial"/>
              </w:rPr>
              <w:t xml:space="preserve">Infusion every 4 weeks, at doctor’s office, hospital or clinic, where a nurse will insert a needle or install a catheter attached to the bag filled with liquid medicine. </w:t>
            </w:r>
            <w:r>
              <w:rPr>
                <w:rFonts w:ascii="Arial" w:hAnsi="Arial" w:cs="Arial"/>
              </w:rPr>
              <w:lastRenderedPageBreak/>
              <w:t xml:space="preserve">The infusion time may take 15 minutes or 120 minutes (2 hours). After the infusion, some people might have flu-like symptoms, such as fever, chills, headache, muscle aches and </w:t>
            </w:r>
            <w:proofErr w:type="gramStart"/>
            <w:r>
              <w:rPr>
                <w:rFonts w:ascii="Arial" w:hAnsi="Arial" w:cs="Arial"/>
              </w:rPr>
              <w:t>tiredness, that</w:t>
            </w:r>
            <w:proofErr w:type="gramEnd"/>
            <w:r>
              <w:rPr>
                <w:rFonts w:ascii="Arial" w:hAnsi="Arial" w:cs="Arial"/>
              </w:rPr>
              <w:t xml:space="preserve"> can last up to 24 hours after each infusion.  </w:t>
            </w:r>
          </w:p>
        </w:tc>
      </w:tr>
    </w:tbl>
    <w:p w:rsidR="00735B67" w:rsidRDefault="00735B67"/>
    <w:sectPr w:rsidR="00735B6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2D8" w:rsidRDefault="00A162D8" w:rsidP="00241AE1">
      <w:pPr>
        <w:spacing w:line="240" w:lineRule="auto"/>
      </w:pPr>
      <w:r>
        <w:separator/>
      </w:r>
    </w:p>
  </w:endnote>
  <w:endnote w:type="continuationSeparator" w:id="0">
    <w:p w:rsidR="00A162D8" w:rsidRDefault="00A162D8" w:rsidP="00241A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AE1" w:rsidRDefault="00241AE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AE1" w:rsidRDefault="00241A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AE1" w:rsidRDefault="00241A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2D8" w:rsidRDefault="00A162D8" w:rsidP="00241AE1">
      <w:pPr>
        <w:spacing w:line="240" w:lineRule="auto"/>
      </w:pPr>
      <w:r>
        <w:separator/>
      </w:r>
    </w:p>
  </w:footnote>
  <w:footnote w:type="continuationSeparator" w:id="0">
    <w:p w:rsidR="00A162D8" w:rsidRDefault="00A162D8" w:rsidP="00241AE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AE1" w:rsidRDefault="00241AE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AE1" w:rsidRDefault="00241A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AE1" w:rsidRDefault="00241A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3A04"/>
    <w:multiLevelType w:val="hybridMultilevel"/>
    <w:tmpl w:val="0A8C1C82"/>
    <w:lvl w:ilvl="0" w:tplc="C0A63298">
      <w:start w:val="1"/>
      <w:numFmt w:val="bullet"/>
      <w:pStyle w:val="bullet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Narro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Narro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2905987"/>
    <w:multiLevelType w:val="hybridMultilevel"/>
    <w:tmpl w:val="4686D7AE"/>
    <w:lvl w:ilvl="0" w:tplc="F4D2CB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5B67"/>
    <w:rsid w:val="002258B8"/>
    <w:rsid w:val="00241AE1"/>
    <w:rsid w:val="007021AA"/>
    <w:rsid w:val="00735B67"/>
    <w:rsid w:val="0082790D"/>
    <w:rsid w:val="00A162D8"/>
    <w:rsid w:val="00D04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B67"/>
    <w:pPr>
      <w:spacing w:after="0" w:line="320" w:lineRule="exact"/>
    </w:pPr>
    <w:rPr>
      <w:rFonts w:ascii="Verdana" w:eastAsia="Times New Roman" w:hAnsi="Verdana" w:cs="Times New Roman"/>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5B67"/>
    <w:pPr>
      <w:spacing w:after="0" w:line="320" w:lineRule="exact"/>
    </w:pPr>
    <w:rPr>
      <w:rFonts w:ascii="New York" w:eastAsia="Times New Roman" w:hAnsi="New York"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
    <w:name w:val="bullet 1"/>
    <w:basedOn w:val="Normal"/>
    <w:link w:val="bullet1Char"/>
    <w:rsid w:val="00735B67"/>
    <w:pPr>
      <w:numPr>
        <w:numId w:val="1"/>
      </w:numPr>
      <w:spacing w:before="120" w:line="300" w:lineRule="exact"/>
    </w:pPr>
  </w:style>
  <w:style w:type="character" w:customStyle="1" w:styleId="bullet1Char">
    <w:name w:val="bullet 1 Char"/>
    <w:link w:val="bullet1"/>
    <w:rsid w:val="00735B67"/>
    <w:rPr>
      <w:rFonts w:ascii="Verdana" w:eastAsia="Times New Roman" w:hAnsi="Verdana" w:cs="Times New Roman"/>
      <w:sz w:val="18"/>
      <w:szCs w:val="20"/>
      <w:lang w:val="en-GB"/>
    </w:rPr>
  </w:style>
  <w:style w:type="paragraph" w:styleId="ListParagraph">
    <w:name w:val="List Paragraph"/>
    <w:basedOn w:val="Normal"/>
    <w:uiPriority w:val="34"/>
    <w:qFormat/>
    <w:rsid w:val="00735B67"/>
    <w:pPr>
      <w:spacing w:line="240" w:lineRule="auto"/>
      <w:ind w:left="720"/>
      <w:contextualSpacing/>
    </w:pPr>
    <w:rPr>
      <w:rFonts w:ascii="Times New Roman" w:hAnsi="Times New Roman"/>
      <w:sz w:val="24"/>
      <w:szCs w:val="24"/>
    </w:rPr>
  </w:style>
  <w:style w:type="paragraph" w:styleId="BalloonText">
    <w:name w:val="Balloon Text"/>
    <w:basedOn w:val="Normal"/>
    <w:link w:val="BalloonTextChar"/>
    <w:uiPriority w:val="99"/>
    <w:semiHidden/>
    <w:unhideWhenUsed/>
    <w:rsid w:val="00D041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103"/>
    <w:rPr>
      <w:rFonts w:ascii="Tahoma" w:eastAsia="Times New Roman" w:hAnsi="Tahoma" w:cs="Tahoma"/>
      <w:sz w:val="16"/>
      <w:szCs w:val="16"/>
      <w:lang w:val="en-GB"/>
    </w:rPr>
  </w:style>
  <w:style w:type="paragraph" w:styleId="Header">
    <w:name w:val="header"/>
    <w:basedOn w:val="Normal"/>
    <w:link w:val="HeaderChar"/>
    <w:uiPriority w:val="99"/>
    <w:unhideWhenUsed/>
    <w:rsid w:val="00241AE1"/>
    <w:pPr>
      <w:tabs>
        <w:tab w:val="center" w:pos="4680"/>
        <w:tab w:val="right" w:pos="9360"/>
      </w:tabs>
      <w:spacing w:line="240" w:lineRule="auto"/>
    </w:pPr>
  </w:style>
  <w:style w:type="character" w:customStyle="1" w:styleId="HeaderChar">
    <w:name w:val="Header Char"/>
    <w:basedOn w:val="DefaultParagraphFont"/>
    <w:link w:val="Header"/>
    <w:uiPriority w:val="99"/>
    <w:rsid w:val="00241AE1"/>
    <w:rPr>
      <w:rFonts w:ascii="Verdana" w:eastAsia="Times New Roman" w:hAnsi="Verdana" w:cs="Times New Roman"/>
      <w:sz w:val="18"/>
      <w:szCs w:val="20"/>
      <w:lang w:val="en-GB"/>
    </w:rPr>
  </w:style>
  <w:style w:type="paragraph" w:styleId="Footer">
    <w:name w:val="footer"/>
    <w:basedOn w:val="Normal"/>
    <w:link w:val="FooterChar"/>
    <w:uiPriority w:val="99"/>
    <w:unhideWhenUsed/>
    <w:rsid w:val="00241AE1"/>
    <w:pPr>
      <w:tabs>
        <w:tab w:val="center" w:pos="4680"/>
        <w:tab w:val="right" w:pos="9360"/>
      </w:tabs>
      <w:spacing w:line="240" w:lineRule="auto"/>
    </w:pPr>
  </w:style>
  <w:style w:type="character" w:customStyle="1" w:styleId="FooterChar">
    <w:name w:val="Footer Char"/>
    <w:basedOn w:val="DefaultParagraphFont"/>
    <w:link w:val="Footer"/>
    <w:uiPriority w:val="99"/>
    <w:rsid w:val="00241AE1"/>
    <w:rPr>
      <w:rFonts w:ascii="Verdana" w:eastAsia="Times New Roman" w:hAnsi="Verdana" w:cs="Times New Roman"/>
      <w:sz w:val="18"/>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B67"/>
    <w:pPr>
      <w:spacing w:after="0" w:line="320" w:lineRule="exact"/>
    </w:pPr>
    <w:rPr>
      <w:rFonts w:ascii="Verdana" w:eastAsia="Times New Roman" w:hAnsi="Verdana" w:cs="Times New Roman"/>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5B67"/>
    <w:pPr>
      <w:spacing w:after="0" w:line="320" w:lineRule="exact"/>
    </w:pPr>
    <w:rPr>
      <w:rFonts w:ascii="New York" w:eastAsia="Times New Roman" w:hAnsi="New York"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1">
    <w:name w:val="bullet 1"/>
    <w:basedOn w:val="Normal"/>
    <w:link w:val="bullet1Char"/>
    <w:rsid w:val="00735B67"/>
    <w:pPr>
      <w:numPr>
        <w:numId w:val="1"/>
      </w:numPr>
      <w:spacing w:before="120" w:line="300" w:lineRule="exact"/>
    </w:pPr>
  </w:style>
  <w:style w:type="character" w:customStyle="1" w:styleId="bullet1Char">
    <w:name w:val="bullet 1 Char"/>
    <w:link w:val="bullet1"/>
    <w:rsid w:val="00735B67"/>
    <w:rPr>
      <w:rFonts w:ascii="Verdana" w:eastAsia="Times New Roman" w:hAnsi="Verdana" w:cs="Times New Roman"/>
      <w:sz w:val="18"/>
      <w:szCs w:val="20"/>
      <w:lang w:val="en-GB"/>
    </w:rPr>
  </w:style>
  <w:style w:type="paragraph" w:styleId="ListParagraph">
    <w:name w:val="List Paragraph"/>
    <w:basedOn w:val="Normal"/>
    <w:uiPriority w:val="34"/>
    <w:qFormat/>
    <w:rsid w:val="00735B67"/>
    <w:pPr>
      <w:spacing w:line="240" w:lineRule="auto"/>
      <w:ind w:left="720"/>
      <w:contextualSpacing/>
    </w:pPr>
    <w:rPr>
      <w:rFonts w:ascii="Times New Roman" w:hAnsi="Times New Roman"/>
      <w:sz w:val="24"/>
      <w:szCs w:val="24"/>
    </w:rPr>
  </w:style>
  <w:style w:type="paragraph" w:styleId="BalloonText">
    <w:name w:val="Balloon Text"/>
    <w:basedOn w:val="Normal"/>
    <w:link w:val="BalloonTextChar"/>
    <w:uiPriority w:val="99"/>
    <w:semiHidden/>
    <w:unhideWhenUsed/>
    <w:rsid w:val="00D041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4103"/>
    <w:rPr>
      <w:rFonts w:ascii="Tahoma" w:eastAsia="Times New Roman" w:hAnsi="Tahoma" w:cs="Tahoma"/>
      <w:sz w:val="16"/>
      <w:szCs w:val="16"/>
      <w:lang w:val="en-GB"/>
    </w:rPr>
  </w:style>
  <w:style w:type="paragraph" w:styleId="Header">
    <w:name w:val="header"/>
    <w:basedOn w:val="Normal"/>
    <w:link w:val="HeaderChar"/>
    <w:uiPriority w:val="99"/>
    <w:unhideWhenUsed/>
    <w:rsid w:val="00241AE1"/>
    <w:pPr>
      <w:tabs>
        <w:tab w:val="center" w:pos="4680"/>
        <w:tab w:val="right" w:pos="9360"/>
      </w:tabs>
      <w:spacing w:line="240" w:lineRule="auto"/>
    </w:pPr>
  </w:style>
  <w:style w:type="character" w:customStyle="1" w:styleId="HeaderChar">
    <w:name w:val="Header Char"/>
    <w:basedOn w:val="DefaultParagraphFont"/>
    <w:link w:val="Header"/>
    <w:uiPriority w:val="99"/>
    <w:rsid w:val="00241AE1"/>
    <w:rPr>
      <w:rFonts w:ascii="Verdana" w:eastAsia="Times New Roman" w:hAnsi="Verdana" w:cs="Times New Roman"/>
      <w:sz w:val="18"/>
      <w:szCs w:val="20"/>
      <w:lang w:val="en-GB"/>
    </w:rPr>
  </w:style>
  <w:style w:type="paragraph" w:styleId="Footer">
    <w:name w:val="footer"/>
    <w:basedOn w:val="Normal"/>
    <w:link w:val="FooterChar"/>
    <w:uiPriority w:val="99"/>
    <w:unhideWhenUsed/>
    <w:rsid w:val="00241AE1"/>
    <w:pPr>
      <w:tabs>
        <w:tab w:val="center" w:pos="4680"/>
        <w:tab w:val="right" w:pos="9360"/>
      </w:tabs>
      <w:spacing w:line="240" w:lineRule="auto"/>
    </w:pPr>
  </w:style>
  <w:style w:type="character" w:customStyle="1" w:styleId="FooterChar">
    <w:name w:val="Footer Char"/>
    <w:basedOn w:val="DefaultParagraphFont"/>
    <w:link w:val="Footer"/>
    <w:uiPriority w:val="99"/>
    <w:rsid w:val="00241AE1"/>
    <w:rPr>
      <w:rFonts w:ascii="Verdana" w:eastAsia="Times New Roman" w:hAnsi="Verdana"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2014-02-27T14:56:00Z</dcterms:created>
  <dcterms:modified xsi:type="dcterms:W3CDTF">2014-06-10T11:34:00Z</dcterms:modified>
</cp:coreProperties>
</file>