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5AF" w:rsidRPr="00AA55AF" w:rsidRDefault="00AA55AF" w:rsidP="00AA55AF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A55AF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ONLINE RESOURCE 1</w:t>
      </w:r>
      <w:r w:rsidRPr="00AA55AF">
        <w:rPr>
          <w:rFonts w:ascii="Times New Roman" w:eastAsia="Times New Roman" w:hAnsi="Times New Roman" w:cs="Times New Roman"/>
          <w:bCs/>
          <w:caps/>
          <w:sz w:val="20"/>
          <w:szCs w:val="20"/>
        </w:rPr>
        <w:t xml:space="preserve"> WHO-ATC DRUG CLASSIFICATIONS </w:t>
      </w:r>
    </w:p>
    <w:p w:rsidR="00CC362A" w:rsidRDefault="00CC362A" w:rsidP="00F21EBC">
      <w:pPr>
        <w:spacing w:line="480" w:lineRule="auto"/>
        <w:jc w:val="both"/>
        <w:rPr>
          <w:rFonts w:ascii="Calibri" w:eastAsia="Times New Roman" w:hAnsi="Calibri" w:cs="Times New Roman"/>
          <w:b/>
          <w:bCs/>
          <w:caps/>
          <w:sz w:val="20"/>
          <w:szCs w:val="20"/>
        </w:rPr>
      </w:pPr>
    </w:p>
    <w:tbl>
      <w:tblPr>
        <w:tblStyle w:val="TableGrid1"/>
        <w:tblpPr w:leftFromText="180" w:rightFromText="180" w:vertAnchor="page" w:horzAnchor="margin" w:tblpY="2413"/>
        <w:tblW w:w="34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8" w:type="dxa"/>
          <w:right w:w="43" w:type="dxa"/>
        </w:tblCellMar>
        <w:tblLook w:val="04A0" w:firstRow="1" w:lastRow="0" w:firstColumn="1" w:lastColumn="0" w:noHBand="0" w:noVBand="1"/>
      </w:tblPr>
      <w:tblGrid>
        <w:gridCol w:w="3689"/>
        <w:gridCol w:w="2694"/>
      </w:tblGrid>
      <w:tr w:rsidR="00AA55AF" w:rsidRPr="00AA55AF" w:rsidTr="00AA55AF">
        <w:trPr>
          <w:trHeight w:val="288"/>
        </w:trPr>
        <w:tc>
          <w:tcPr>
            <w:tcW w:w="28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  <w:b/>
              </w:rPr>
            </w:pPr>
            <w:r w:rsidRPr="00AA55AF">
              <w:rPr>
                <w:rFonts w:ascii="Times New Roman" w:hAnsi="Times New Roman" w:cs="Times New Roman"/>
                <w:b/>
              </w:rPr>
              <w:t xml:space="preserve">Drug Exposures 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A55AF">
              <w:rPr>
                <w:rFonts w:ascii="Times New Roman" w:hAnsi="Times New Roman" w:cs="Times New Roman"/>
                <w:b/>
              </w:rPr>
              <w:t xml:space="preserve">WHO ATC Drug Codes </w:t>
            </w:r>
          </w:p>
        </w:tc>
      </w:tr>
      <w:tr w:rsidR="00AA55AF" w:rsidRPr="00AA55AF" w:rsidTr="00AA55AF">
        <w:trPr>
          <w:trHeight w:val="20"/>
        </w:trPr>
        <w:tc>
          <w:tcPr>
            <w:tcW w:w="2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</w:p>
        </w:tc>
      </w:tr>
      <w:tr w:rsidR="00AA55AF" w:rsidRPr="00AA55AF" w:rsidTr="00AA55AF">
        <w:trPr>
          <w:trHeight w:val="20"/>
        </w:trPr>
        <w:tc>
          <w:tcPr>
            <w:tcW w:w="2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  <w:b/>
              </w:rPr>
            </w:pPr>
            <w:r w:rsidRPr="00AA55AF">
              <w:rPr>
                <w:rFonts w:ascii="Times New Roman" w:hAnsi="Times New Roman" w:cs="Times New Roman"/>
                <w:b/>
              </w:rPr>
              <w:t xml:space="preserve">Hydrophilic Statin </w:t>
            </w:r>
          </w:p>
        </w:tc>
        <w:tc>
          <w:tcPr>
            <w:tcW w:w="21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</w:p>
        </w:tc>
      </w:tr>
      <w:tr w:rsidR="00AA55AF" w:rsidRPr="00AA55AF" w:rsidTr="00AA55AF">
        <w:trPr>
          <w:trHeight w:val="20"/>
        </w:trPr>
        <w:tc>
          <w:tcPr>
            <w:tcW w:w="2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Pravastatin</w:t>
            </w:r>
          </w:p>
        </w:tc>
        <w:tc>
          <w:tcPr>
            <w:tcW w:w="21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  <w:lang w:val="en-IE"/>
              </w:rPr>
              <w:t>C10AA03</w:t>
            </w:r>
          </w:p>
        </w:tc>
      </w:tr>
      <w:tr w:rsidR="00AA55AF" w:rsidRPr="00AA55AF" w:rsidTr="00AA55AF">
        <w:trPr>
          <w:trHeight w:val="20"/>
        </w:trPr>
        <w:tc>
          <w:tcPr>
            <w:tcW w:w="2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proofErr w:type="spellStart"/>
            <w:r w:rsidRPr="00AA55AF">
              <w:rPr>
                <w:rFonts w:ascii="Times New Roman" w:hAnsi="Times New Roman" w:cs="Times New Roman"/>
              </w:rPr>
              <w:t>Rosuvastatin</w:t>
            </w:r>
            <w:proofErr w:type="spellEnd"/>
          </w:p>
        </w:tc>
        <w:tc>
          <w:tcPr>
            <w:tcW w:w="21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  <w:lang w:val="en-IE"/>
              </w:rPr>
              <w:t>C10AA07</w:t>
            </w:r>
          </w:p>
        </w:tc>
      </w:tr>
      <w:tr w:rsidR="00AA55AF" w:rsidRPr="00AA55AF" w:rsidTr="00AA55AF">
        <w:trPr>
          <w:trHeight w:val="20"/>
        </w:trPr>
        <w:tc>
          <w:tcPr>
            <w:tcW w:w="2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 xml:space="preserve">Pravastatin and Acetylsalicylic acid </w:t>
            </w:r>
          </w:p>
        </w:tc>
        <w:tc>
          <w:tcPr>
            <w:tcW w:w="21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  <w:lang w:val="en-IE"/>
              </w:rPr>
              <w:t>C10BX02</w:t>
            </w:r>
          </w:p>
        </w:tc>
      </w:tr>
      <w:tr w:rsidR="00AA55AF" w:rsidRPr="00AA55AF" w:rsidTr="00AA55AF">
        <w:trPr>
          <w:trHeight w:val="20"/>
        </w:trPr>
        <w:tc>
          <w:tcPr>
            <w:tcW w:w="2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</w:p>
        </w:tc>
      </w:tr>
      <w:tr w:rsidR="00AA55AF" w:rsidRPr="00AA55AF" w:rsidTr="00AA55AF">
        <w:trPr>
          <w:trHeight w:val="20"/>
        </w:trPr>
        <w:tc>
          <w:tcPr>
            <w:tcW w:w="2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  <w:b/>
              </w:rPr>
            </w:pPr>
            <w:r w:rsidRPr="00AA55AF">
              <w:rPr>
                <w:rFonts w:ascii="Times New Roman" w:hAnsi="Times New Roman" w:cs="Times New Roman"/>
                <w:b/>
              </w:rPr>
              <w:t>Lipophilic Statin</w:t>
            </w:r>
          </w:p>
        </w:tc>
        <w:tc>
          <w:tcPr>
            <w:tcW w:w="21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</w:p>
        </w:tc>
      </w:tr>
      <w:tr w:rsidR="00AA55AF" w:rsidRPr="00AA55AF" w:rsidTr="00AA55AF">
        <w:trPr>
          <w:trHeight w:val="20"/>
        </w:trPr>
        <w:tc>
          <w:tcPr>
            <w:tcW w:w="2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 xml:space="preserve">Simvastatin </w:t>
            </w:r>
          </w:p>
        </w:tc>
        <w:tc>
          <w:tcPr>
            <w:tcW w:w="21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C10AA01</w:t>
            </w:r>
          </w:p>
        </w:tc>
      </w:tr>
      <w:tr w:rsidR="00AA55AF" w:rsidRPr="00AA55AF" w:rsidTr="00AA55AF">
        <w:trPr>
          <w:trHeight w:val="20"/>
        </w:trPr>
        <w:tc>
          <w:tcPr>
            <w:tcW w:w="2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Lovastatin</w:t>
            </w:r>
          </w:p>
        </w:tc>
        <w:tc>
          <w:tcPr>
            <w:tcW w:w="21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C10AA02</w:t>
            </w:r>
          </w:p>
        </w:tc>
      </w:tr>
      <w:tr w:rsidR="00AA55AF" w:rsidRPr="00AA55AF" w:rsidTr="00AA55AF">
        <w:trPr>
          <w:trHeight w:val="20"/>
        </w:trPr>
        <w:tc>
          <w:tcPr>
            <w:tcW w:w="2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proofErr w:type="spellStart"/>
            <w:r w:rsidRPr="00AA55AF">
              <w:rPr>
                <w:rFonts w:ascii="Times New Roman" w:hAnsi="Times New Roman" w:cs="Times New Roman"/>
              </w:rPr>
              <w:t>Fluvastatin</w:t>
            </w:r>
            <w:proofErr w:type="spellEnd"/>
          </w:p>
        </w:tc>
        <w:tc>
          <w:tcPr>
            <w:tcW w:w="21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C10AA04</w:t>
            </w:r>
          </w:p>
        </w:tc>
      </w:tr>
      <w:tr w:rsidR="00AA55AF" w:rsidRPr="00AA55AF" w:rsidTr="00AA55AF">
        <w:trPr>
          <w:trHeight w:val="20"/>
        </w:trPr>
        <w:tc>
          <w:tcPr>
            <w:tcW w:w="2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proofErr w:type="spellStart"/>
            <w:r w:rsidRPr="00AA55AF">
              <w:rPr>
                <w:rFonts w:ascii="Times New Roman" w:hAnsi="Times New Roman" w:cs="Times New Roman"/>
              </w:rPr>
              <w:t>Cerivastatin</w:t>
            </w:r>
            <w:proofErr w:type="spellEnd"/>
          </w:p>
        </w:tc>
        <w:tc>
          <w:tcPr>
            <w:tcW w:w="21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C10AA06</w:t>
            </w:r>
          </w:p>
        </w:tc>
      </w:tr>
      <w:tr w:rsidR="00AA55AF" w:rsidRPr="00AA55AF" w:rsidTr="00AA55AF">
        <w:trPr>
          <w:trHeight w:val="20"/>
        </w:trPr>
        <w:tc>
          <w:tcPr>
            <w:tcW w:w="2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HMG-</w:t>
            </w:r>
            <w:proofErr w:type="spellStart"/>
            <w:r w:rsidRPr="00AA55AF">
              <w:rPr>
                <w:rFonts w:ascii="Times New Roman" w:hAnsi="Times New Roman" w:cs="Times New Roman"/>
              </w:rPr>
              <w:t>CoAR</w:t>
            </w:r>
            <w:proofErr w:type="spellEnd"/>
            <w:r w:rsidRPr="00AA55AF">
              <w:rPr>
                <w:rFonts w:ascii="Times New Roman" w:hAnsi="Times New Roman" w:cs="Times New Roman"/>
              </w:rPr>
              <w:t xml:space="preserve"> inhibitors in combination with other lipid-modifying agents </w:t>
            </w:r>
          </w:p>
        </w:tc>
        <w:tc>
          <w:tcPr>
            <w:tcW w:w="21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C10BA</w:t>
            </w:r>
          </w:p>
        </w:tc>
      </w:tr>
      <w:tr w:rsidR="00AA55AF" w:rsidRPr="00AA55AF" w:rsidTr="00AA55AF">
        <w:trPr>
          <w:trHeight w:val="20"/>
        </w:trPr>
        <w:tc>
          <w:tcPr>
            <w:tcW w:w="2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Simvastatin and Acetylsalicylic acid</w:t>
            </w:r>
          </w:p>
        </w:tc>
        <w:tc>
          <w:tcPr>
            <w:tcW w:w="21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C10BX01</w:t>
            </w:r>
          </w:p>
        </w:tc>
      </w:tr>
      <w:tr w:rsidR="00AA55AF" w:rsidRPr="00AA55AF" w:rsidTr="00AA55AF">
        <w:trPr>
          <w:trHeight w:val="20"/>
        </w:trPr>
        <w:tc>
          <w:tcPr>
            <w:tcW w:w="2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Atorvastatin</w:t>
            </w:r>
          </w:p>
        </w:tc>
        <w:tc>
          <w:tcPr>
            <w:tcW w:w="21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C10AA05</w:t>
            </w:r>
          </w:p>
        </w:tc>
      </w:tr>
      <w:tr w:rsidR="00AA55AF" w:rsidRPr="00AA55AF" w:rsidTr="00AA55AF">
        <w:trPr>
          <w:trHeight w:val="20"/>
        </w:trPr>
        <w:tc>
          <w:tcPr>
            <w:tcW w:w="2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Atorvastatin and Amlodipine</w:t>
            </w:r>
          </w:p>
        </w:tc>
        <w:tc>
          <w:tcPr>
            <w:tcW w:w="21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C10BX03</w:t>
            </w:r>
          </w:p>
        </w:tc>
      </w:tr>
      <w:tr w:rsidR="00AA55AF" w:rsidRPr="00AA55AF" w:rsidTr="00AA55AF">
        <w:trPr>
          <w:trHeight w:val="20"/>
        </w:trPr>
        <w:tc>
          <w:tcPr>
            <w:tcW w:w="2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55AF" w:rsidRPr="00AA55AF" w:rsidRDefault="00AA55AF" w:rsidP="00AA55AF">
            <w:pPr>
              <w:rPr>
                <w:rFonts w:ascii="Times New Roman" w:hAnsi="Times New Roman" w:cs="Times New Roman"/>
              </w:rPr>
            </w:pPr>
          </w:p>
        </w:tc>
      </w:tr>
    </w:tbl>
    <w:p w:rsidR="00CC362A" w:rsidRDefault="00CC362A" w:rsidP="00F21EBC">
      <w:pPr>
        <w:spacing w:line="480" w:lineRule="auto"/>
        <w:jc w:val="both"/>
        <w:rPr>
          <w:rFonts w:ascii="Calibri" w:eastAsia="Times New Roman" w:hAnsi="Calibri" w:cs="Times New Roman"/>
          <w:b/>
          <w:bCs/>
          <w:caps/>
          <w:sz w:val="20"/>
          <w:szCs w:val="20"/>
        </w:rPr>
      </w:pPr>
    </w:p>
    <w:p w:rsidR="00CC362A" w:rsidRDefault="00CC362A" w:rsidP="00F21EBC">
      <w:pPr>
        <w:spacing w:line="480" w:lineRule="auto"/>
        <w:jc w:val="both"/>
        <w:rPr>
          <w:rFonts w:ascii="Calibri" w:eastAsia="Times New Roman" w:hAnsi="Calibri" w:cs="Times New Roman"/>
          <w:b/>
          <w:bCs/>
          <w:caps/>
          <w:sz w:val="20"/>
          <w:szCs w:val="20"/>
        </w:rPr>
      </w:pPr>
    </w:p>
    <w:p w:rsidR="00CC362A" w:rsidRDefault="00CC362A" w:rsidP="00F21EBC">
      <w:pPr>
        <w:spacing w:line="480" w:lineRule="auto"/>
        <w:jc w:val="both"/>
        <w:rPr>
          <w:rFonts w:ascii="Calibri" w:eastAsia="Times New Roman" w:hAnsi="Calibri" w:cs="Times New Roman"/>
          <w:b/>
          <w:bCs/>
          <w:caps/>
          <w:sz w:val="20"/>
          <w:szCs w:val="20"/>
        </w:rPr>
      </w:pPr>
    </w:p>
    <w:p w:rsidR="00CC362A" w:rsidRDefault="00CC362A" w:rsidP="00F21EBC">
      <w:pPr>
        <w:spacing w:line="480" w:lineRule="auto"/>
        <w:jc w:val="both"/>
        <w:rPr>
          <w:rFonts w:ascii="Calibri" w:eastAsia="Times New Roman" w:hAnsi="Calibri" w:cs="Times New Roman"/>
          <w:b/>
          <w:bCs/>
          <w:caps/>
          <w:sz w:val="20"/>
          <w:szCs w:val="20"/>
        </w:rPr>
      </w:pPr>
    </w:p>
    <w:p w:rsidR="00CC362A" w:rsidRDefault="00CC362A" w:rsidP="00F21EBC">
      <w:pPr>
        <w:spacing w:line="480" w:lineRule="auto"/>
        <w:jc w:val="both"/>
        <w:rPr>
          <w:rFonts w:ascii="Calibri" w:eastAsia="Times New Roman" w:hAnsi="Calibri" w:cs="Times New Roman"/>
          <w:b/>
          <w:bCs/>
          <w:caps/>
          <w:sz w:val="20"/>
          <w:szCs w:val="20"/>
        </w:rPr>
      </w:pPr>
    </w:p>
    <w:p w:rsidR="00CC362A" w:rsidRDefault="00CC362A" w:rsidP="00F21EBC">
      <w:pPr>
        <w:spacing w:line="480" w:lineRule="auto"/>
        <w:jc w:val="both"/>
        <w:rPr>
          <w:rFonts w:ascii="Calibri" w:eastAsia="Times New Roman" w:hAnsi="Calibri" w:cs="Times New Roman"/>
          <w:b/>
          <w:bCs/>
          <w:caps/>
          <w:sz w:val="20"/>
          <w:szCs w:val="20"/>
        </w:rPr>
      </w:pPr>
    </w:p>
    <w:p w:rsidR="006B460D" w:rsidRDefault="006B460D" w:rsidP="00F21EBC">
      <w:pPr>
        <w:spacing w:line="480" w:lineRule="auto"/>
        <w:jc w:val="both"/>
        <w:rPr>
          <w:rFonts w:ascii="Calibri" w:eastAsia="Times New Roman" w:hAnsi="Calibri" w:cs="Times New Roman"/>
          <w:b/>
          <w:bCs/>
          <w:caps/>
          <w:sz w:val="20"/>
          <w:szCs w:val="20"/>
        </w:rPr>
      </w:pPr>
    </w:p>
    <w:p w:rsidR="00691FDA" w:rsidRDefault="00691FDA"/>
    <w:p w:rsidR="00691FDA" w:rsidRDefault="00691FDA">
      <w:r>
        <w:br w:type="page"/>
      </w:r>
    </w:p>
    <w:p w:rsidR="00CC362A" w:rsidRDefault="00CC362A" w:rsidP="00691FDA">
      <w:pPr>
        <w:keepNext/>
        <w:keepLines/>
        <w:spacing w:before="40" w:after="0" w:line="240" w:lineRule="auto"/>
        <w:outlineLvl w:val="2"/>
        <w:rPr>
          <w:rFonts w:ascii="Calibri Light" w:eastAsia="Times New Roman" w:hAnsi="Calibri Light" w:cs="Times New Roman"/>
          <w:caps/>
          <w:color w:val="1F4D78"/>
          <w:sz w:val="24"/>
          <w:szCs w:val="24"/>
          <w:lang w:val="en-US" w:bidi="en-US"/>
        </w:rPr>
        <w:sectPr w:rsidR="00CC362A" w:rsidSect="00CC362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91FDA" w:rsidRPr="00A239D6" w:rsidRDefault="00691FDA" w:rsidP="00691FDA">
      <w:pPr>
        <w:keepNext/>
        <w:keepLines/>
        <w:spacing w:before="40" w:after="0" w:line="240" w:lineRule="auto"/>
        <w:outlineLvl w:val="2"/>
        <w:rPr>
          <w:rFonts w:ascii="Calibri Light" w:eastAsia="Times New Roman" w:hAnsi="Calibri Light" w:cs="Times New Roman"/>
          <w:caps/>
          <w:color w:val="1F4D78"/>
          <w:sz w:val="24"/>
          <w:szCs w:val="24"/>
          <w:lang w:val="en-US" w:bidi="en-US"/>
        </w:rPr>
      </w:pPr>
    </w:p>
    <w:p w:rsidR="00335FBE" w:rsidRPr="00AA55AF" w:rsidRDefault="00AA55AF" w:rsidP="00691FDA">
      <w:pPr>
        <w:keepNext/>
        <w:keepLines/>
        <w:spacing w:before="40" w:after="0" w:line="240" w:lineRule="auto"/>
        <w:outlineLvl w:val="2"/>
        <w:rPr>
          <w:rFonts w:ascii="Times New Roman" w:eastAsia="Times New Roman" w:hAnsi="Times New Roman" w:cs="Times New Roman"/>
          <w:caps/>
          <w:color w:val="000000"/>
          <w:sz w:val="20"/>
          <w:szCs w:val="20"/>
          <w:lang w:val="en-US" w:bidi="en-US"/>
        </w:rPr>
      </w:pPr>
      <w:bookmarkStart w:id="0" w:name="_Toc444781744"/>
      <w:r w:rsidRPr="00AA55AF">
        <w:rPr>
          <w:rFonts w:ascii="Times New Roman" w:eastAsia="Times New Roman" w:hAnsi="Times New Roman" w:cs="Times New Roman"/>
          <w:b/>
          <w:caps/>
          <w:color w:val="000000"/>
          <w:sz w:val="20"/>
          <w:szCs w:val="20"/>
          <w:lang w:val="en-US" w:bidi="en-US"/>
        </w:rPr>
        <w:t>online resource 2</w:t>
      </w:r>
      <w:r w:rsidR="00691FDA" w:rsidRPr="00AA55AF">
        <w:rPr>
          <w:rFonts w:ascii="Times New Roman" w:eastAsia="Times New Roman" w:hAnsi="Times New Roman" w:cs="Times New Roman"/>
          <w:caps/>
          <w:color w:val="000000"/>
          <w:sz w:val="20"/>
          <w:szCs w:val="20"/>
          <w:lang w:val="en-US" w:bidi="en-US"/>
        </w:rPr>
        <w:t xml:space="preserve"> Relative risks &amp; Risk differences for STATIN initiation in five years prior to Breast </w:t>
      </w:r>
      <w:r w:rsidR="00335FBE" w:rsidRPr="00AA55AF">
        <w:rPr>
          <w:rFonts w:ascii="Times New Roman" w:eastAsia="Times New Roman" w:hAnsi="Times New Roman" w:cs="Times New Roman"/>
          <w:caps/>
          <w:color w:val="000000"/>
          <w:sz w:val="20"/>
          <w:szCs w:val="20"/>
          <w:lang w:val="en-US" w:bidi="en-US"/>
        </w:rPr>
        <w:t>Cancer-SPECIFIC DEATH</w:t>
      </w:r>
    </w:p>
    <w:bookmarkEnd w:id="0"/>
    <w:p w:rsidR="00691FDA" w:rsidRPr="00A239D6" w:rsidRDefault="00691FDA" w:rsidP="00691FDA">
      <w:pPr>
        <w:keepNext/>
        <w:keepLines/>
        <w:spacing w:before="40" w:after="0" w:line="240" w:lineRule="auto"/>
        <w:outlineLvl w:val="2"/>
        <w:rPr>
          <w:rFonts w:ascii="Calibri Light" w:eastAsia="Times New Roman" w:hAnsi="Calibri Light" w:cs="Times New Roman"/>
          <w:caps/>
          <w:color w:val="000000"/>
          <w:sz w:val="24"/>
          <w:szCs w:val="24"/>
          <w:lang w:val="en-US" w:bidi="en-US"/>
        </w:rPr>
      </w:pPr>
    </w:p>
    <w:tbl>
      <w:tblPr>
        <w:tblStyle w:val="TableGrid211"/>
        <w:tblpPr w:leftFromText="180" w:rightFromText="180" w:vertAnchor="page" w:horzAnchor="margin" w:tblpY="264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4" w:type="dxa"/>
          <w:left w:w="14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411"/>
        <w:gridCol w:w="426"/>
        <w:gridCol w:w="3539"/>
        <w:gridCol w:w="1386"/>
        <w:gridCol w:w="1095"/>
        <w:gridCol w:w="1165"/>
        <w:gridCol w:w="1316"/>
        <w:gridCol w:w="717"/>
        <w:gridCol w:w="1470"/>
        <w:gridCol w:w="731"/>
        <w:gridCol w:w="1459"/>
        <w:gridCol w:w="140"/>
        <w:gridCol w:w="146"/>
      </w:tblGrid>
      <w:tr w:rsidR="00CC362A" w:rsidRPr="00AA55AF" w:rsidTr="00335FBE">
        <w:trPr>
          <w:trHeight w:val="272"/>
        </w:trPr>
        <w:tc>
          <w:tcPr>
            <w:tcW w:w="1563" w:type="pct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b/>
              </w:rPr>
            </w:pPr>
            <w:r w:rsidRPr="00AA55AF">
              <w:rPr>
                <w:rFonts w:ascii="Times New Roman" w:hAnsi="Times New Roman" w:cs="Times New Roman"/>
                <w:b/>
              </w:rPr>
              <w:t>Statin initiation</w:t>
            </w:r>
          </w:p>
          <w:p w:rsidR="00335FBE" w:rsidRPr="00AA55AF" w:rsidRDefault="00335FBE" w:rsidP="00335FBE">
            <w:pPr>
              <w:rPr>
                <w:rFonts w:ascii="Times New Roman" w:hAnsi="Times New Roman" w:cs="Times New Roman"/>
                <w:b/>
              </w:rPr>
            </w:pPr>
            <w:r w:rsidRPr="00AA55AF">
              <w:rPr>
                <w:rFonts w:ascii="Times New Roman" w:hAnsi="Times New Roman" w:cs="Times New Roman"/>
                <w:b/>
              </w:rPr>
              <w:t>within exposure windows -</w:t>
            </w:r>
          </w:p>
        </w:tc>
        <w:tc>
          <w:tcPr>
            <w:tcW w:w="3335" w:type="pct"/>
            <w:gridSpan w:val="8"/>
            <w:tcBorders>
              <w:top w:val="single" w:sz="4" w:space="0" w:color="auto"/>
              <w:left w:val="nil"/>
            </w:tcBorders>
            <w:shd w:val="clear" w:color="auto" w:fill="auto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A55AF">
              <w:rPr>
                <w:rFonts w:ascii="Times New Roman" w:hAnsi="Times New Roman" w:cs="Times New Roman"/>
                <w:b/>
              </w:rPr>
              <w:t xml:space="preserve">Breast cancer </w:t>
            </w:r>
            <w:r w:rsidRPr="00AA55AF">
              <w:rPr>
                <w:rFonts w:ascii="Times New Roman" w:hAnsi="Times New Roman" w:cs="Times New Roman"/>
                <w:b/>
                <w:vertAlign w:val="superscript"/>
              </w:rPr>
              <w:t>A B</w:t>
            </w:r>
          </w:p>
        </w:tc>
        <w:tc>
          <w:tcPr>
            <w:tcW w:w="50" w:type="pct"/>
            <w:tcBorders>
              <w:top w:val="single" w:sz="4" w:space="0" w:color="auto"/>
              <w:left w:val="nil"/>
              <w:right w:val="nil"/>
            </w:tcBorders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" w:type="pct"/>
            <w:tcBorders>
              <w:top w:val="single" w:sz="4" w:space="0" w:color="auto"/>
              <w:left w:val="nil"/>
              <w:right w:val="nil"/>
            </w:tcBorders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5FBE" w:rsidRPr="00AA55AF" w:rsidTr="00335FBE">
        <w:trPr>
          <w:trHeight w:val="142"/>
        </w:trPr>
        <w:tc>
          <w:tcPr>
            <w:tcW w:w="1563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55AF">
              <w:rPr>
                <w:rFonts w:ascii="Times New Roman" w:hAnsi="Times New Roman" w:cs="Times New Roman"/>
                <w:b/>
              </w:rPr>
              <w:t>Cases-N</w:t>
            </w:r>
          </w:p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55AF">
              <w:rPr>
                <w:rFonts w:ascii="Times New Roman" w:hAnsi="Times New Roman" w:cs="Times New Roman"/>
                <w:b/>
              </w:rPr>
              <w:t>(Statin Initiation %)</w:t>
            </w:r>
          </w:p>
        </w:tc>
        <w:tc>
          <w:tcPr>
            <w:tcW w:w="8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55AF">
              <w:rPr>
                <w:rFonts w:ascii="Times New Roman" w:hAnsi="Times New Roman" w:cs="Times New Roman"/>
                <w:b/>
              </w:rPr>
              <w:t>Controls-N</w:t>
            </w:r>
          </w:p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A55AF">
              <w:rPr>
                <w:rFonts w:ascii="Times New Roman" w:hAnsi="Times New Roman" w:cs="Times New Roman"/>
                <w:b/>
              </w:rPr>
              <w:t xml:space="preserve"> (Statin Initiation %) </w:t>
            </w:r>
            <w:r w:rsidRPr="00AA55AF">
              <w:rPr>
                <w:rFonts w:ascii="Times New Roman" w:hAnsi="Times New Roman" w:cs="Times New Roman"/>
                <w:b/>
                <w:vertAlign w:val="superscript"/>
              </w:rPr>
              <w:t>C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55AF">
              <w:rPr>
                <w:rFonts w:ascii="Times New Roman" w:hAnsi="Times New Roman" w:cs="Times New Roman"/>
                <w:b/>
              </w:rPr>
              <w:t xml:space="preserve">RR </w:t>
            </w:r>
            <w:r w:rsidRPr="00AA55AF">
              <w:rPr>
                <w:rFonts w:ascii="Times New Roman" w:hAnsi="Times New Roman" w:cs="Times New Roman"/>
                <w:b/>
              </w:rPr>
              <w:br/>
              <w:t>(95%CI)</w:t>
            </w:r>
          </w:p>
        </w:tc>
        <w:tc>
          <w:tcPr>
            <w:tcW w:w="7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A55AF">
              <w:rPr>
                <w:rFonts w:ascii="Times New Roman" w:hAnsi="Times New Roman" w:cs="Times New Roman"/>
                <w:b/>
              </w:rPr>
              <w:t>RD</w:t>
            </w:r>
            <w:r w:rsidRPr="00AA55AF">
              <w:rPr>
                <w:rFonts w:ascii="Times New Roman" w:hAnsi="Times New Roman" w:cs="Times New Roman"/>
                <w:b/>
              </w:rPr>
              <w:br/>
              <w:t xml:space="preserve">(95%CI) </w:t>
            </w:r>
          </w:p>
        </w:tc>
        <w:tc>
          <w:tcPr>
            <w:tcW w:w="50" w:type="pct"/>
            <w:tcBorders>
              <w:left w:val="nil"/>
              <w:right w:val="nil"/>
            </w:tcBorders>
            <w:vAlign w:val="bottom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" w:type="pct"/>
            <w:tcBorders>
              <w:left w:val="nil"/>
              <w:right w:val="nil"/>
            </w:tcBorders>
            <w:vAlign w:val="bottom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5FBE" w:rsidRPr="00AA55AF" w:rsidTr="00335FBE">
        <w:trPr>
          <w:trHeight w:val="249"/>
        </w:trPr>
        <w:tc>
          <w:tcPr>
            <w:tcW w:w="147" w:type="pct"/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FBE" w:rsidRPr="00AA55AF" w:rsidTr="00335FBE">
        <w:trPr>
          <w:trHeight w:val="485"/>
        </w:trPr>
        <w:tc>
          <w:tcPr>
            <w:tcW w:w="147" w:type="pct"/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  <w:b/>
              </w:rPr>
              <w:t>49-60 months prior to death/index</w:t>
            </w:r>
          </w:p>
        </w:tc>
        <w:tc>
          <w:tcPr>
            <w:tcW w:w="4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(3.7)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(3.9)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(0.44, 2.41)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(-0.03, 0.03)</w:t>
            </w:r>
          </w:p>
        </w:tc>
        <w:tc>
          <w:tcPr>
            <w:tcW w:w="50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FBE" w:rsidRPr="00AA55AF" w:rsidTr="00335FBE">
        <w:trPr>
          <w:trHeight w:val="497"/>
        </w:trPr>
        <w:tc>
          <w:tcPr>
            <w:tcW w:w="147" w:type="pct"/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  <w:b/>
              </w:rPr>
              <w:t>37-48 months prior to death/index</w:t>
            </w:r>
          </w:p>
        </w:tc>
        <w:tc>
          <w:tcPr>
            <w:tcW w:w="4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(4.1)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544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(4.1)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(0.57, 2.17)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(-0.02, 0.03)</w:t>
            </w:r>
          </w:p>
        </w:tc>
        <w:tc>
          <w:tcPr>
            <w:tcW w:w="50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FBE" w:rsidRPr="00AA55AF" w:rsidTr="00335FBE">
        <w:trPr>
          <w:trHeight w:val="485"/>
        </w:trPr>
        <w:tc>
          <w:tcPr>
            <w:tcW w:w="147" w:type="pct"/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  <w:b/>
              </w:rPr>
              <w:t>25-36 months prior to death/index</w:t>
            </w:r>
          </w:p>
        </w:tc>
        <w:tc>
          <w:tcPr>
            <w:tcW w:w="4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509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(3.3)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757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(4.1)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(0.36, 1.1)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(-0.04, 0.00)</w:t>
            </w:r>
          </w:p>
        </w:tc>
        <w:tc>
          <w:tcPr>
            <w:tcW w:w="50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FBE" w:rsidRPr="00AA55AF" w:rsidTr="00335FBE">
        <w:trPr>
          <w:trHeight w:val="485"/>
        </w:trPr>
        <w:tc>
          <w:tcPr>
            <w:tcW w:w="147" w:type="pct"/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  <w:b/>
              </w:rPr>
              <w:t>19-24 months prior to death/index</w:t>
            </w:r>
          </w:p>
        </w:tc>
        <w:tc>
          <w:tcPr>
            <w:tcW w:w="4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(1.7)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889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(3.0)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(0.29, 1.26)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(-0.03, 0.00)</w:t>
            </w:r>
          </w:p>
        </w:tc>
        <w:tc>
          <w:tcPr>
            <w:tcW w:w="50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FBE" w:rsidRPr="00AA55AF" w:rsidTr="00335FBE">
        <w:trPr>
          <w:trHeight w:val="497"/>
        </w:trPr>
        <w:tc>
          <w:tcPr>
            <w:tcW w:w="147" w:type="pct"/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  <w:b/>
              </w:rPr>
              <w:t>13-18 months prior to death/index</w:t>
            </w:r>
          </w:p>
        </w:tc>
        <w:tc>
          <w:tcPr>
            <w:tcW w:w="4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662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(3.0)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990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(2.8)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(0.58, 1.83)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 xml:space="preserve">(-0.02, 0.02) </w:t>
            </w:r>
          </w:p>
        </w:tc>
        <w:tc>
          <w:tcPr>
            <w:tcW w:w="50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FBE" w:rsidRPr="00AA55AF" w:rsidTr="00335FBE">
        <w:trPr>
          <w:trHeight w:val="485"/>
        </w:trPr>
        <w:tc>
          <w:tcPr>
            <w:tcW w:w="147" w:type="pct"/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  <w:b/>
              </w:rPr>
              <w:t>7-12 months prior to death/index</w:t>
            </w:r>
          </w:p>
        </w:tc>
        <w:tc>
          <w:tcPr>
            <w:tcW w:w="4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733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(1.8)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1,092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(2.2)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(0.38, 1.46)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(-0.02, 0.01)</w:t>
            </w:r>
          </w:p>
        </w:tc>
        <w:tc>
          <w:tcPr>
            <w:tcW w:w="50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FBE" w:rsidRPr="00AA55AF" w:rsidTr="00335FBE">
        <w:trPr>
          <w:trHeight w:val="485"/>
        </w:trPr>
        <w:tc>
          <w:tcPr>
            <w:tcW w:w="147" w:type="pct"/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  <w:b/>
              </w:rPr>
              <w:t>0-6 months prior to death/index</w:t>
            </w:r>
          </w:p>
        </w:tc>
        <w:tc>
          <w:tcPr>
            <w:tcW w:w="4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807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(1.4)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1,200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(2.1)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(0.29, 1.11)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</w:rPr>
              <w:t>(-0.02, 0.00)</w:t>
            </w:r>
          </w:p>
        </w:tc>
        <w:tc>
          <w:tcPr>
            <w:tcW w:w="50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FBE" w:rsidRPr="00AA55AF" w:rsidTr="00335FBE">
        <w:trPr>
          <w:trHeight w:val="249"/>
        </w:trPr>
        <w:tc>
          <w:tcPr>
            <w:tcW w:w="2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9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" w:type="pct"/>
            <w:tcBorders>
              <w:bottom w:val="single" w:sz="4" w:space="0" w:color="auto"/>
            </w:tcBorders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" w:type="pct"/>
            <w:tcBorders>
              <w:bottom w:val="single" w:sz="4" w:space="0" w:color="auto"/>
            </w:tcBorders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35FBE" w:rsidRDefault="00335FBE" w:rsidP="00691FDA">
      <w:pPr>
        <w:spacing w:after="0" w:line="240" w:lineRule="auto"/>
        <w:jc w:val="both"/>
        <w:rPr>
          <w:rFonts w:ascii="Calibri" w:eastAsia="Times New Roman" w:hAnsi="Calibri" w:cs="Times New Roman"/>
          <w:sz w:val="16"/>
          <w:szCs w:val="16"/>
          <w:lang w:val="en-US" w:bidi="en-US"/>
        </w:rPr>
      </w:pPr>
    </w:p>
    <w:p w:rsidR="00335FBE" w:rsidRDefault="00335FBE" w:rsidP="00691FDA">
      <w:pPr>
        <w:spacing w:after="0" w:line="240" w:lineRule="auto"/>
        <w:jc w:val="both"/>
        <w:rPr>
          <w:rFonts w:ascii="Calibri" w:eastAsia="Times New Roman" w:hAnsi="Calibri" w:cs="Times New Roman"/>
          <w:sz w:val="16"/>
          <w:szCs w:val="16"/>
          <w:lang w:val="en-US" w:bidi="en-US"/>
        </w:rPr>
      </w:pPr>
    </w:p>
    <w:p w:rsidR="00335FBE" w:rsidRPr="00AA55AF" w:rsidRDefault="00335FBE" w:rsidP="0069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bidi="en-US"/>
        </w:rPr>
      </w:pPr>
    </w:p>
    <w:p w:rsidR="00335FBE" w:rsidRPr="00AA55AF" w:rsidRDefault="00691FDA" w:rsidP="00691F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bidi="en-US"/>
        </w:rPr>
      </w:pPr>
      <w:r w:rsidRPr="00AA55AF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A) Breast cancer cases &amp; cancer controls matched in ratio of 1:2. Colorectal cancer cases &amp; cancer-co</w:t>
      </w:r>
      <w:r w:rsidR="00335FBE" w:rsidRPr="00AA55AF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ntrols matched in ratio of 1:1.</w:t>
      </w:r>
    </w:p>
    <w:p w:rsidR="00335FBE" w:rsidRPr="00AA55AF" w:rsidRDefault="00691FDA" w:rsidP="00335F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bidi="en-US"/>
        </w:rPr>
      </w:pPr>
      <w:r w:rsidRPr="00AA55AF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B) Matched on tumor stage (I, II, III), age (5 year caliper) and pre-diagnostic statin use (yes/no). Pre-diagnostic statin users were also matched on the intensity of pre-diagnostic statin exposure (10% caliper). Colorectal cancer patients are also matched on gender (male, female)</w:t>
      </w:r>
      <w:r w:rsidR="00335FBE" w:rsidRPr="00AA55AF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 xml:space="preserve"> </w:t>
      </w:r>
    </w:p>
    <w:p w:rsidR="00335FBE" w:rsidRPr="00AA55AF" w:rsidRDefault="00335FBE" w:rsidP="00335F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bidi="en-US"/>
        </w:rPr>
      </w:pPr>
      <w:r w:rsidRPr="00AA55AF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C) Percentages for controls were weighted by the inverse number of controls matched to each case</w:t>
      </w:r>
    </w:p>
    <w:p w:rsidR="00691FDA" w:rsidRPr="00A239D6" w:rsidRDefault="00691FDA" w:rsidP="00691FDA">
      <w:pPr>
        <w:spacing w:after="0" w:line="240" w:lineRule="auto"/>
        <w:jc w:val="both"/>
        <w:rPr>
          <w:rFonts w:ascii="Calibri" w:eastAsia="Times New Roman" w:hAnsi="Calibri" w:cs="Times New Roman"/>
          <w:sz w:val="16"/>
          <w:szCs w:val="16"/>
          <w:lang w:val="en-US" w:bidi="en-US"/>
        </w:rPr>
      </w:pPr>
    </w:p>
    <w:tbl>
      <w:tblPr>
        <w:tblStyle w:val="TableGrid211"/>
        <w:tblpPr w:leftFromText="180" w:rightFromText="180" w:vertAnchor="page" w:horzAnchor="margin" w:tblpY="231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4" w:type="dxa"/>
          <w:left w:w="14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414"/>
        <w:gridCol w:w="423"/>
        <w:gridCol w:w="3539"/>
        <w:gridCol w:w="1386"/>
        <w:gridCol w:w="1095"/>
        <w:gridCol w:w="1165"/>
        <w:gridCol w:w="1316"/>
        <w:gridCol w:w="717"/>
        <w:gridCol w:w="1470"/>
        <w:gridCol w:w="731"/>
        <w:gridCol w:w="1459"/>
        <w:gridCol w:w="140"/>
        <w:gridCol w:w="146"/>
      </w:tblGrid>
      <w:tr w:rsidR="00CC362A" w:rsidRPr="00AA55AF" w:rsidTr="00335FBE">
        <w:trPr>
          <w:trHeight w:val="275"/>
        </w:trPr>
        <w:tc>
          <w:tcPr>
            <w:tcW w:w="1563" w:type="pct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b/>
              </w:rPr>
            </w:pPr>
            <w:r w:rsidRPr="00AA55AF">
              <w:rPr>
                <w:rFonts w:ascii="Times New Roman" w:hAnsi="Times New Roman" w:cs="Times New Roman"/>
                <w:b/>
              </w:rPr>
              <w:lastRenderedPageBreak/>
              <w:t>Statin initiation</w:t>
            </w:r>
          </w:p>
          <w:p w:rsidR="00335FBE" w:rsidRPr="00AA55AF" w:rsidRDefault="00335FBE" w:rsidP="00335FBE">
            <w:pPr>
              <w:rPr>
                <w:rFonts w:ascii="Times New Roman" w:hAnsi="Times New Roman" w:cs="Times New Roman"/>
                <w:b/>
              </w:rPr>
            </w:pPr>
            <w:r w:rsidRPr="00AA55AF">
              <w:rPr>
                <w:rFonts w:ascii="Times New Roman" w:hAnsi="Times New Roman" w:cs="Times New Roman"/>
                <w:b/>
              </w:rPr>
              <w:t>within exposure windows -</w:t>
            </w:r>
          </w:p>
        </w:tc>
        <w:tc>
          <w:tcPr>
            <w:tcW w:w="3335" w:type="pct"/>
            <w:gridSpan w:val="8"/>
            <w:tcBorders>
              <w:top w:val="single" w:sz="4" w:space="0" w:color="auto"/>
              <w:left w:val="nil"/>
            </w:tcBorders>
            <w:shd w:val="clear" w:color="auto" w:fill="auto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A55AF">
              <w:rPr>
                <w:rFonts w:ascii="Times New Roman" w:hAnsi="Times New Roman" w:cs="Times New Roman"/>
                <w:b/>
              </w:rPr>
              <w:t xml:space="preserve">Colorectal cancer </w:t>
            </w:r>
            <w:r w:rsidRPr="00AA55AF">
              <w:rPr>
                <w:rFonts w:ascii="Times New Roman" w:hAnsi="Times New Roman" w:cs="Times New Roman"/>
                <w:b/>
                <w:vertAlign w:val="superscript"/>
              </w:rPr>
              <w:t>A B</w:t>
            </w:r>
          </w:p>
        </w:tc>
        <w:tc>
          <w:tcPr>
            <w:tcW w:w="50" w:type="pct"/>
            <w:tcBorders>
              <w:top w:val="single" w:sz="4" w:space="0" w:color="auto"/>
              <w:left w:val="nil"/>
              <w:right w:val="nil"/>
            </w:tcBorders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" w:type="pct"/>
            <w:tcBorders>
              <w:top w:val="single" w:sz="4" w:space="0" w:color="auto"/>
              <w:left w:val="nil"/>
              <w:right w:val="nil"/>
            </w:tcBorders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5FBE" w:rsidRPr="00AA55AF" w:rsidTr="00335FBE">
        <w:trPr>
          <w:trHeight w:val="144"/>
        </w:trPr>
        <w:tc>
          <w:tcPr>
            <w:tcW w:w="1563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55AF">
              <w:rPr>
                <w:rFonts w:ascii="Times New Roman" w:hAnsi="Times New Roman" w:cs="Times New Roman"/>
                <w:b/>
              </w:rPr>
              <w:t>Cases-N</w:t>
            </w:r>
          </w:p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55AF">
              <w:rPr>
                <w:rFonts w:ascii="Times New Roman" w:hAnsi="Times New Roman" w:cs="Times New Roman"/>
                <w:b/>
              </w:rPr>
              <w:t>(Statin Initiation %)</w:t>
            </w:r>
          </w:p>
        </w:tc>
        <w:tc>
          <w:tcPr>
            <w:tcW w:w="8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55AF">
              <w:rPr>
                <w:rFonts w:ascii="Times New Roman" w:hAnsi="Times New Roman" w:cs="Times New Roman"/>
                <w:b/>
              </w:rPr>
              <w:t>Controls-N</w:t>
            </w:r>
          </w:p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A55AF">
              <w:rPr>
                <w:rFonts w:ascii="Times New Roman" w:hAnsi="Times New Roman" w:cs="Times New Roman"/>
                <w:b/>
              </w:rPr>
              <w:t xml:space="preserve"> (Statin Initiation %) 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55AF">
              <w:rPr>
                <w:rFonts w:ascii="Times New Roman" w:hAnsi="Times New Roman" w:cs="Times New Roman"/>
                <w:b/>
              </w:rPr>
              <w:t xml:space="preserve">RR </w:t>
            </w:r>
            <w:r w:rsidRPr="00AA55AF">
              <w:rPr>
                <w:rFonts w:ascii="Times New Roman" w:hAnsi="Times New Roman" w:cs="Times New Roman"/>
                <w:b/>
              </w:rPr>
              <w:br/>
              <w:t>(95%CI)</w:t>
            </w:r>
          </w:p>
        </w:tc>
        <w:tc>
          <w:tcPr>
            <w:tcW w:w="7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A55AF">
              <w:rPr>
                <w:rFonts w:ascii="Times New Roman" w:hAnsi="Times New Roman" w:cs="Times New Roman"/>
                <w:b/>
              </w:rPr>
              <w:t>RD</w:t>
            </w:r>
            <w:r w:rsidRPr="00AA55AF">
              <w:rPr>
                <w:rFonts w:ascii="Times New Roman" w:hAnsi="Times New Roman" w:cs="Times New Roman"/>
                <w:b/>
              </w:rPr>
              <w:br/>
              <w:t xml:space="preserve">(95%CI) </w:t>
            </w:r>
          </w:p>
        </w:tc>
        <w:tc>
          <w:tcPr>
            <w:tcW w:w="50" w:type="pct"/>
            <w:tcBorders>
              <w:left w:val="nil"/>
              <w:right w:val="nil"/>
            </w:tcBorders>
            <w:vAlign w:val="bottom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" w:type="pct"/>
            <w:tcBorders>
              <w:left w:val="nil"/>
              <w:right w:val="nil"/>
            </w:tcBorders>
            <w:vAlign w:val="bottom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5FBE" w:rsidRPr="00AA55AF" w:rsidTr="00335FBE">
        <w:trPr>
          <w:trHeight w:val="251"/>
        </w:trPr>
        <w:tc>
          <w:tcPr>
            <w:tcW w:w="148" w:type="pct"/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FBE" w:rsidRPr="00AA55AF" w:rsidTr="00335FBE">
        <w:trPr>
          <w:trHeight w:val="491"/>
        </w:trPr>
        <w:tc>
          <w:tcPr>
            <w:tcW w:w="148" w:type="pct"/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  <w:b/>
              </w:rPr>
              <w:t>49-60 months prior to death/index</w:t>
            </w:r>
          </w:p>
        </w:tc>
        <w:tc>
          <w:tcPr>
            <w:tcW w:w="4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(5.4)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(5.4)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(0.37, 2.66)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(-0.05, 0.05)</w:t>
            </w:r>
          </w:p>
        </w:tc>
        <w:tc>
          <w:tcPr>
            <w:tcW w:w="50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FBE" w:rsidRPr="00AA55AF" w:rsidTr="00335FBE">
        <w:trPr>
          <w:trHeight w:val="503"/>
        </w:trPr>
        <w:tc>
          <w:tcPr>
            <w:tcW w:w="148" w:type="pct"/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  <w:b/>
              </w:rPr>
              <w:t>37-48 months prior to death/index</w:t>
            </w:r>
          </w:p>
        </w:tc>
        <w:tc>
          <w:tcPr>
            <w:tcW w:w="4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279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(3.3)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279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(1.8)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1.8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(0.6, 5.37)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(-0.01, 0.04)</w:t>
            </w:r>
          </w:p>
        </w:tc>
        <w:tc>
          <w:tcPr>
            <w:tcW w:w="50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FBE" w:rsidRPr="00AA55AF" w:rsidTr="00335FBE">
        <w:trPr>
          <w:trHeight w:val="491"/>
        </w:trPr>
        <w:tc>
          <w:tcPr>
            <w:tcW w:w="148" w:type="pct"/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  <w:b/>
              </w:rPr>
              <w:t>25-36 months prior to death/index</w:t>
            </w:r>
          </w:p>
        </w:tc>
        <w:tc>
          <w:tcPr>
            <w:tcW w:w="4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507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(3.6)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507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(4.1)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(0.46, 1.58)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(-0.02, 0.01)</w:t>
            </w:r>
          </w:p>
        </w:tc>
        <w:tc>
          <w:tcPr>
            <w:tcW w:w="50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FBE" w:rsidRPr="00AA55AF" w:rsidTr="00335FBE">
        <w:trPr>
          <w:trHeight w:val="491"/>
        </w:trPr>
        <w:tc>
          <w:tcPr>
            <w:tcW w:w="148" w:type="pct"/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  <w:b/>
              </w:rPr>
              <w:t>19-24 months prior to death/index</w:t>
            </w:r>
          </w:p>
        </w:tc>
        <w:tc>
          <w:tcPr>
            <w:tcW w:w="4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660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(1.1)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660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(1.2)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(0.31, 2.41)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-0.00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(-0.01, 0.01)</w:t>
            </w:r>
          </w:p>
        </w:tc>
        <w:tc>
          <w:tcPr>
            <w:tcW w:w="50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FBE" w:rsidRPr="00AA55AF" w:rsidTr="00335FBE">
        <w:trPr>
          <w:trHeight w:val="503"/>
        </w:trPr>
        <w:tc>
          <w:tcPr>
            <w:tcW w:w="148" w:type="pct"/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  <w:b/>
              </w:rPr>
              <w:t>13-18 months prior to death/index</w:t>
            </w:r>
          </w:p>
        </w:tc>
        <w:tc>
          <w:tcPr>
            <w:tcW w:w="4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838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(1.2)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838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(1.1)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1.11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(0.45, 2.73)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(-0.01, 0.01)</w:t>
            </w:r>
          </w:p>
        </w:tc>
        <w:tc>
          <w:tcPr>
            <w:tcW w:w="50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FBE" w:rsidRPr="00AA55AF" w:rsidTr="00335FBE">
        <w:trPr>
          <w:trHeight w:val="491"/>
        </w:trPr>
        <w:tc>
          <w:tcPr>
            <w:tcW w:w="148" w:type="pct"/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  <w:b/>
              </w:rPr>
              <w:t>7-12 months prior to death/index</w:t>
            </w:r>
          </w:p>
        </w:tc>
        <w:tc>
          <w:tcPr>
            <w:tcW w:w="4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1,042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(1.5)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1,042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(2.7)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(0.31, 1.04)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(-0.02, 0.00)</w:t>
            </w:r>
          </w:p>
        </w:tc>
        <w:tc>
          <w:tcPr>
            <w:tcW w:w="50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FBE" w:rsidRPr="00AA55AF" w:rsidTr="00335FBE">
        <w:trPr>
          <w:trHeight w:val="491"/>
        </w:trPr>
        <w:tc>
          <w:tcPr>
            <w:tcW w:w="148" w:type="pct"/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pct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  <w:r w:rsidRPr="00AA55AF">
              <w:rPr>
                <w:rFonts w:ascii="Times New Roman" w:hAnsi="Times New Roman" w:cs="Times New Roman"/>
                <w:b/>
              </w:rPr>
              <w:t>0-6 months prior to death/index</w:t>
            </w:r>
          </w:p>
        </w:tc>
        <w:tc>
          <w:tcPr>
            <w:tcW w:w="4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1,470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(1.2)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1,470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(1.4)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(0.45, 1.62)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-0.00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color w:val="000000"/>
              </w:rPr>
            </w:pPr>
            <w:r w:rsidRPr="00AA55AF">
              <w:rPr>
                <w:rFonts w:ascii="Times New Roman" w:hAnsi="Times New Roman" w:cs="Times New Roman"/>
                <w:color w:val="000000"/>
              </w:rPr>
              <w:t>(-0.01, 0.01)</w:t>
            </w:r>
          </w:p>
        </w:tc>
        <w:tc>
          <w:tcPr>
            <w:tcW w:w="50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" w:type="pct"/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FBE" w:rsidRPr="00AA55AF" w:rsidTr="00335FBE">
        <w:trPr>
          <w:trHeight w:val="251"/>
        </w:trPr>
        <w:tc>
          <w:tcPr>
            <w:tcW w:w="2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9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5FBE" w:rsidRPr="00AA55AF" w:rsidRDefault="00335FBE" w:rsidP="00335F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" w:type="pct"/>
            <w:tcBorders>
              <w:bottom w:val="single" w:sz="4" w:space="0" w:color="auto"/>
            </w:tcBorders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" w:type="pct"/>
            <w:tcBorders>
              <w:bottom w:val="single" w:sz="4" w:space="0" w:color="auto"/>
            </w:tcBorders>
          </w:tcPr>
          <w:p w:rsidR="00335FBE" w:rsidRPr="00AA55AF" w:rsidRDefault="00335FBE" w:rsidP="00335F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35FBE" w:rsidRPr="00AA55AF" w:rsidRDefault="00AA55AF" w:rsidP="00335FBE">
      <w:pPr>
        <w:keepNext/>
        <w:keepLines/>
        <w:spacing w:before="40" w:after="0" w:line="240" w:lineRule="auto"/>
        <w:outlineLvl w:val="2"/>
        <w:rPr>
          <w:rFonts w:ascii="Times New Roman" w:eastAsia="Times New Roman" w:hAnsi="Times New Roman" w:cs="Times New Roman"/>
          <w:caps/>
          <w:color w:val="000000"/>
          <w:sz w:val="20"/>
          <w:szCs w:val="20"/>
          <w:lang w:val="en-US" w:bidi="en-US"/>
        </w:rPr>
      </w:pPr>
      <w:r w:rsidRPr="00AA55AF">
        <w:rPr>
          <w:rFonts w:ascii="Times New Roman" w:eastAsia="Times New Roman" w:hAnsi="Times New Roman" w:cs="Times New Roman"/>
          <w:b/>
          <w:caps/>
          <w:color w:val="000000"/>
          <w:sz w:val="20"/>
          <w:szCs w:val="20"/>
          <w:lang w:val="en-US" w:bidi="en-US"/>
        </w:rPr>
        <w:t>online resource 3</w:t>
      </w:r>
      <w:r w:rsidR="00335FBE" w:rsidRPr="00AA55AF">
        <w:rPr>
          <w:rFonts w:ascii="Times New Roman" w:eastAsia="Times New Roman" w:hAnsi="Times New Roman" w:cs="Times New Roman"/>
          <w:caps/>
          <w:color w:val="000000"/>
          <w:sz w:val="20"/>
          <w:szCs w:val="20"/>
          <w:lang w:val="en-US" w:bidi="en-US"/>
        </w:rPr>
        <w:t>: Relative risks &amp; Risk differences for STATIN initiation in five years prior to Colorectal Cancer-Specific death</w:t>
      </w:r>
    </w:p>
    <w:p w:rsidR="00335FBE" w:rsidRDefault="00335FBE" w:rsidP="00335FBE">
      <w:pPr>
        <w:spacing w:after="0" w:line="240" w:lineRule="auto"/>
        <w:jc w:val="both"/>
        <w:rPr>
          <w:rFonts w:ascii="Calibri" w:eastAsia="Times New Roman" w:hAnsi="Calibri" w:cs="Times New Roman"/>
          <w:sz w:val="16"/>
          <w:szCs w:val="16"/>
          <w:lang w:val="en-US" w:bidi="en-US"/>
        </w:rPr>
      </w:pPr>
    </w:p>
    <w:p w:rsidR="00335FBE" w:rsidRDefault="00335FBE" w:rsidP="00335FBE">
      <w:pPr>
        <w:spacing w:after="0" w:line="240" w:lineRule="auto"/>
        <w:jc w:val="both"/>
        <w:rPr>
          <w:rFonts w:ascii="Calibri" w:eastAsia="Times New Roman" w:hAnsi="Calibri" w:cs="Times New Roman"/>
          <w:sz w:val="16"/>
          <w:szCs w:val="16"/>
          <w:lang w:val="en-US" w:bidi="en-US"/>
        </w:rPr>
      </w:pPr>
    </w:p>
    <w:p w:rsidR="00335FBE" w:rsidRDefault="00335FBE" w:rsidP="00335FBE">
      <w:pPr>
        <w:spacing w:after="0" w:line="240" w:lineRule="auto"/>
        <w:jc w:val="both"/>
        <w:rPr>
          <w:rFonts w:ascii="Calibri" w:eastAsia="Times New Roman" w:hAnsi="Calibri" w:cs="Times New Roman"/>
          <w:sz w:val="16"/>
          <w:szCs w:val="16"/>
          <w:lang w:val="en-US" w:bidi="en-US"/>
        </w:rPr>
      </w:pPr>
    </w:p>
    <w:p w:rsidR="00335FBE" w:rsidRPr="00AA55AF" w:rsidRDefault="00335FBE" w:rsidP="00335F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bidi="en-US"/>
        </w:rPr>
      </w:pPr>
      <w:r w:rsidRPr="00AA55AF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>A) Breast cancer cases &amp; cancer controls matched in ratio of 1:2. Colorectal cancer cases &amp; cancer-controls matched in ratio of 1:1.</w:t>
      </w:r>
    </w:p>
    <w:p w:rsidR="0021358C" w:rsidRPr="00AA55AF" w:rsidRDefault="00335FBE" w:rsidP="00CC36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bidi="en-US"/>
        </w:rPr>
      </w:pPr>
      <w:r w:rsidRPr="00AA55AF">
        <w:rPr>
          <w:rFonts w:ascii="Times New Roman" w:eastAsia="Times New Roman" w:hAnsi="Times New Roman" w:cs="Times New Roman"/>
          <w:sz w:val="20"/>
          <w:szCs w:val="20"/>
          <w:lang w:val="en-US" w:bidi="en-US"/>
        </w:rPr>
        <w:t xml:space="preserve">B) Matched on tumor stage (I, II, III), age (5 year caliper) and pre-diagnostic statin use (yes/no). Pre-diagnostic statin users were also matched on the intensity of pre-diagnostic statin exposure (10% caliper). Colorectal cancer patients are also matched on gender (male, female) </w:t>
      </w:r>
      <w:bookmarkStart w:id="1" w:name="_GoBack"/>
      <w:bookmarkEnd w:id="1"/>
    </w:p>
    <w:sectPr w:rsidR="0021358C" w:rsidRPr="00AA55AF" w:rsidSect="00CC362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EBC"/>
    <w:rsid w:val="00090CBD"/>
    <w:rsid w:val="00206CED"/>
    <w:rsid w:val="00335FBE"/>
    <w:rsid w:val="00423258"/>
    <w:rsid w:val="00691FDA"/>
    <w:rsid w:val="006B460D"/>
    <w:rsid w:val="0071091D"/>
    <w:rsid w:val="00716A59"/>
    <w:rsid w:val="008656DB"/>
    <w:rsid w:val="00993DFB"/>
    <w:rsid w:val="00AA55AF"/>
    <w:rsid w:val="00CC362A"/>
    <w:rsid w:val="00D66C17"/>
    <w:rsid w:val="00F21EBC"/>
    <w:rsid w:val="00F8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E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21EBC"/>
    <w:pPr>
      <w:spacing w:after="0" w:line="240" w:lineRule="auto"/>
      <w:jc w:val="both"/>
    </w:pPr>
    <w:rPr>
      <w:rFonts w:eastAsia="Times New Roman"/>
      <w:sz w:val="20"/>
      <w:szCs w:val="20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21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691F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1FD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91FDA"/>
    <w:rPr>
      <w:sz w:val="16"/>
      <w:szCs w:val="16"/>
    </w:rPr>
  </w:style>
  <w:style w:type="table" w:customStyle="1" w:styleId="TableGrid211">
    <w:name w:val="Table Grid211"/>
    <w:basedOn w:val="TableNormal"/>
    <w:next w:val="TableGrid"/>
    <w:uiPriority w:val="59"/>
    <w:rsid w:val="00691FDA"/>
    <w:pPr>
      <w:spacing w:after="0" w:line="240" w:lineRule="auto"/>
      <w:jc w:val="both"/>
    </w:pPr>
    <w:rPr>
      <w:rFonts w:eastAsia="Times New Roman"/>
      <w:sz w:val="20"/>
      <w:szCs w:val="20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1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E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21EBC"/>
    <w:pPr>
      <w:spacing w:after="0" w:line="240" w:lineRule="auto"/>
      <w:jc w:val="both"/>
    </w:pPr>
    <w:rPr>
      <w:rFonts w:eastAsia="Times New Roman"/>
      <w:sz w:val="20"/>
      <w:szCs w:val="20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21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691F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1FD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91FDA"/>
    <w:rPr>
      <w:sz w:val="16"/>
      <w:szCs w:val="16"/>
    </w:rPr>
  </w:style>
  <w:style w:type="table" w:customStyle="1" w:styleId="TableGrid211">
    <w:name w:val="Table Grid211"/>
    <w:basedOn w:val="TableNormal"/>
    <w:next w:val="TableGrid"/>
    <w:uiPriority w:val="59"/>
    <w:rsid w:val="00691FDA"/>
    <w:pPr>
      <w:spacing w:after="0" w:line="240" w:lineRule="auto"/>
      <w:jc w:val="both"/>
    </w:pPr>
    <w:rPr>
      <w:rFonts w:eastAsia="Times New Roman"/>
      <w:sz w:val="20"/>
      <w:szCs w:val="20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1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Amelia Smith</dc:creator>
  <cp:lastModifiedBy>Amelia Smith</cp:lastModifiedBy>
  <cp:revision>2</cp:revision>
  <dcterms:created xsi:type="dcterms:W3CDTF">2016-07-12T09:48:00Z</dcterms:created>
  <dcterms:modified xsi:type="dcterms:W3CDTF">2016-07-12T09:48:00Z</dcterms:modified>
</cp:coreProperties>
</file>