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495" w:type="dxa"/>
        <w:tblLook w:val="04A0" w:firstRow="1" w:lastRow="0" w:firstColumn="1" w:lastColumn="0" w:noHBand="0" w:noVBand="1"/>
      </w:tblPr>
      <w:tblGrid>
        <w:gridCol w:w="1847"/>
        <w:gridCol w:w="2089"/>
        <w:gridCol w:w="1845"/>
        <w:gridCol w:w="1846"/>
        <w:gridCol w:w="1855"/>
        <w:gridCol w:w="13"/>
      </w:tblGrid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Length of treatment gap/number of prescriptions per year</w:t>
            </w:r>
          </w:p>
        </w:tc>
        <w:tc>
          <w:tcPr>
            <w:tcW w:w="1845" w:type="dxa"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Breast cancer</w:t>
            </w:r>
          </w:p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6" w:type="dxa"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Prostate cancer</w:t>
            </w:r>
          </w:p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5" w:type="dxa"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Lung cancer</w:t>
            </w:r>
          </w:p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A082B" w:rsidRPr="001434FA" w:rsidTr="00780F98">
        <w:tc>
          <w:tcPr>
            <w:tcW w:w="9495" w:type="dxa"/>
            <w:gridSpan w:val="6"/>
            <w:tcBorders>
              <w:left w:val="nil"/>
              <w:right w:val="nil"/>
            </w:tcBorders>
            <w:shd w:val="clear" w:color="auto" w:fill="D5D0B4" w:themeFill="background2" w:themeFillShade="D9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Time to discontinuation, median (95% CI) weeks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Denosumab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(21–38)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(13–35)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(10–NR)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 (53–NR)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(29–83)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(33–NR)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(149–NR)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(83–NR)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(NR–NR)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Ibandronate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(25–53)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 (41–87)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 (56–NR)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Pamidronate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(16–40)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(11–NR)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(28–61)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(16–NR)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(54–NR)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NR (52–NR)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Zoledronic acid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 (23–30)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 (16–30)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(16–24)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(29–46)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(28–36)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 (24–51)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(64–110)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(76–NR)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(65–NR)</w:t>
            </w:r>
          </w:p>
        </w:tc>
      </w:tr>
      <w:tr w:rsidR="000A082B" w:rsidRPr="001434FA" w:rsidTr="00780F98">
        <w:tc>
          <w:tcPr>
            <w:tcW w:w="9495" w:type="dxa"/>
            <w:gridSpan w:val="6"/>
            <w:tcBorders>
              <w:left w:val="nil"/>
              <w:right w:val="nil"/>
            </w:tcBorders>
            <w:shd w:val="clear" w:color="auto" w:fill="D5D0B4" w:themeFill="background2" w:themeFillShade="D9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12-month persistence, % (95% CI)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Denosumab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32.9 (25.2–43.0)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24.9 (16.1–38.5)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13.1 (2.6–67.0)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59.3 (51.0–68.9)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43.7 (33.6–56.8)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56.6 (37.2–86.3)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82.9 (76.4–89.9)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70.7 (60.9–82.2)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81.1 (62.0–100.0)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Ibandronate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34.0 (22.2–52.3)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49.6 (36.8–66.9)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62.8 (50.0–78.9)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Pamidronate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 (12.3–36.8)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11.6 (2.3–59.2)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39.5 (27.8–56.1)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9.0 (1.5–55.3)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64.1 (51.0–80.5)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50.9 (26.9–96.3)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Zoledronic acid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28.2 (31.9–45.9)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17.7 (12.0–26.2)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 (3.6–19.3)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38.2 (31.9–45.9)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27.2 (20.3–36.6)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34.4 (25.1–47.2)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62.9 (56.2</w:t>
            </w: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softHyphen/>
              <w:t>–70.3)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63.6 (55.9–72.4)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73.3 (63.4–84.8)</w:t>
            </w:r>
          </w:p>
        </w:tc>
      </w:tr>
      <w:tr w:rsidR="000A082B" w:rsidRPr="001434FA" w:rsidTr="00780F98">
        <w:tc>
          <w:tcPr>
            <w:tcW w:w="9495" w:type="dxa"/>
            <w:gridSpan w:val="6"/>
            <w:tcBorders>
              <w:left w:val="nil"/>
              <w:right w:val="nil"/>
            </w:tcBorders>
            <w:shd w:val="clear" w:color="auto" w:fill="D5D0B4" w:themeFill="background2" w:themeFillShade="D9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12-month switch rate, % (95% CI)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Denosumab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(1.1–7.4)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 (0.2–5.8)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(0–9.5)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 (1.9–9.1)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 (0.2–5.8)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(0–9.5)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 (1.9–9.1)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 (1.3–9.2)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 (0.1–14.2)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Ibandronate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6.2 (1.7–15.0)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 (4.4–20.9)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15.4 (7.6–26.5)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Pamidronate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10.8 (4.4–20.9)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 (1.5–19.5)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12.3 (5.5–22.8)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 (2.7–22.6)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13.9 (6.5–24.7)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 (3.9–25.6)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Zoledronic acid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 (8.9–17.3)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 (3.7–10.9)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 (1.1–7.5)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14.2 (10.3–19.0)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 (5.5–13.8)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 (2.7–10.9)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19.5 (14.9–24.7)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11.4 (7.5–16.5)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6.5 (3.2–11.7)</w:t>
            </w:r>
          </w:p>
        </w:tc>
      </w:tr>
      <w:tr w:rsidR="000A082B" w:rsidRPr="001434FA" w:rsidTr="00780F98">
        <w:tc>
          <w:tcPr>
            <w:tcW w:w="9495" w:type="dxa"/>
            <w:gridSpan w:val="6"/>
            <w:tcBorders>
              <w:left w:val="nil"/>
              <w:right w:val="nil"/>
            </w:tcBorders>
            <w:shd w:val="clear" w:color="auto" w:fill="D5D0B4" w:themeFill="background2" w:themeFillShade="D9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12-month re-initiation rate, % (95% CI) 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Denosumab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45.5 (37.4–53.7)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41.5 (32.7–50.7)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37.8 (22.5–55.2)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23.4 (16.9–30.9)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27.6 (19.9–36.4)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21.6 (9.8–38.2)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 (2.3–9.9)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 (3.9–14.4)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 (0–9.49)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Ibandronate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41.5 (29.4–54.4)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27.7 (17.3–40.2)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 (3.5–19.0)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Pamidronate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44.6 (32.3–57.5)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26.2 (13.9–42.0)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30.8 (19.9–43.5)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11.9 (3.9–25.6)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7.7 (2.5–17.1)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 (0.1–12.6)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Zoledronic acid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 days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42.3 (36.3–48.5)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40.5 (33.8–47.5)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35.3 (27.8–43.4)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 days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32.6 (27.0–38.6)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31.9 (25.7–38.7)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23.5 (17.1–31.1)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 days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 (6.5–13.9)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 (4.1–11.5)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 (2.7–10.9)</w:t>
            </w:r>
          </w:p>
        </w:tc>
      </w:tr>
      <w:tr w:rsidR="000A082B" w:rsidRPr="001434FA" w:rsidTr="00780F98">
        <w:tc>
          <w:tcPr>
            <w:tcW w:w="9495" w:type="dxa"/>
            <w:gridSpan w:val="6"/>
            <w:tcBorders>
              <w:left w:val="nil"/>
              <w:right w:val="nil"/>
            </w:tcBorders>
            <w:shd w:val="clear" w:color="auto" w:fill="D5D0B4" w:themeFill="background2" w:themeFillShade="D9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12-month compliance, % (95% CI)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Denosumab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prescriptions/year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86.1 (76.5–92.8)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68.1 (52.9–80.9)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82.3 (72.1–89.9)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61.7 (46.4–75.5)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ind w:left="265" w:hanging="26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45.6 (34.3–57.2)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 (10.7–35.7)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Ibandronate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prescriptions/year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72.7 (54.5–86.7)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60.6 (42.1–77.1)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30.3 (15.6–48.7)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Pamidronate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prescriptions/year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66.7 (48.2–82.0)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63.6 (45.1–79.6)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33.3 (17.9–51.8)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  <w:tc>
          <w:tcPr>
            <w:tcW w:w="18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 w:val="restart"/>
            <w:tcBorders>
              <w:left w:val="nil"/>
              <w:right w:val="nil"/>
            </w:tcBorders>
            <w:vAlign w:val="center"/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Zoledronic acid</w:t>
            </w:r>
          </w:p>
        </w:tc>
        <w:tc>
          <w:tcPr>
            <w:tcW w:w="2089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prescriptions/year</w:t>
            </w:r>
          </w:p>
        </w:tc>
        <w:tc>
          <w:tcPr>
            <w:tcW w:w="184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59.7 (51.1–67.9)</w:t>
            </w:r>
          </w:p>
        </w:tc>
        <w:tc>
          <w:tcPr>
            <w:tcW w:w="1846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58.1 (47.0–68.7)</w:t>
            </w:r>
          </w:p>
        </w:tc>
        <w:tc>
          <w:tcPr>
            <w:tcW w:w="1855" w:type="dxa"/>
            <w:tcBorders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67.4 (51.5–80.9)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prescriptions/year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54.7 (46.0–63.1)</w:t>
            </w:r>
          </w:p>
        </w:tc>
        <w:tc>
          <w:tcPr>
            <w:tcW w:w="1846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47.7 (36.8–58.7)</w:t>
            </w:r>
          </w:p>
        </w:tc>
        <w:tc>
          <w:tcPr>
            <w:tcW w:w="1855" w:type="dxa"/>
            <w:tcBorders>
              <w:top w:val="nil"/>
              <w:left w:val="nil"/>
              <w:bottom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58.1 (42.1–72.9)</w:t>
            </w:r>
          </w:p>
        </w:tc>
      </w:tr>
      <w:tr w:rsidR="000A082B" w:rsidRPr="001434FA" w:rsidTr="00780F98">
        <w:trPr>
          <w:gridAfter w:val="1"/>
          <w:wAfter w:w="13" w:type="dxa"/>
        </w:trPr>
        <w:tc>
          <w:tcPr>
            <w:tcW w:w="1847" w:type="dxa"/>
            <w:vMerge/>
            <w:tcBorders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89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prescriptions/year</w:t>
            </w:r>
          </w:p>
        </w:tc>
        <w:tc>
          <w:tcPr>
            <w:tcW w:w="184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 (22.7–38.6)</w:t>
            </w:r>
          </w:p>
        </w:tc>
        <w:tc>
          <w:tcPr>
            <w:tcW w:w="1846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 (14.8–33.6)</w:t>
            </w:r>
          </w:p>
        </w:tc>
        <w:tc>
          <w:tcPr>
            <w:tcW w:w="1855" w:type="dxa"/>
            <w:tcBorders>
              <w:top w:val="nil"/>
              <w:left w:val="nil"/>
              <w:right w:val="nil"/>
            </w:tcBorders>
          </w:tcPr>
          <w:p w:rsidR="000A082B" w:rsidRPr="001434FA" w:rsidRDefault="000A082B" w:rsidP="00780F9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4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30.2 (17.2–46.1)</w:t>
            </w:r>
          </w:p>
        </w:tc>
      </w:tr>
    </w:tbl>
    <w:p w:rsidR="00971B3F" w:rsidRDefault="00971B3F">
      <w:bookmarkStart w:id="0" w:name="_GoBack"/>
      <w:bookmarkEnd w:id="0"/>
    </w:p>
    <w:sectPr w:rsidR="00971B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A082B"/>
    <w:rsid w:val="000A082B"/>
    <w:rsid w:val="00701EDB"/>
    <w:rsid w:val="00971B3F"/>
    <w:rsid w:val="00FD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5EAD4D-0892-4D23-8112-E23BD0BE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082B"/>
    <w:pPr>
      <w:spacing w:after="0" w:line="360" w:lineRule="auto"/>
    </w:pPr>
    <w:rPr>
      <w:rFonts w:eastAsiaTheme="minorEastAsia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082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Soady</dc:creator>
  <cp:keywords/>
  <dc:description/>
  <cp:lastModifiedBy>Kelly Soady</cp:lastModifiedBy>
  <cp:revision>1</cp:revision>
  <dcterms:created xsi:type="dcterms:W3CDTF">2019-04-01T13:19:00Z</dcterms:created>
  <dcterms:modified xsi:type="dcterms:W3CDTF">2019-04-01T14:44:00Z</dcterms:modified>
</cp:coreProperties>
</file>