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042904E" w14:textId="724D37C5" w:rsidR="00982EA7" w:rsidRPr="00F91963" w:rsidRDefault="00A976DB" w:rsidP="00F91963">
      <w:pPr>
        <w:rPr>
          <w:b/>
          <w:bCs/>
          <w:sz w:val="20"/>
          <w:szCs w:val="20"/>
        </w:rPr>
      </w:pPr>
      <w:r w:rsidRPr="00FE4176">
        <w:rPr>
          <w:b/>
          <w:bCs/>
          <w:sz w:val="20"/>
          <w:szCs w:val="20"/>
        </w:rPr>
        <w:t xml:space="preserve">Table </w:t>
      </w:r>
      <w:r w:rsidR="00DE19AB">
        <w:rPr>
          <w:b/>
          <w:bCs/>
          <w:sz w:val="20"/>
          <w:szCs w:val="20"/>
        </w:rPr>
        <w:t>1</w:t>
      </w:r>
      <w:r w:rsidRPr="00FE4176">
        <w:rPr>
          <w:b/>
          <w:bCs/>
          <w:sz w:val="20"/>
          <w:szCs w:val="20"/>
        </w:rPr>
        <w:t xml:space="preserve">: Malnutrition </w:t>
      </w:r>
      <w:r w:rsidR="005301B0">
        <w:rPr>
          <w:b/>
          <w:bCs/>
          <w:sz w:val="20"/>
          <w:szCs w:val="20"/>
        </w:rPr>
        <w:t>r</w:t>
      </w:r>
      <w:r w:rsidR="00201009">
        <w:rPr>
          <w:b/>
          <w:bCs/>
          <w:sz w:val="20"/>
          <w:szCs w:val="20"/>
        </w:rPr>
        <w:t xml:space="preserve">isk </w:t>
      </w:r>
      <w:r w:rsidR="005301B0">
        <w:rPr>
          <w:b/>
          <w:bCs/>
          <w:sz w:val="20"/>
          <w:szCs w:val="20"/>
        </w:rPr>
        <w:t>s</w:t>
      </w:r>
      <w:r w:rsidR="009271B3" w:rsidRPr="00FE4176">
        <w:rPr>
          <w:b/>
          <w:bCs/>
          <w:sz w:val="20"/>
          <w:szCs w:val="20"/>
        </w:rPr>
        <w:t xml:space="preserve">creening </w:t>
      </w:r>
      <w:r w:rsidR="005301B0">
        <w:rPr>
          <w:b/>
          <w:bCs/>
          <w:sz w:val="20"/>
          <w:szCs w:val="20"/>
        </w:rPr>
        <w:t>r</w:t>
      </w:r>
      <w:r w:rsidR="009271B3" w:rsidRPr="00FE4176">
        <w:rPr>
          <w:b/>
          <w:bCs/>
          <w:sz w:val="20"/>
          <w:szCs w:val="20"/>
        </w:rPr>
        <w:t>ecommendations</w:t>
      </w:r>
    </w:p>
    <w:tbl>
      <w:tblPr>
        <w:tblStyle w:val="ListTable4"/>
        <w:tblW w:w="9586" w:type="dxa"/>
        <w:tblLook w:val="04A0" w:firstRow="1" w:lastRow="0" w:firstColumn="1" w:lastColumn="0" w:noHBand="0" w:noVBand="1"/>
      </w:tblPr>
      <w:tblGrid>
        <w:gridCol w:w="6835"/>
        <w:gridCol w:w="2751"/>
      </w:tblGrid>
      <w:tr w:rsidR="00B361FD" w:rsidRPr="00856FDC" w14:paraId="74AE5058" w14:textId="77777777" w:rsidTr="00BE75C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835" w:type="dxa"/>
          </w:tcPr>
          <w:p w14:paraId="2023C0BD" w14:textId="7BB643A4" w:rsidR="00B361FD" w:rsidRPr="00856FDC" w:rsidRDefault="00494D77" w:rsidP="00893759">
            <w:pPr>
              <w:rPr>
                <w:sz w:val="20"/>
                <w:szCs w:val="20"/>
              </w:rPr>
            </w:pPr>
            <w:r w:rsidRPr="00856FDC">
              <w:rPr>
                <w:sz w:val="20"/>
                <w:szCs w:val="20"/>
              </w:rPr>
              <w:t>Recommendations</w:t>
            </w:r>
          </w:p>
        </w:tc>
        <w:tc>
          <w:tcPr>
            <w:tcW w:w="2751" w:type="dxa"/>
          </w:tcPr>
          <w:p w14:paraId="16A5E0D0" w14:textId="77777777" w:rsidR="00B361FD" w:rsidRPr="00856FDC" w:rsidRDefault="00B361FD" w:rsidP="00893759">
            <w:pPr>
              <w:cnfStyle w:val="100000000000" w:firstRow="1" w:lastRow="0" w:firstColumn="0" w:lastColumn="0" w:oddVBand="0" w:evenVBand="0" w:oddHBand="0" w:evenHBand="0" w:firstRowFirstColumn="0" w:firstRowLastColumn="0" w:lastRowFirstColumn="0" w:lastRowLastColumn="0"/>
              <w:rPr>
                <w:sz w:val="20"/>
                <w:szCs w:val="20"/>
              </w:rPr>
            </w:pPr>
            <w:r w:rsidRPr="00856FDC">
              <w:rPr>
                <w:sz w:val="20"/>
                <w:szCs w:val="20"/>
              </w:rPr>
              <w:t>Society</w:t>
            </w:r>
          </w:p>
        </w:tc>
      </w:tr>
      <w:tr w:rsidR="00B361FD" w:rsidRPr="00856FDC" w14:paraId="25F18582" w14:textId="77777777" w:rsidTr="00BE75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835" w:type="dxa"/>
          </w:tcPr>
          <w:p w14:paraId="2A91CD69" w14:textId="61F78679" w:rsidR="00B361FD" w:rsidRPr="00856FDC" w:rsidRDefault="00B361FD" w:rsidP="00893759">
            <w:pPr>
              <w:rPr>
                <w:sz w:val="20"/>
                <w:szCs w:val="20"/>
              </w:rPr>
            </w:pPr>
            <w:r w:rsidRPr="00856FDC">
              <w:rPr>
                <w:b w:val="0"/>
                <w:bCs w:val="0"/>
                <w:sz w:val="20"/>
                <w:szCs w:val="20"/>
              </w:rPr>
              <w:t>Adult oncology patients should be screened using a malnutrition screening tool validated in the setting in which the tool is intended for use.</w:t>
            </w:r>
          </w:p>
          <w:p w14:paraId="33A00C96" w14:textId="567104B8" w:rsidR="00672949" w:rsidRPr="00856FDC" w:rsidRDefault="00672949" w:rsidP="00893759">
            <w:pPr>
              <w:rPr>
                <w:sz w:val="20"/>
                <w:szCs w:val="20"/>
              </w:rPr>
            </w:pPr>
          </w:p>
          <w:p w14:paraId="5E4D366E" w14:textId="15006111" w:rsidR="00672949" w:rsidRPr="00856FDC" w:rsidRDefault="00672949" w:rsidP="00893759">
            <w:pPr>
              <w:rPr>
                <w:b w:val="0"/>
                <w:bCs w:val="0"/>
                <w:sz w:val="20"/>
                <w:szCs w:val="20"/>
              </w:rPr>
            </w:pPr>
            <w:r w:rsidRPr="00856FDC">
              <w:rPr>
                <w:b w:val="0"/>
                <w:bCs w:val="0"/>
                <w:sz w:val="20"/>
                <w:szCs w:val="20"/>
              </w:rPr>
              <w:t>All patients with cancer should be screened on entry into oncology services; rescreening should be repeated throughout treatment to facilitate referral as needed</w:t>
            </w:r>
            <w:r w:rsidR="000275CC" w:rsidRPr="00856FDC">
              <w:rPr>
                <w:b w:val="0"/>
                <w:bCs w:val="0"/>
                <w:sz w:val="20"/>
                <w:szCs w:val="20"/>
              </w:rPr>
              <w:t>.</w:t>
            </w:r>
          </w:p>
        </w:tc>
        <w:tc>
          <w:tcPr>
            <w:tcW w:w="2751" w:type="dxa"/>
          </w:tcPr>
          <w:p w14:paraId="532DFA8B" w14:textId="296A54B9" w:rsidR="00B361FD" w:rsidRPr="00856FDC" w:rsidRDefault="00B361FD" w:rsidP="00893759">
            <w:pPr>
              <w:cnfStyle w:val="000000100000" w:firstRow="0" w:lastRow="0" w:firstColumn="0" w:lastColumn="0" w:oddVBand="0" w:evenVBand="0" w:oddHBand="1" w:evenHBand="0" w:firstRowFirstColumn="0" w:firstRowLastColumn="0" w:lastRowFirstColumn="0" w:lastRowLastColumn="0"/>
              <w:rPr>
                <w:sz w:val="20"/>
                <w:szCs w:val="20"/>
              </w:rPr>
            </w:pPr>
            <w:r w:rsidRPr="00856FDC">
              <w:rPr>
                <w:sz w:val="20"/>
                <w:szCs w:val="20"/>
              </w:rPr>
              <w:t>Academy of Nutrition and Dietetics (AND</w:t>
            </w:r>
            <w:r w:rsidR="00672949" w:rsidRPr="00856FDC">
              <w:rPr>
                <w:sz w:val="20"/>
                <w:szCs w:val="20"/>
              </w:rPr>
              <w:t>)</w:t>
            </w:r>
            <w:r w:rsidR="006C427A" w:rsidRPr="00856FDC">
              <w:rPr>
                <w:sz w:val="20"/>
                <w:szCs w:val="20"/>
              </w:rPr>
              <w:t xml:space="preserve"> </w:t>
            </w:r>
          </w:p>
        </w:tc>
      </w:tr>
      <w:tr w:rsidR="00B361FD" w:rsidRPr="00856FDC" w14:paraId="729B8B45" w14:textId="77777777" w:rsidTr="00BE75CE">
        <w:tc>
          <w:tcPr>
            <w:cnfStyle w:val="001000000000" w:firstRow="0" w:lastRow="0" w:firstColumn="1" w:lastColumn="0" w:oddVBand="0" w:evenVBand="0" w:oddHBand="0" w:evenHBand="0" w:firstRowFirstColumn="0" w:firstRowLastColumn="0" w:lastRowFirstColumn="0" w:lastRowLastColumn="0"/>
            <w:tcW w:w="6835" w:type="dxa"/>
          </w:tcPr>
          <w:p w14:paraId="691E5753" w14:textId="359CB760" w:rsidR="00B361FD" w:rsidRPr="00856FDC" w:rsidRDefault="00B361FD" w:rsidP="00B361FD">
            <w:pPr>
              <w:rPr>
                <w:b w:val="0"/>
                <w:bCs w:val="0"/>
                <w:sz w:val="20"/>
                <w:szCs w:val="20"/>
              </w:rPr>
            </w:pPr>
            <w:r w:rsidRPr="00856FDC">
              <w:rPr>
                <w:b w:val="0"/>
                <w:bCs w:val="0"/>
                <w:sz w:val="20"/>
                <w:szCs w:val="20"/>
              </w:rPr>
              <w:t>Patients with cancer are nutritionally</w:t>
            </w:r>
            <w:r w:rsidR="00763763" w:rsidRPr="00856FDC">
              <w:rPr>
                <w:b w:val="0"/>
                <w:bCs w:val="0"/>
                <w:sz w:val="20"/>
                <w:szCs w:val="20"/>
              </w:rPr>
              <w:t xml:space="preserve"> </w:t>
            </w:r>
            <w:r w:rsidRPr="00856FDC">
              <w:rPr>
                <w:b w:val="0"/>
                <w:bCs w:val="0"/>
                <w:sz w:val="20"/>
                <w:szCs w:val="20"/>
              </w:rPr>
              <w:t>at</w:t>
            </w:r>
            <w:r w:rsidR="00763763" w:rsidRPr="00856FDC">
              <w:rPr>
                <w:b w:val="0"/>
                <w:bCs w:val="0"/>
                <w:sz w:val="20"/>
                <w:szCs w:val="20"/>
              </w:rPr>
              <w:t xml:space="preserve"> </w:t>
            </w:r>
            <w:r w:rsidRPr="00856FDC">
              <w:rPr>
                <w:b w:val="0"/>
                <w:bCs w:val="0"/>
                <w:sz w:val="20"/>
                <w:szCs w:val="20"/>
              </w:rPr>
              <w:t>risk and</w:t>
            </w:r>
            <w:r w:rsidR="006C427A" w:rsidRPr="00856FDC">
              <w:rPr>
                <w:b w:val="0"/>
                <w:bCs w:val="0"/>
                <w:sz w:val="20"/>
                <w:szCs w:val="20"/>
              </w:rPr>
              <w:t xml:space="preserve"> </w:t>
            </w:r>
            <w:r w:rsidRPr="00856FDC">
              <w:rPr>
                <w:b w:val="0"/>
                <w:bCs w:val="0"/>
                <w:sz w:val="20"/>
                <w:szCs w:val="20"/>
              </w:rPr>
              <w:t>should undergo nutrition screening to identify</w:t>
            </w:r>
            <w:r w:rsidR="006C427A" w:rsidRPr="00856FDC">
              <w:rPr>
                <w:b w:val="0"/>
                <w:bCs w:val="0"/>
                <w:sz w:val="20"/>
                <w:szCs w:val="20"/>
              </w:rPr>
              <w:t xml:space="preserve"> </w:t>
            </w:r>
            <w:r w:rsidRPr="00856FDC">
              <w:rPr>
                <w:b w:val="0"/>
                <w:bCs w:val="0"/>
                <w:sz w:val="20"/>
                <w:szCs w:val="20"/>
              </w:rPr>
              <w:t>those who require formal nutrition assessment with</w:t>
            </w:r>
          </w:p>
          <w:p w14:paraId="3D9B8BFE" w14:textId="02FEE1EE" w:rsidR="00B361FD" w:rsidRPr="00856FDC" w:rsidRDefault="00B361FD" w:rsidP="00B361FD">
            <w:pPr>
              <w:rPr>
                <w:b w:val="0"/>
                <w:bCs w:val="0"/>
                <w:sz w:val="20"/>
                <w:szCs w:val="20"/>
              </w:rPr>
            </w:pPr>
            <w:r w:rsidRPr="00856FDC">
              <w:rPr>
                <w:b w:val="0"/>
                <w:bCs w:val="0"/>
                <w:sz w:val="20"/>
                <w:szCs w:val="20"/>
              </w:rPr>
              <w:t xml:space="preserve">development of a nutrition care plan. </w:t>
            </w:r>
          </w:p>
        </w:tc>
        <w:tc>
          <w:tcPr>
            <w:tcW w:w="2751" w:type="dxa"/>
          </w:tcPr>
          <w:p w14:paraId="135658DB" w14:textId="040C6332" w:rsidR="00B361FD" w:rsidRPr="00856FDC" w:rsidRDefault="00B361FD" w:rsidP="00893759">
            <w:pPr>
              <w:cnfStyle w:val="000000000000" w:firstRow="0" w:lastRow="0" w:firstColumn="0" w:lastColumn="0" w:oddVBand="0" w:evenVBand="0" w:oddHBand="0" w:evenHBand="0" w:firstRowFirstColumn="0" w:firstRowLastColumn="0" w:lastRowFirstColumn="0" w:lastRowLastColumn="0"/>
              <w:rPr>
                <w:sz w:val="20"/>
                <w:szCs w:val="20"/>
              </w:rPr>
            </w:pPr>
            <w:r w:rsidRPr="00856FDC">
              <w:rPr>
                <w:sz w:val="20"/>
                <w:szCs w:val="20"/>
              </w:rPr>
              <w:t>American Society for Parenteral and Enteral Nutrition (ASPEN)</w:t>
            </w:r>
            <w:r w:rsidR="006C427A" w:rsidRPr="00856FDC">
              <w:rPr>
                <w:sz w:val="20"/>
                <w:szCs w:val="20"/>
              </w:rPr>
              <w:t xml:space="preserve"> </w:t>
            </w:r>
          </w:p>
        </w:tc>
      </w:tr>
      <w:tr w:rsidR="009271B3" w:rsidRPr="00856FDC" w14:paraId="384FDEEF" w14:textId="77777777" w:rsidTr="00BE75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835" w:type="dxa"/>
          </w:tcPr>
          <w:p w14:paraId="11E699F2" w14:textId="29F5A8ED" w:rsidR="009271B3" w:rsidRPr="00856FDC" w:rsidRDefault="009271B3" w:rsidP="00B361FD">
            <w:pPr>
              <w:rPr>
                <w:b w:val="0"/>
                <w:bCs w:val="0"/>
                <w:sz w:val="20"/>
                <w:szCs w:val="20"/>
              </w:rPr>
            </w:pPr>
            <w:r w:rsidRPr="00856FDC">
              <w:rPr>
                <w:b w:val="0"/>
                <w:bCs w:val="0"/>
                <w:sz w:val="20"/>
                <w:szCs w:val="20"/>
              </w:rPr>
              <w:t xml:space="preserve">Screen for malnutrition, weight loss, </w:t>
            </w:r>
            <w:r w:rsidR="00F07B84" w:rsidRPr="00856FDC">
              <w:rPr>
                <w:b w:val="0"/>
                <w:bCs w:val="0"/>
                <w:sz w:val="20"/>
                <w:szCs w:val="20"/>
              </w:rPr>
              <w:t>body mass index (</w:t>
            </w:r>
            <w:r w:rsidRPr="00856FDC">
              <w:rPr>
                <w:b w:val="0"/>
                <w:bCs w:val="0"/>
                <w:sz w:val="20"/>
                <w:szCs w:val="20"/>
              </w:rPr>
              <w:t>BMI</w:t>
            </w:r>
            <w:r w:rsidR="00F07B84" w:rsidRPr="00856FDC">
              <w:rPr>
                <w:b w:val="0"/>
                <w:bCs w:val="0"/>
                <w:sz w:val="20"/>
                <w:szCs w:val="20"/>
              </w:rPr>
              <w:t>)</w:t>
            </w:r>
            <w:r w:rsidRPr="00856FDC">
              <w:rPr>
                <w:b w:val="0"/>
                <w:bCs w:val="0"/>
                <w:sz w:val="20"/>
                <w:szCs w:val="20"/>
              </w:rPr>
              <w:t xml:space="preserve"> (as part of the geriatric assessment</w:t>
            </w:r>
            <w:r w:rsidR="00763763" w:rsidRPr="00856FDC">
              <w:rPr>
                <w:b w:val="0"/>
                <w:bCs w:val="0"/>
                <w:sz w:val="20"/>
                <w:szCs w:val="20"/>
              </w:rPr>
              <w:t>).</w:t>
            </w:r>
          </w:p>
        </w:tc>
        <w:tc>
          <w:tcPr>
            <w:tcW w:w="2751" w:type="dxa"/>
          </w:tcPr>
          <w:p w14:paraId="56ACA557" w14:textId="05E5284D" w:rsidR="009271B3" w:rsidRPr="00856FDC" w:rsidRDefault="009271B3" w:rsidP="00893759">
            <w:pPr>
              <w:cnfStyle w:val="000000100000" w:firstRow="0" w:lastRow="0" w:firstColumn="0" w:lastColumn="0" w:oddVBand="0" w:evenVBand="0" w:oddHBand="1" w:evenHBand="0" w:firstRowFirstColumn="0" w:firstRowLastColumn="0" w:lastRowFirstColumn="0" w:lastRowLastColumn="0"/>
              <w:rPr>
                <w:sz w:val="20"/>
                <w:szCs w:val="20"/>
              </w:rPr>
            </w:pPr>
            <w:r w:rsidRPr="00856FDC">
              <w:rPr>
                <w:sz w:val="20"/>
                <w:szCs w:val="20"/>
              </w:rPr>
              <w:t>American Society of Clinical Oncology (ASCO)</w:t>
            </w:r>
          </w:p>
        </w:tc>
      </w:tr>
      <w:tr w:rsidR="009271B3" w:rsidRPr="00856FDC" w14:paraId="057A6FEC" w14:textId="77777777" w:rsidTr="00BE75CE">
        <w:tc>
          <w:tcPr>
            <w:cnfStyle w:val="001000000000" w:firstRow="0" w:lastRow="0" w:firstColumn="1" w:lastColumn="0" w:oddVBand="0" w:evenVBand="0" w:oddHBand="0" w:evenHBand="0" w:firstRowFirstColumn="0" w:firstRowLastColumn="0" w:lastRowFirstColumn="0" w:lastRowLastColumn="0"/>
            <w:tcW w:w="6835" w:type="dxa"/>
          </w:tcPr>
          <w:p w14:paraId="5A53925F" w14:textId="4A988591" w:rsidR="009271B3" w:rsidRPr="00856FDC" w:rsidRDefault="009271B3" w:rsidP="00B361FD">
            <w:pPr>
              <w:rPr>
                <w:b w:val="0"/>
                <w:bCs w:val="0"/>
                <w:sz w:val="20"/>
                <w:szCs w:val="20"/>
              </w:rPr>
            </w:pPr>
            <w:r w:rsidRPr="00856FDC">
              <w:rPr>
                <w:b w:val="0"/>
                <w:bCs w:val="0"/>
                <w:sz w:val="20"/>
                <w:szCs w:val="20"/>
              </w:rPr>
              <w:t>Screen patients at risk for malnutrition</w:t>
            </w:r>
            <w:r w:rsidR="000275CC" w:rsidRPr="00856FDC">
              <w:rPr>
                <w:b w:val="0"/>
                <w:bCs w:val="0"/>
                <w:sz w:val="20"/>
                <w:szCs w:val="20"/>
              </w:rPr>
              <w:t>.</w:t>
            </w:r>
            <w:r w:rsidRPr="00856FDC">
              <w:rPr>
                <w:b w:val="0"/>
                <w:bCs w:val="0"/>
                <w:sz w:val="20"/>
                <w:szCs w:val="20"/>
              </w:rPr>
              <w:t xml:space="preserve"> </w:t>
            </w:r>
          </w:p>
        </w:tc>
        <w:tc>
          <w:tcPr>
            <w:tcW w:w="2751" w:type="dxa"/>
          </w:tcPr>
          <w:p w14:paraId="53231F73" w14:textId="02006FA4" w:rsidR="009271B3" w:rsidRPr="00856FDC" w:rsidRDefault="009271B3" w:rsidP="00893759">
            <w:pPr>
              <w:cnfStyle w:val="000000000000" w:firstRow="0" w:lastRow="0" w:firstColumn="0" w:lastColumn="0" w:oddVBand="0" w:evenVBand="0" w:oddHBand="0" w:evenHBand="0" w:firstRowFirstColumn="0" w:firstRowLastColumn="0" w:lastRowFirstColumn="0" w:lastRowLastColumn="0"/>
              <w:rPr>
                <w:sz w:val="20"/>
                <w:szCs w:val="20"/>
              </w:rPr>
            </w:pPr>
            <w:r w:rsidRPr="00856FDC">
              <w:rPr>
                <w:sz w:val="20"/>
                <w:szCs w:val="20"/>
              </w:rPr>
              <w:t>Association of Community Cancer Centers (ACCC) (USA)</w:t>
            </w:r>
          </w:p>
        </w:tc>
      </w:tr>
      <w:tr w:rsidR="006C427A" w:rsidRPr="00856FDC" w14:paraId="7B959EF3" w14:textId="77777777" w:rsidTr="00BE75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835" w:type="dxa"/>
          </w:tcPr>
          <w:p w14:paraId="77D8912B" w14:textId="3C2BE1DB" w:rsidR="006C427A" w:rsidRPr="00856FDC" w:rsidRDefault="006C427A" w:rsidP="00893759">
            <w:pPr>
              <w:rPr>
                <w:b w:val="0"/>
                <w:bCs w:val="0"/>
                <w:sz w:val="20"/>
                <w:szCs w:val="20"/>
              </w:rPr>
            </w:pPr>
            <w:r w:rsidRPr="00856FDC">
              <w:rPr>
                <w:b w:val="0"/>
                <w:bCs w:val="0"/>
                <w:sz w:val="20"/>
                <w:szCs w:val="20"/>
              </w:rPr>
              <w:t>All people with cancer should be screened for malnutrition and sarcopenia in all health settings at diagnosis and as the clinical situation changes throughout treatment and recovery.</w:t>
            </w:r>
          </w:p>
        </w:tc>
        <w:tc>
          <w:tcPr>
            <w:tcW w:w="2751" w:type="dxa"/>
          </w:tcPr>
          <w:p w14:paraId="4A46075F" w14:textId="5B26DF1C" w:rsidR="006C427A" w:rsidRPr="00856FDC" w:rsidRDefault="006C427A" w:rsidP="00893759">
            <w:pPr>
              <w:cnfStyle w:val="000000100000" w:firstRow="0" w:lastRow="0" w:firstColumn="0" w:lastColumn="0" w:oddVBand="0" w:evenVBand="0" w:oddHBand="1" w:evenHBand="0" w:firstRowFirstColumn="0" w:firstRowLastColumn="0" w:lastRowFirstColumn="0" w:lastRowLastColumn="0"/>
              <w:rPr>
                <w:sz w:val="20"/>
                <w:szCs w:val="20"/>
              </w:rPr>
            </w:pPr>
            <w:r w:rsidRPr="00856FDC">
              <w:rPr>
                <w:sz w:val="20"/>
                <w:szCs w:val="20"/>
              </w:rPr>
              <w:t xml:space="preserve">Clinical Oncology Society of Australia (COSA) </w:t>
            </w:r>
          </w:p>
        </w:tc>
      </w:tr>
      <w:tr w:rsidR="006C427A" w:rsidRPr="00856FDC" w14:paraId="285CB0CD" w14:textId="77777777" w:rsidTr="00BE75CE">
        <w:tc>
          <w:tcPr>
            <w:cnfStyle w:val="001000000000" w:firstRow="0" w:lastRow="0" w:firstColumn="1" w:lastColumn="0" w:oddVBand="0" w:evenVBand="0" w:oddHBand="0" w:evenHBand="0" w:firstRowFirstColumn="0" w:firstRowLastColumn="0" w:lastRowFirstColumn="0" w:lastRowLastColumn="0"/>
            <w:tcW w:w="6835" w:type="dxa"/>
          </w:tcPr>
          <w:p w14:paraId="71D16B9C" w14:textId="5848F4F3" w:rsidR="006C427A" w:rsidRPr="00856FDC" w:rsidRDefault="00672949" w:rsidP="00893759">
            <w:pPr>
              <w:rPr>
                <w:b w:val="0"/>
                <w:bCs w:val="0"/>
                <w:sz w:val="20"/>
                <w:szCs w:val="20"/>
              </w:rPr>
            </w:pPr>
            <w:r w:rsidRPr="00856FDC">
              <w:rPr>
                <w:b w:val="0"/>
                <w:bCs w:val="0"/>
                <w:sz w:val="20"/>
                <w:szCs w:val="20"/>
              </w:rPr>
              <w:t>I</w:t>
            </w:r>
            <w:r w:rsidR="006C427A" w:rsidRPr="00856FDC">
              <w:rPr>
                <w:b w:val="0"/>
                <w:bCs w:val="0"/>
                <w:sz w:val="20"/>
                <w:szCs w:val="20"/>
              </w:rPr>
              <w:t>dentifying patients at risk of simple starvation or pre-cachectic patients is within the clinical expertise of oncologists</w:t>
            </w:r>
            <w:r w:rsidR="000275CC" w:rsidRPr="00856FDC">
              <w:rPr>
                <w:b w:val="0"/>
                <w:bCs w:val="0"/>
                <w:sz w:val="20"/>
                <w:szCs w:val="20"/>
              </w:rPr>
              <w:t>.</w:t>
            </w:r>
            <w:r w:rsidR="006C427A" w:rsidRPr="00856FDC">
              <w:rPr>
                <w:b w:val="0"/>
                <w:bCs w:val="0"/>
                <w:sz w:val="20"/>
                <w:szCs w:val="20"/>
              </w:rPr>
              <w:t xml:space="preserve"> </w:t>
            </w:r>
          </w:p>
        </w:tc>
        <w:tc>
          <w:tcPr>
            <w:tcW w:w="2751" w:type="dxa"/>
          </w:tcPr>
          <w:p w14:paraId="0A1A2727" w14:textId="79850DDA" w:rsidR="006C427A" w:rsidRPr="00856FDC" w:rsidRDefault="006C427A" w:rsidP="00893759">
            <w:pPr>
              <w:cnfStyle w:val="000000000000" w:firstRow="0" w:lastRow="0" w:firstColumn="0" w:lastColumn="0" w:oddVBand="0" w:evenVBand="0" w:oddHBand="0" w:evenHBand="0" w:firstRowFirstColumn="0" w:firstRowLastColumn="0" w:lastRowFirstColumn="0" w:lastRowLastColumn="0"/>
              <w:rPr>
                <w:sz w:val="20"/>
                <w:szCs w:val="20"/>
              </w:rPr>
            </w:pPr>
            <w:r w:rsidRPr="00856FDC">
              <w:rPr>
                <w:sz w:val="20"/>
                <w:szCs w:val="20"/>
              </w:rPr>
              <w:t xml:space="preserve">European </w:t>
            </w:r>
            <w:r w:rsidR="00CB169C" w:rsidRPr="00856FDC">
              <w:rPr>
                <w:sz w:val="20"/>
                <w:szCs w:val="20"/>
              </w:rPr>
              <w:t xml:space="preserve">Society for </w:t>
            </w:r>
            <w:r w:rsidRPr="00856FDC">
              <w:rPr>
                <w:sz w:val="20"/>
                <w:szCs w:val="20"/>
              </w:rPr>
              <w:t xml:space="preserve">Medical Oncology (ESMO) </w:t>
            </w:r>
          </w:p>
        </w:tc>
      </w:tr>
      <w:tr w:rsidR="00B361FD" w:rsidRPr="00856FDC" w14:paraId="79F43B4C" w14:textId="77777777" w:rsidTr="00BE75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835" w:type="dxa"/>
          </w:tcPr>
          <w:p w14:paraId="79733682" w14:textId="76BB8E89" w:rsidR="00C93556" w:rsidRPr="00856FDC" w:rsidRDefault="00485A71" w:rsidP="00C93556">
            <w:pPr>
              <w:rPr>
                <w:rFonts w:cstheme="minorHAnsi"/>
                <w:sz w:val="20"/>
                <w:szCs w:val="20"/>
              </w:rPr>
            </w:pPr>
            <w:r w:rsidRPr="00856FDC">
              <w:rPr>
                <w:rFonts w:cstheme="minorHAnsi"/>
                <w:b w:val="0"/>
                <w:bCs w:val="0"/>
                <w:sz w:val="20"/>
                <w:szCs w:val="20"/>
              </w:rPr>
              <w:t>To detect nutritional disturbances at an early stage, we recommend to regularly evaluate nutritional intake, weight change, and BMI, beginning with cancer diagnosis and repeated depending on the stability of the clinical situation.</w:t>
            </w:r>
          </w:p>
          <w:p w14:paraId="20096281" w14:textId="30F164ED" w:rsidR="00C93556" w:rsidRPr="00856FDC" w:rsidRDefault="00C93556" w:rsidP="00C93556">
            <w:pPr>
              <w:rPr>
                <w:rFonts w:cstheme="minorHAnsi"/>
                <w:sz w:val="20"/>
                <w:szCs w:val="20"/>
              </w:rPr>
            </w:pPr>
          </w:p>
          <w:p w14:paraId="6742D482" w14:textId="251025AE" w:rsidR="00540320" w:rsidRPr="00856FDC" w:rsidRDefault="00540320" w:rsidP="00540320">
            <w:pPr>
              <w:rPr>
                <w:rFonts w:cstheme="minorHAnsi"/>
                <w:sz w:val="20"/>
                <w:szCs w:val="20"/>
              </w:rPr>
            </w:pPr>
            <w:r w:rsidRPr="00856FDC">
              <w:rPr>
                <w:rFonts w:cstheme="minorHAnsi"/>
                <w:b w:val="0"/>
                <w:bCs w:val="0"/>
                <w:sz w:val="20"/>
                <w:szCs w:val="20"/>
              </w:rPr>
              <w:t>We recommend to routinely screen all patients with advanced cancer for inadequate nutritional intake, weight loss, and low BMI, and if found at risk, to assess these patients further for both treatable nutrition impact symptoms and metabolic derangements.</w:t>
            </w:r>
          </w:p>
          <w:p w14:paraId="77825A00" w14:textId="77777777" w:rsidR="009A6DF2" w:rsidRPr="00856FDC" w:rsidRDefault="009A6DF2" w:rsidP="00540320">
            <w:pPr>
              <w:rPr>
                <w:rFonts w:cstheme="minorHAnsi"/>
                <w:sz w:val="20"/>
                <w:szCs w:val="20"/>
              </w:rPr>
            </w:pPr>
          </w:p>
          <w:p w14:paraId="543ABB5E" w14:textId="2BAB3F08" w:rsidR="00485A71" w:rsidRPr="00856FDC" w:rsidRDefault="00C93556" w:rsidP="00540320">
            <w:pPr>
              <w:rPr>
                <w:rFonts w:ascii="Cambria,BoldItalic" w:hAnsi="Cambria,BoldItalic" w:cs="Cambria,BoldItalic"/>
                <w:b w:val="0"/>
                <w:bCs w:val="0"/>
                <w:i/>
                <w:iCs/>
                <w:sz w:val="20"/>
                <w:szCs w:val="20"/>
              </w:rPr>
            </w:pPr>
            <w:r w:rsidRPr="00856FDC">
              <w:rPr>
                <w:rFonts w:cstheme="minorHAnsi"/>
                <w:b w:val="0"/>
                <w:bCs w:val="0"/>
                <w:sz w:val="20"/>
                <w:szCs w:val="20"/>
              </w:rPr>
              <w:t>For all cancer patient undergoing either curative or palliative surgery, we recommend management within an enhanced recovery after surgery (ERAS) program; within this program, every patient should be screened for malnutrition and if deemed at risk, given additional nutritional support</w:t>
            </w:r>
            <w:r w:rsidR="004F4FAD" w:rsidRPr="00856FDC">
              <w:rPr>
                <w:rFonts w:cstheme="minorHAnsi"/>
                <w:b w:val="0"/>
                <w:bCs w:val="0"/>
                <w:sz w:val="20"/>
                <w:szCs w:val="20"/>
              </w:rPr>
              <w:t>.</w:t>
            </w:r>
          </w:p>
        </w:tc>
        <w:tc>
          <w:tcPr>
            <w:tcW w:w="2751" w:type="dxa"/>
          </w:tcPr>
          <w:p w14:paraId="6C32F52A" w14:textId="71469B06" w:rsidR="00B361FD" w:rsidRPr="00856FDC" w:rsidRDefault="00982EA7" w:rsidP="00982EA7">
            <w:pPr>
              <w:cnfStyle w:val="000000100000" w:firstRow="0" w:lastRow="0" w:firstColumn="0" w:lastColumn="0" w:oddVBand="0" w:evenVBand="0" w:oddHBand="1" w:evenHBand="0" w:firstRowFirstColumn="0" w:firstRowLastColumn="0" w:lastRowFirstColumn="0" w:lastRowLastColumn="0"/>
              <w:rPr>
                <w:sz w:val="20"/>
                <w:szCs w:val="20"/>
              </w:rPr>
            </w:pPr>
            <w:r w:rsidRPr="00856FDC">
              <w:rPr>
                <w:sz w:val="20"/>
                <w:szCs w:val="20"/>
              </w:rPr>
              <w:t>European Society for Clinical Nutrition and Metabolism (ESPEN)</w:t>
            </w:r>
            <w:r w:rsidR="006C427A" w:rsidRPr="00856FDC">
              <w:rPr>
                <w:sz w:val="20"/>
                <w:szCs w:val="20"/>
              </w:rPr>
              <w:t>*</w:t>
            </w:r>
          </w:p>
        </w:tc>
      </w:tr>
      <w:tr w:rsidR="00853546" w:rsidRPr="00856FDC" w14:paraId="62CF80B7" w14:textId="77777777" w:rsidTr="00BE75CE">
        <w:tc>
          <w:tcPr>
            <w:cnfStyle w:val="001000000000" w:firstRow="0" w:lastRow="0" w:firstColumn="1" w:lastColumn="0" w:oddVBand="0" w:evenVBand="0" w:oddHBand="0" w:evenHBand="0" w:firstRowFirstColumn="0" w:firstRowLastColumn="0" w:lastRowFirstColumn="0" w:lastRowLastColumn="0"/>
            <w:tcW w:w="6835" w:type="dxa"/>
          </w:tcPr>
          <w:p w14:paraId="33CA0FE0" w14:textId="18F618C0" w:rsidR="00853546" w:rsidRPr="00856FDC" w:rsidRDefault="00853546" w:rsidP="00982EA7">
            <w:pPr>
              <w:rPr>
                <w:b w:val="0"/>
                <w:bCs w:val="0"/>
                <w:sz w:val="20"/>
                <w:szCs w:val="20"/>
              </w:rPr>
            </w:pPr>
            <w:r w:rsidRPr="00856FDC">
              <w:rPr>
                <w:b w:val="0"/>
                <w:bCs w:val="0"/>
                <w:sz w:val="20"/>
                <w:szCs w:val="20"/>
              </w:rPr>
              <w:t>All patients should be evaluated for nutritional risks</w:t>
            </w:r>
            <w:r w:rsidR="00E25D15" w:rsidRPr="00856FDC">
              <w:rPr>
                <w:b w:val="0"/>
                <w:bCs w:val="0"/>
                <w:sz w:val="20"/>
                <w:szCs w:val="20"/>
              </w:rPr>
              <w:t>.</w:t>
            </w:r>
          </w:p>
        </w:tc>
        <w:tc>
          <w:tcPr>
            <w:tcW w:w="2751" w:type="dxa"/>
          </w:tcPr>
          <w:p w14:paraId="69CFC543" w14:textId="54E7DCA8" w:rsidR="00853546" w:rsidRPr="00856FDC" w:rsidRDefault="00853546" w:rsidP="00982EA7">
            <w:pPr>
              <w:cnfStyle w:val="000000000000" w:firstRow="0" w:lastRow="0" w:firstColumn="0" w:lastColumn="0" w:oddVBand="0" w:evenVBand="0" w:oddHBand="0" w:evenHBand="0" w:firstRowFirstColumn="0" w:firstRowLastColumn="0" w:lastRowFirstColumn="0" w:lastRowLastColumn="0"/>
              <w:rPr>
                <w:sz w:val="20"/>
                <w:szCs w:val="20"/>
              </w:rPr>
            </w:pPr>
            <w:r w:rsidRPr="00856FDC">
              <w:rPr>
                <w:sz w:val="20"/>
                <w:szCs w:val="20"/>
              </w:rPr>
              <w:t>National Comprehensive Cancer Network (NCCN) - USA</w:t>
            </w:r>
          </w:p>
        </w:tc>
      </w:tr>
      <w:tr w:rsidR="00672949" w:rsidRPr="00856FDC" w14:paraId="3F96F38F" w14:textId="77777777" w:rsidTr="00BE75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835" w:type="dxa"/>
          </w:tcPr>
          <w:p w14:paraId="1F5F9E3A" w14:textId="2A6207AA" w:rsidR="00672949" w:rsidRPr="00856FDC" w:rsidRDefault="00672949" w:rsidP="00982EA7">
            <w:pPr>
              <w:rPr>
                <w:b w:val="0"/>
                <w:bCs w:val="0"/>
                <w:sz w:val="20"/>
                <w:szCs w:val="20"/>
              </w:rPr>
            </w:pPr>
            <w:r w:rsidRPr="00856FDC">
              <w:rPr>
                <w:b w:val="0"/>
                <w:bCs w:val="0"/>
                <w:sz w:val="20"/>
                <w:szCs w:val="20"/>
              </w:rPr>
              <w:t>Nutritional screening should be performed using validated tools (NRS 2002</w:t>
            </w:r>
            <w:r w:rsidR="004F4FAD" w:rsidRPr="00856FDC">
              <w:rPr>
                <w:b w:val="0"/>
                <w:bCs w:val="0"/>
                <w:sz w:val="20"/>
                <w:szCs w:val="20"/>
              </w:rPr>
              <w:t xml:space="preserve"> [Nutritional Risk Screening (2002)]</w:t>
            </w:r>
            <w:r w:rsidRPr="00856FDC">
              <w:rPr>
                <w:b w:val="0"/>
                <w:bCs w:val="0"/>
                <w:sz w:val="20"/>
                <w:szCs w:val="20"/>
              </w:rPr>
              <w:t>, MUST</w:t>
            </w:r>
            <w:r w:rsidR="004F4FAD" w:rsidRPr="00856FDC">
              <w:rPr>
                <w:b w:val="0"/>
                <w:bCs w:val="0"/>
                <w:sz w:val="20"/>
                <w:szCs w:val="20"/>
              </w:rPr>
              <w:t xml:space="preserve"> [Malnutrition Universal Screening Tool]</w:t>
            </w:r>
            <w:r w:rsidRPr="00856FDC">
              <w:rPr>
                <w:b w:val="0"/>
                <w:bCs w:val="0"/>
                <w:sz w:val="20"/>
                <w:szCs w:val="20"/>
              </w:rPr>
              <w:t>, MST</w:t>
            </w:r>
            <w:r w:rsidR="004F4FAD" w:rsidRPr="00856FDC">
              <w:rPr>
                <w:b w:val="0"/>
                <w:bCs w:val="0"/>
                <w:sz w:val="20"/>
                <w:szCs w:val="20"/>
              </w:rPr>
              <w:t xml:space="preserve"> [Malnutrition Screening Tool]</w:t>
            </w:r>
            <w:r w:rsidRPr="00856FDC">
              <w:rPr>
                <w:b w:val="0"/>
                <w:bCs w:val="0"/>
                <w:sz w:val="20"/>
                <w:szCs w:val="20"/>
              </w:rPr>
              <w:t>, MNA</w:t>
            </w:r>
            <w:r w:rsidR="004F4FAD" w:rsidRPr="00856FDC">
              <w:rPr>
                <w:b w:val="0"/>
                <w:bCs w:val="0"/>
                <w:sz w:val="20"/>
                <w:szCs w:val="20"/>
              </w:rPr>
              <w:t xml:space="preserve"> [Mini Nutritional Assessment]</w:t>
            </w:r>
            <w:r w:rsidRPr="00856FDC">
              <w:rPr>
                <w:b w:val="0"/>
                <w:bCs w:val="0"/>
                <w:sz w:val="20"/>
                <w:szCs w:val="20"/>
              </w:rPr>
              <w:t>) upon diagnosis and systematically repeated at regular time points in patients with cancer type, stage or treatment potentially affecting nutritional status.</w:t>
            </w:r>
          </w:p>
        </w:tc>
        <w:tc>
          <w:tcPr>
            <w:tcW w:w="2751" w:type="dxa"/>
          </w:tcPr>
          <w:p w14:paraId="3245ECB7" w14:textId="204CE4F8" w:rsidR="00672949" w:rsidRPr="00856FDC" w:rsidRDefault="00672949" w:rsidP="00982EA7">
            <w:pPr>
              <w:cnfStyle w:val="000000100000" w:firstRow="0" w:lastRow="0" w:firstColumn="0" w:lastColumn="0" w:oddVBand="0" w:evenVBand="0" w:oddHBand="1" w:evenHBand="0" w:firstRowFirstColumn="0" w:firstRowLastColumn="0" w:lastRowFirstColumn="0" w:lastRowLastColumn="0"/>
              <w:rPr>
                <w:sz w:val="20"/>
                <w:szCs w:val="20"/>
              </w:rPr>
            </w:pPr>
            <w:r w:rsidRPr="00856FDC">
              <w:rPr>
                <w:sz w:val="20"/>
                <w:szCs w:val="20"/>
              </w:rPr>
              <w:t>Italian Society of Medical Oncology (AIOM) &amp; Italian Society of Artificial Nutrition and Metabolism (SINPE)</w:t>
            </w:r>
          </w:p>
        </w:tc>
      </w:tr>
      <w:tr w:rsidR="00550BDB" w:rsidRPr="00856FDC" w14:paraId="6EA5B2C7" w14:textId="77777777" w:rsidTr="00BE75CE">
        <w:tc>
          <w:tcPr>
            <w:cnfStyle w:val="001000000000" w:firstRow="0" w:lastRow="0" w:firstColumn="1" w:lastColumn="0" w:oddVBand="0" w:evenVBand="0" w:oddHBand="0" w:evenHBand="0" w:firstRowFirstColumn="0" w:firstRowLastColumn="0" w:lastRowFirstColumn="0" w:lastRowLastColumn="0"/>
            <w:tcW w:w="6835" w:type="dxa"/>
          </w:tcPr>
          <w:p w14:paraId="08EBA4BF" w14:textId="3514E5D3" w:rsidR="00550BDB" w:rsidRPr="00856FDC" w:rsidRDefault="00672949" w:rsidP="00550BDB">
            <w:pPr>
              <w:rPr>
                <w:b w:val="0"/>
                <w:bCs w:val="0"/>
                <w:sz w:val="20"/>
                <w:szCs w:val="20"/>
              </w:rPr>
            </w:pPr>
            <w:r w:rsidRPr="00856FDC">
              <w:rPr>
                <w:b w:val="0"/>
                <w:bCs w:val="0"/>
                <w:sz w:val="20"/>
                <w:szCs w:val="20"/>
              </w:rPr>
              <w:t>P</w:t>
            </w:r>
            <w:r w:rsidR="00AE5A78" w:rsidRPr="00856FDC">
              <w:rPr>
                <w:b w:val="0"/>
                <w:bCs w:val="0"/>
                <w:sz w:val="20"/>
                <w:szCs w:val="20"/>
              </w:rPr>
              <w:t xml:space="preserve">atients </w:t>
            </w:r>
            <w:r w:rsidRPr="00856FDC">
              <w:rPr>
                <w:b w:val="0"/>
                <w:bCs w:val="0"/>
                <w:sz w:val="20"/>
                <w:szCs w:val="20"/>
              </w:rPr>
              <w:t xml:space="preserve">with head and neck cancer should be nutritionally screened using a validated screening tool at diagnosis and then repeated at intervals through each stage of treatment. </w:t>
            </w:r>
          </w:p>
        </w:tc>
        <w:tc>
          <w:tcPr>
            <w:tcW w:w="2751" w:type="dxa"/>
          </w:tcPr>
          <w:p w14:paraId="1C7BBA5F" w14:textId="77777777" w:rsidR="00550BDB" w:rsidRPr="00856FDC" w:rsidRDefault="00550BDB" w:rsidP="00550BDB">
            <w:pPr>
              <w:cnfStyle w:val="000000000000" w:firstRow="0" w:lastRow="0" w:firstColumn="0" w:lastColumn="0" w:oddVBand="0" w:evenVBand="0" w:oddHBand="0" w:evenHBand="0" w:firstRowFirstColumn="0" w:firstRowLastColumn="0" w:lastRowFirstColumn="0" w:lastRowLastColumn="0"/>
              <w:rPr>
                <w:sz w:val="20"/>
                <w:szCs w:val="20"/>
              </w:rPr>
            </w:pPr>
            <w:r w:rsidRPr="00856FDC">
              <w:rPr>
                <w:sz w:val="20"/>
                <w:szCs w:val="20"/>
              </w:rPr>
              <w:t>United Kingdom National Multidisciplinary</w:t>
            </w:r>
          </w:p>
          <w:p w14:paraId="531BDACC" w14:textId="51A981E9" w:rsidR="00550BDB" w:rsidRPr="00856FDC" w:rsidRDefault="00550BDB" w:rsidP="00550BDB">
            <w:pPr>
              <w:cnfStyle w:val="000000000000" w:firstRow="0" w:lastRow="0" w:firstColumn="0" w:lastColumn="0" w:oddVBand="0" w:evenVBand="0" w:oddHBand="0" w:evenHBand="0" w:firstRowFirstColumn="0" w:firstRowLastColumn="0" w:lastRowFirstColumn="0" w:lastRowLastColumn="0"/>
              <w:rPr>
                <w:sz w:val="20"/>
                <w:szCs w:val="20"/>
              </w:rPr>
            </w:pPr>
            <w:r w:rsidRPr="00856FDC">
              <w:rPr>
                <w:sz w:val="20"/>
                <w:szCs w:val="20"/>
              </w:rPr>
              <w:t>Guidelines</w:t>
            </w:r>
          </w:p>
        </w:tc>
      </w:tr>
      <w:tr w:rsidR="0078368A" w:rsidRPr="00856FDC" w14:paraId="4D584874" w14:textId="77777777" w:rsidTr="00BE75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835" w:type="dxa"/>
          </w:tcPr>
          <w:p w14:paraId="28FDF917" w14:textId="2C195660" w:rsidR="0078368A" w:rsidRPr="00856FDC" w:rsidRDefault="0078368A" w:rsidP="00550BDB">
            <w:pPr>
              <w:rPr>
                <w:b w:val="0"/>
                <w:bCs w:val="0"/>
                <w:sz w:val="20"/>
                <w:szCs w:val="20"/>
              </w:rPr>
            </w:pPr>
            <w:r w:rsidRPr="00856FDC">
              <w:rPr>
                <w:b w:val="0"/>
                <w:bCs w:val="0"/>
                <w:sz w:val="20"/>
                <w:szCs w:val="20"/>
              </w:rPr>
              <w:t xml:space="preserve">Components of oncology nutrition services </w:t>
            </w:r>
            <w:r w:rsidR="00763763" w:rsidRPr="00856FDC">
              <w:rPr>
                <w:b w:val="0"/>
                <w:bCs w:val="0"/>
                <w:sz w:val="20"/>
                <w:szCs w:val="20"/>
              </w:rPr>
              <w:t>include but</w:t>
            </w:r>
            <w:r w:rsidRPr="00856FDC">
              <w:rPr>
                <w:b w:val="0"/>
                <w:bCs w:val="0"/>
                <w:sz w:val="20"/>
                <w:szCs w:val="20"/>
              </w:rPr>
              <w:t xml:space="preserve"> are not limited to: screening and nutrition assessment for risk and diagnosis of malnutrition, nutrition-related problems, and overweight and obesity</w:t>
            </w:r>
            <w:r w:rsidR="00293734" w:rsidRPr="00856FDC">
              <w:rPr>
                <w:b w:val="0"/>
                <w:bCs w:val="0"/>
                <w:sz w:val="20"/>
                <w:szCs w:val="20"/>
              </w:rPr>
              <w:t>.</w:t>
            </w:r>
          </w:p>
        </w:tc>
        <w:tc>
          <w:tcPr>
            <w:tcW w:w="2751" w:type="dxa"/>
          </w:tcPr>
          <w:p w14:paraId="32499EA7" w14:textId="755D1ABA" w:rsidR="0078368A" w:rsidRPr="00856FDC" w:rsidRDefault="0078368A" w:rsidP="00550BDB">
            <w:pPr>
              <w:cnfStyle w:val="000000100000" w:firstRow="0" w:lastRow="0" w:firstColumn="0" w:lastColumn="0" w:oddVBand="0" w:evenVBand="0" w:oddHBand="1" w:evenHBand="0" w:firstRowFirstColumn="0" w:firstRowLastColumn="0" w:lastRowFirstColumn="0" w:lastRowLastColumn="0"/>
              <w:rPr>
                <w:sz w:val="20"/>
                <w:szCs w:val="20"/>
              </w:rPr>
            </w:pPr>
            <w:r w:rsidRPr="00856FDC">
              <w:rPr>
                <w:sz w:val="20"/>
                <w:szCs w:val="20"/>
              </w:rPr>
              <w:t>American College of Surgeons (ACS)</w:t>
            </w:r>
            <w:r w:rsidR="00F07B84" w:rsidRPr="00856FDC">
              <w:rPr>
                <w:sz w:val="20"/>
                <w:szCs w:val="20"/>
              </w:rPr>
              <w:t>**</w:t>
            </w:r>
          </w:p>
        </w:tc>
      </w:tr>
    </w:tbl>
    <w:p w14:paraId="41A9BE1B" w14:textId="0FD73634" w:rsidR="00B361FD" w:rsidRPr="00F07B84" w:rsidRDefault="006C427A" w:rsidP="00B361FD">
      <w:pPr>
        <w:rPr>
          <w:sz w:val="20"/>
          <w:szCs w:val="20"/>
        </w:rPr>
      </w:pPr>
      <w:r w:rsidRPr="00F07B84">
        <w:rPr>
          <w:sz w:val="20"/>
          <w:szCs w:val="20"/>
        </w:rPr>
        <w:t>*: These guidelines have been officially endorsed by the European Society of Surgical Oncology (ESSO), the European Association for Palliative care (EAPC) and the Chinese Society of Clinical Oncology (CSCO).</w:t>
      </w:r>
    </w:p>
    <w:p w14:paraId="18C79772" w14:textId="06A86AFF" w:rsidR="00F07B84" w:rsidRDefault="00F07B84" w:rsidP="00F07B84">
      <w:pPr>
        <w:rPr>
          <w:sz w:val="20"/>
          <w:szCs w:val="20"/>
        </w:rPr>
      </w:pPr>
      <w:r w:rsidRPr="00F07B84">
        <w:rPr>
          <w:sz w:val="20"/>
          <w:szCs w:val="20"/>
        </w:rPr>
        <w:lastRenderedPageBreak/>
        <w:t>**From Optimal Resources for Cancer Care, 2020 Standards; These standards are intended solely as qualification criteria for Commission on Cancer (</w:t>
      </w:r>
      <w:proofErr w:type="spellStart"/>
      <w:r w:rsidRPr="00F07B84">
        <w:rPr>
          <w:sz w:val="20"/>
          <w:szCs w:val="20"/>
        </w:rPr>
        <w:t>CoC</w:t>
      </w:r>
      <w:proofErr w:type="spellEnd"/>
      <w:r w:rsidRPr="00F07B84">
        <w:rPr>
          <w:sz w:val="20"/>
          <w:szCs w:val="20"/>
        </w:rPr>
        <w:t>) accreditation. They do not constitute a standard of care and are not intended to replace the medical judgment of the physician or health care professional in individual circumstances.</w:t>
      </w:r>
    </w:p>
    <w:p w14:paraId="57DFF1DF" w14:textId="77777777" w:rsidR="002E270A" w:rsidRDefault="002E270A" w:rsidP="002E270A">
      <w:pPr>
        <w:spacing w:after="120" w:line="480" w:lineRule="auto"/>
        <w:rPr>
          <w:b/>
          <w:bCs/>
        </w:rPr>
      </w:pPr>
    </w:p>
    <w:p w14:paraId="7C56B86D" w14:textId="1D708FC9" w:rsidR="00C55909" w:rsidRDefault="00C55909">
      <w:pPr>
        <w:rPr>
          <w:b/>
          <w:sz w:val="20"/>
          <w:szCs w:val="20"/>
        </w:rPr>
      </w:pPr>
    </w:p>
    <w:sectPr w:rsidR="00C55909">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B64A13D" w14:textId="77777777" w:rsidR="00075272" w:rsidRDefault="00075272" w:rsidP="002C0D54">
      <w:pPr>
        <w:spacing w:after="0" w:line="240" w:lineRule="auto"/>
      </w:pPr>
      <w:r>
        <w:separator/>
      </w:r>
    </w:p>
  </w:endnote>
  <w:endnote w:type="continuationSeparator" w:id="0">
    <w:p w14:paraId="056ED4C8" w14:textId="77777777" w:rsidR="00075272" w:rsidRDefault="00075272" w:rsidP="002C0D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BoldItalic">
    <w:altName w:val="Cambria"/>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64847539"/>
      <w:docPartObj>
        <w:docPartGallery w:val="Page Numbers (Bottom of Page)"/>
        <w:docPartUnique/>
      </w:docPartObj>
    </w:sdtPr>
    <w:sdtEndPr>
      <w:rPr>
        <w:noProof/>
      </w:rPr>
    </w:sdtEndPr>
    <w:sdtContent>
      <w:p w14:paraId="0048624B" w14:textId="46AFAF21" w:rsidR="006D5823" w:rsidRDefault="006D5823">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0B6229A" w14:textId="77777777" w:rsidR="006D5823" w:rsidRDefault="006D582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D655D2B" w14:textId="77777777" w:rsidR="00075272" w:rsidRDefault="00075272" w:rsidP="002C0D54">
      <w:pPr>
        <w:spacing w:after="0" w:line="240" w:lineRule="auto"/>
      </w:pPr>
      <w:r>
        <w:separator/>
      </w:r>
    </w:p>
  </w:footnote>
  <w:footnote w:type="continuationSeparator" w:id="0">
    <w:p w14:paraId="18CFE394" w14:textId="77777777" w:rsidR="00075272" w:rsidRDefault="00075272" w:rsidP="002C0D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E2E839" w14:textId="0246765C" w:rsidR="006D5823" w:rsidRDefault="00DE19AB" w:rsidP="00EC5549">
    <w:pPr>
      <w:pStyle w:val="Header"/>
      <w:jc w:val="right"/>
    </w:pPr>
    <w:r>
      <w:fldChar w:fldCharType="begin"/>
    </w:r>
    <w:r>
      <w:instrText xml:space="preserve"> FILENAME \* MERGEFORMAT </w:instrText>
    </w:r>
    <w:r>
      <w:fldChar w:fldCharType="separate"/>
    </w:r>
    <w:r w:rsidR="00F91963">
      <w:rPr>
        <w:noProof/>
      </w:rPr>
      <w:t>SUPPLEMENTAR</w:t>
    </w:r>
    <w:r>
      <w:rPr>
        <w:noProof/>
      </w:rPr>
      <w:t>Y TABLE 1</w:t>
    </w:r>
    <w:r w:rsidR="006D5823">
      <w:rPr>
        <w:noProof/>
      </w:rPr>
      <w:t>_Guidelines_v</w:t>
    </w:r>
    <w:r>
      <w:rPr>
        <w:noProof/>
      </w:rPr>
      <w:t>2</w:t>
    </w:r>
    <w:r w:rsidR="006D5823">
      <w:rPr>
        <w:noProof/>
      </w:rPr>
      <w:t>_20210</w:t>
    </w:r>
    <w:r>
      <w:rPr>
        <w:noProof/>
      </w:rPr>
      <w:t>630</w:t>
    </w:r>
    <w:r w:rsidR="006D5823">
      <w:rPr>
        <w:noProof/>
      </w:rPr>
      <w:t>.docx</w:t>
    </w:r>
    <w:r>
      <w:rPr>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235A0B"/>
    <w:multiLevelType w:val="hybridMultilevel"/>
    <w:tmpl w:val="38B2799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100C3F13"/>
    <w:multiLevelType w:val="hybridMultilevel"/>
    <w:tmpl w:val="17B6207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F680148"/>
    <w:multiLevelType w:val="hybridMultilevel"/>
    <w:tmpl w:val="98EC2F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7BA39E6"/>
    <w:multiLevelType w:val="hybridMultilevel"/>
    <w:tmpl w:val="BFEA1D3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31E96599"/>
    <w:multiLevelType w:val="hybridMultilevel"/>
    <w:tmpl w:val="B89832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27D328A"/>
    <w:multiLevelType w:val="hybridMultilevel"/>
    <w:tmpl w:val="4294733C"/>
    <w:lvl w:ilvl="0" w:tplc="04090001">
      <w:start w:val="1"/>
      <w:numFmt w:val="bullet"/>
      <w:lvlText w:val=""/>
      <w:lvlJc w:val="left"/>
      <w:pPr>
        <w:ind w:left="948" w:hanging="360"/>
      </w:pPr>
      <w:rPr>
        <w:rFonts w:ascii="Symbol" w:hAnsi="Symbol" w:hint="default"/>
      </w:rPr>
    </w:lvl>
    <w:lvl w:ilvl="1" w:tplc="04090003" w:tentative="1">
      <w:start w:val="1"/>
      <w:numFmt w:val="bullet"/>
      <w:lvlText w:val="o"/>
      <w:lvlJc w:val="left"/>
      <w:pPr>
        <w:ind w:left="1668" w:hanging="360"/>
      </w:pPr>
      <w:rPr>
        <w:rFonts w:ascii="Courier New" w:hAnsi="Courier New" w:cs="Courier New" w:hint="default"/>
      </w:rPr>
    </w:lvl>
    <w:lvl w:ilvl="2" w:tplc="04090005" w:tentative="1">
      <w:start w:val="1"/>
      <w:numFmt w:val="bullet"/>
      <w:lvlText w:val=""/>
      <w:lvlJc w:val="left"/>
      <w:pPr>
        <w:ind w:left="2388" w:hanging="360"/>
      </w:pPr>
      <w:rPr>
        <w:rFonts w:ascii="Wingdings" w:hAnsi="Wingdings" w:hint="default"/>
      </w:rPr>
    </w:lvl>
    <w:lvl w:ilvl="3" w:tplc="04090001" w:tentative="1">
      <w:start w:val="1"/>
      <w:numFmt w:val="bullet"/>
      <w:lvlText w:val=""/>
      <w:lvlJc w:val="left"/>
      <w:pPr>
        <w:ind w:left="3108" w:hanging="360"/>
      </w:pPr>
      <w:rPr>
        <w:rFonts w:ascii="Symbol" w:hAnsi="Symbol" w:hint="default"/>
      </w:rPr>
    </w:lvl>
    <w:lvl w:ilvl="4" w:tplc="04090003" w:tentative="1">
      <w:start w:val="1"/>
      <w:numFmt w:val="bullet"/>
      <w:lvlText w:val="o"/>
      <w:lvlJc w:val="left"/>
      <w:pPr>
        <w:ind w:left="3828" w:hanging="360"/>
      </w:pPr>
      <w:rPr>
        <w:rFonts w:ascii="Courier New" w:hAnsi="Courier New" w:cs="Courier New" w:hint="default"/>
      </w:rPr>
    </w:lvl>
    <w:lvl w:ilvl="5" w:tplc="04090005" w:tentative="1">
      <w:start w:val="1"/>
      <w:numFmt w:val="bullet"/>
      <w:lvlText w:val=""/>
      <w:lvlJc w:val="left"/>
      <w:pPr>
        <w:ind w:left="4548" w:hanging="360"/>
      </w:pPr>
      <w:rPr>
        <w:rFonts w:ascii="Wingdings" w:hAnsi="Wingdings" w:hint="default"/>
      </w:rPr>
    </w:lvl>
    <w:lvl w:ilvl="6" w:tplc="04090001" w:tentative="1">
      <w:start w:val="1"/>
      <w:numFmt w:val="bullet"/>
      <w:lvlText w:val=""/>
      <w:lvlJc w:val="left"/>
      <w:pPr>
        <w:ind w:left="5268" w:hanging="360"/>
      </w:pPr>
      <w:rPr>
        <w:rFonts w:ascii="Symbol" w:hAnsi="Symbol" w:hint="default"/>
      </w:rPr>
    </w:lvl>
    <w:lvl w:ilvl="7" w:tplc="04090003" w:tentative="1">
      <w:start w:val="1"/>
      <w:numFmt w:val="bullet"/>
      <w:lvlText w:val="o"/>
      <w:lvlJc w:val="left"/>
      <w:pPr>
        <w:ind w:left="5988" w:hanging="360"/>
      </w:pPr>
      <w:rPr>
        <w:rFonts w:ascii="Courier New" w:hAnsi="Courier New" w:cs="Courier New" w:hint="default"/>
      </w:rPr>
    </w:lvl>
    <w:lvl w:ilvl="8" w:tplc="04090005" w:tentative="1">
      <w:start w:val="1"/>
      <w:numFmt w:val="bullet"/>
      <w:lvlText w:val=""/>
      <w:lvlJc w:val="left"/>
      <w:pPr>
        <w:ind w:left="6708" w:hanging="360"/>
      </w:pPr>
      <w:rPr>
        <w:rFonts w:ascii="Wingdings" w:hAnsi="Wingdings" w:hint="default"/>
      </w:rPr>
    </w:lvl>
  </w:abstractNum>
  <w:abstractNum w:abstractNumId="6" w15:restartNumberingAfterBreak="0">
    <w:nsid w:val="3B9B602F"/>
    <w:multiLevelType w:val="hybridMultilevel"/>
    <w:tmpl w:val="55225FEC"/>
    <w:lvl w:ilvl="0" w:tplc="D5165F8E">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B9C15BB"/>
    <w:multiLevelType w:val="hybridMultilevel"/>
    <w:tmpl w:val="CCEAEA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BFE32DE"/>
    <w:multiLevelType w:val="hybridMultilevel"/>
    <w:tmpl w:val="7CDEB1D6"/>
    <w:lvl w:ilvl="0" w:tplc="F392E616">
      <w:start w:val="1"/>
      <w:numFmt w:val="bullet"/>
      <w:lvlText w:val="−"/>
      <w:lvlJc w:val="left"/>
      <w:pPr>
        <w:ind w:left="720" w:hanging="360"/>
      </w:pPr>
      <w:rPr>
        <w:rFonts w:ascii="Cambria" w:hAnsi="Cambri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6A1427A"/>
    <w:multiLevelType w:val="hybridMultilevel"/>
    <w:tmpl w:val="120EE4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5565961"/>
    <w:multiLevelType w:val="hybridMultilevel"/>
    <w:tmpl w:val="41B4E6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9D61282"/>
    <w:multiLevelType w:val="hybridMultilevel"/>
    <w:tmpl w:val="61266D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B614925"/>
    <w:multiLevelType w:val="hybridMultilevel"/>
    <w:tmpl w:val="97EA72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1CC600D"/>
    <w:multiLevelType w:val="hybridMultilevel"/>
    <w:tmpl w:val="4E3CCD4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73D03FCC"/>
    <w:multiLevelType w:val="hybridMultilevel"/>
    <w:tmpl w:val="64C40C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7F71D49"/>
    <w:multiLevelType w:val="hybridMultilevel"/>
    <w:tmpl w:val="8410DDF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0"/>
  </w:num>
  <w:num w:numId="2">
    <w:abstractNumId w:val="9"/>
  </w:num>
  <w:num w:numId="3">
    <w:abstractNumId w:val="5"/>
  </w:num>
  <w:num w:numId="4">
    <w:abstractNumId w:val="2"/>
  </w:num>
  <w:num w:numId="5">
    <w:abstractNumId w:val="13"/>
  </w:num>
  <w:num w:numId="6">
    <w:abstractNumId w:val="15"/>
  </w:num>
  <w:num w:numId="7">
    <w:abstractNumId w:val="1"/>
  </w:num>
  <w:num w:numId="8">
    <w:abstractNumId w:val="3"/>
  </w:num>
  <w:num w:numId="9">
    <w:abstractNumId w:val="4"/>
  </w:num>
  <w:num w:numId="10">
    <w:abstractNumId w:val="11"/>
  </w:num>
  <w:num w:numId="11">
    <w:abstractNumId w:val="12"/>
  </w:num>
  <w:num w:numId="12">
    <w:abstractNumId w:val="7"/>
  </w:num>
  <w:num w:numId="13">
    <w:abstractNumId w:val="10"/>
  </w:num>
  <w:num w:numId="14">
    <w:abstractNumId w:val="14"/>
  </w:num>
  <w:num w:numId="15">
    <w:abstractNumId w:val="6"/>
  </w:num>
  <w:num w:numId="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79CA"/>
    <w:rsid w:val="00005AE1"/>
    <w:rsid w:val="00005DCE"/>
    <w:rsid w:val="00021F8D"/>
    <w:rsid w:val="000275CC"/>
    <w:rsid w:val="00050E11"/>
    <w:rsid w:val="00051DBE"/>
    <w:rsid w:val="000525A5"/>
    <w:rsid w:val="00053AF5"/>
    <w:rsid w:val="00056F79"/>
    <w:rsid w:val="00062326"/>
    <w:rsid w:val="000646C0"/>
    <w:rsid w:val="00067F31"/>
    <w:rsid w:val="000723DD"/>
    <w:rsid w:val="00075272"/>
    <w:rsid w:val="0007561B"/>
    <w:rsid w:val="00083F69"/>
    <w:rsid w:val="000A6A62"/>
    <w:rsid w:val="000B02EB"/>
    <w:rsid w:val="000C1A27"/>
    <w:rsid w:val="000C31E5"/>
    <w:rsid w:val="000C6DA4"/>
    <w:rsid w:val="000E1AA0"/>
    <w:rsid w:val="000E1EF4"/>
    <w:rsid w:val="00101A09"/>
    <w:rsid w:val="00127CC0"/>
    <w:rsid w:val="00142602"/>
    <w:rsid w:val="00146564"/>
    <w:rsid w:val="0018338E"/>
    <w:rsid w:val="00186C88"/>
    <w:rsid w:val="001A29AC"/>
    <w:rsid w:val="001B1AAD"/>
    <w:rsid w:val="001B66BA"/>
    <w:rsid w:val="001C4C80"/>
    <w:rsid w:val="001C79CA"/>
    <w:rsid w:val="001D6D02"/>
    <w:rsid w:val="001E498A"/>
    <w:rsid w:val="00200432"/>
    <w:rsid w:val="00201009"/>
    <w:rsid w:val="00207A77"/>
    <w:rsid w:val="002144ED"/>
    <w:rsid w:val="00215DB4"/>
    <w:rsid w:val="002173B6"/>
    <w:rsid w:val="002432CD"/>
    <w:rsid w:val="00250C37"/>
    <w:rsid w:val="00253291"/>
    <w:rsid w:val="0027570A"/>
    <w:rsid w:val="00293734"/>
    <w:rsid w:val="00295049"/>
    <w:rsid w:val="002971F8"/>
    <w:rsid w:val="002C0D54"/>
    <w:rsid w:val="002C3524"/>
    <w:rsid w:val="002D7776"/>
    <w:rsid w:val="002E1A34"/>
    <w:rsid w:val="002E270A"/>
    <w:rsid w:val="002F50CA"/>
    <w:rsid w:val="00303773"/>
    <w:rsid w:val="003268AD"/>
    <w:rsid w:val="00397228"/>
    <w:rsid w:val="003A22D0"/>
    <w:rsid w:val="003C3A5E"/>
    <w:rsid w:val="003C5338"/>
    <w:rsid w:val="00405715"/>
    <w:rsid w:val="00412ACD"/>
    <w:rsid w:val="0041443B"/>
    <w:rsid w:val="0042191E"/>
    <w:rsid w:val="00430C94"/>
    <w:rsid w:val="00431E4B"/>
    <w:rsid w:val="004363EE"/>
    <w:rsid w:val="00444D9E"/>
    <w:rsid w:val="00447529"/>
    <w:rsid w:val="004753EA"/>
    <w:rsid w:val="00485A71"/>
    <w:rsid w:val="004941BC"/>
    <w:rsid w:val="00494D77"/>
    <w:rsid w:val="004B322E"/>
    <w:rsid w:val="004B65C7"/>
    <w:rsid w:val="004C17CB"/>
    <w:rsid w:val="004D3765"/>
    <w:rsid w:val="004D5359"/>
    <w:rsid w:val="004E3274"/>
    <w:rsid w:val="004F3E47"/>
    <w:rsid w:val="004F4FAD"/>
    <w:rsid w:val="004F61B5"/>
    <w:rsid w:val="00504296"/>
    <w:rsid w:val="00507397"/>
    <w:rsid w:val="00510EB3"/>
    <w:rsid w:val="00514A7B"/>
    <w:rsid w:val="005255E2"/>
    <w:rsid w:val="005301B0"/>
    <w:rsid w:val="005306F5"/>
    <w:rsid w:val="00540320"/>
    <w:rsid w:val="00550BDB"/>
    <w:rsid w:val="0057031A"/>
    <w:rsid w:val="005931A2"/>
    <w:rsid w:val="005A1457"/>
    <w:rsid w:val="005A1AFF"/>
    <w:rsid w:val="005D37CE"/>
    <w:rsid w:val="005D3F4C"/>
    <w:rsid w:val="005E0473"/>
    <w:rsid w:val="00637A2D"/>
    <w:rsid w:val="00646DD5"/>
    <w:rsid w:val="00672949"/>
    <w:rsid w:val="006762AD"/>
    <w:rsid w:val="00685013"/>
    <w:rsid w:val="006C427A"/>
    <w:rsid w:val="006C5CD8"/>
    <w:rsid w:val="006D2BF5"/>
    <w:rsid w:val="006D5823"/>
    <w:rsid w:val="006E3117"/>
    <w:rsid w:val="006E45B3"/>
    <w:rsid w:val="006E56F2"/>
    <w:rsid w:val="006F592E"/>
    <w:rsid w:val="006F74FE"/>
    <w:rsid w:val="00706241"/>
    <w:rsid w:val="007142ED"/>
    <w:rsid w:val="007226D7"/>
    <w:rsid w:val="007364F3"/>
    <w:rsid w:val="00737CDE"/>
    <w:rsid w:val="00750C6C"/>
    <w:rsid w:val="00752294"/>
    <w:rsid w:val="00763763"/>
    <w:rsid w:val="007706CB"/>
    <w:rsid w:val="00774D0B"/>
    <w:rsid w:val="0078368A"/>
    <w:rsid w:val="00790488"/>
    <w:rsid w:val="007C45E6"/>
    <w:rsid w:val="007C4ACD"/>
    <w:rsid w:val="007D1496"/>
    <w:rsid w:val="007D1DC2"/>
    <w:rsid w:val="007E7EC0"/>
    <w:rsid w:val="007F2007"/>
    <w:rsid w:val="007F4B73"/>
    <w:rsid w:val="00807A6B"/>
    <w:rsid w:val="0081328E"/>
    <w:rsid w:val="00815D38"/>
    <w:rsid w:val="00816600"/>
    <w:rsid w:val="008218D3"/>
    <w:rsid w:val="00821927"/>
    <w:rsid w:val="00837AC1"/>
    <w:rsid w:val="00853546"/>
    <w:rsid w:val="00856FDC"/>
    <w:rsid w:val="00857C01"/>
    <w:rsid w:val="00862588"/>
    <w:rsid w:val="00872802"/>
    <w:rsid w:val="00893759"/>
    <w:rsid w:val="008B2E99"/>
    <w:rsid w:val="008D2D8F"/>
    <w:rsid w:val="008F3219"/>
    <w:rsid w:val="008F4532"/>
    <w:rsid w:val="00913CFA"/>
    <w:rsid w:val="0091637F"/>
    <w:rsid w:val="00917244"/>
    <w:rsid w:val="0092188F"/>
    <w:rsid w:val="009271B3"/>
    <w:rsid w:val="0093386F"/>
    <w:rsid w:val="00934DBE"/>
    <w:rsid w:val="00941172"/>
    <w:rsid w:val="00944122"/>
    <w:rsid w:val="009715F9"/>
    <w:rsid w:val="00980A6F"/>
    <w:rsid w:val="00982EA7"/>
    <w:rsid w:val="00983FF3"/>
    <w:rsid w:val="009931CE"/>
    <w:rsid w:val="009967B7"/>
    <w:rsid w:val="009A16BF"/>
    <w:rsid w:val="009A19D5"/>
    <w:rsid w:val="009A5AE2"/>
    <w:rsid w:val="009A6DF2"/>
    <w:rsid w:val="009B3568"/>
    <w:rsid w:val="009C0439"/>
    <w:rsid w:val="009D1168"/>
    <w:rsid w:val="009D1706"/>
    <w:rsid w:val="009E4481"/>
    <w:rsid w:val="009E650F"/>
    <w:rsid w:val="009F2F83"/>
    <w:rsid w:val="00A07791"/>
    <w:rsid w:val="00A1256E"/>
    <w:rsid w:val="00A17108"/>
    <w:rsid w:val="00A26136"/>
    <w:rsid w:val="00A31CE1"/>
    <w:rsid w:val="00A32D45"/>
    <w:rsid w:val="00A35DE9"/>
    <w:rsid w:val="00A612BC"/>
    <w:rsid w:val="00A6573B"/>
    <w:rsid w:val="00A8493E"/>
    <w:rsid w:val="00A96F86"/>
    <w:rsid w:val="00A976DB"/>
    <w:rsid w:val="00AC32E9"/>
    <w:rsid w:val="00AC5DF2"/>
    <w:rsid w:val="00AE1974"/>
    <w:rsid w:val="00AE32D9"/>
    <w:rsid w:val="00AE5A78"/>
    <w:rsid w:val="00AE5B6A"/>
    <w:rsid w:val="00AF0D75"/>
    <w:rsid w:val="00B00D2F"/>
    <w:rsid w:val="00B00F37"/>
    <w:rsid w:val="00B0146B"/>
    <w:rsid w:val="00B04965"/>
    <w:rsid w:val="00B06A2E"/>
    <w:rsid w:val="00B127DF"/>
    <w:rsid w:val="00B256AB"/>
    <w:rsid w:val="00B27EA0"/>
    <w:rsid w:val="00B3094D"/>
    <w:rsid w:val="00B361FD"/>
    <w:rsid w:val="00B44D6E"/>
    <w:rsid w:val="00B4664B"/>
    <w:rsid w:val="00B46B1B"/>
    <w:rsid w:val="00B500C3"/>
    <w:rsid w:val="00B547D6"/>
    <w:rsid w:val="00B81B51"/>
    <w:rsid w:val="00BA4401"/>
    <w:rsid w:val="00BA6C4C"/>
    <w:rsid w:val="00BC5225"/>
    <w:rsid w:val="00BD15A6"/>
    <w:rsid w:val="00BD2FA7"/>
    <w:rsid w:val="00BE443D"/>
    <w:rsid w:val="00BE75CE"/>
    <w:rsid w:val="00C00569"/>
    <w:rsid w:val="00C20146"/>
    <w:rsid w:val="00C31DC4"/>
    <w:rsid w:val="00C55909"/>
    <w:rsid w:val="00C617C7"/>
    <w:rsid w:val="00C61B0A"/>
    <w:rsid w:val="00C71D34"/>
    <w:rsid w:val="00C72B21"/>
    <w:rsid w:val="00C904F5"/>
    <w:rsid w:val="00C93556"/>
    <w:rsid w:val="00C97FD0"/>
    <w:rsid w:val="00CA3BBF"/>
    <w:rsid w:val="00CB01E1"/>
    <w:rsid w:val="00CB169C"/>
    <w:rsid w:val="00CB468D"/>
    <w:rsid w:val="00CC3CF4"/>
    <w:rsid w:val="00CC69AB"/>
    <w:rsid w:val="00CD4B5B"/>
    <w:rsid w:val="00CD4F6B"/>
    <w:rsid w:val="00CD6C83"/>
    <w:rsid w:val="00CE66D3"/>
    <w:rsid w:val="00CF6FC5"/>
    <w:rsid w:val="00D11D56"/>
    <w:rsid w:val="00D233C3"/>
    <w:rsid w:val="00D320E1"/>
    <w:rsid w:val="00D34705"/>
    <w:rsid w:val="00D40A98"/>
    <w:rsid w:val="00D41179"/>
    <w:rsid w:val="00D43639"/>
    <w:rsid w:val="00D521B1"/>
    <w:rsid w:val="00D53813"/>
    <w:rsid w:val="00D654EB"/>
    <w:rsid w:val="00D67B6F"/>
    <w:rsid w:val="00DA6BC2"/>
    <w:rsid w:val="00DB7175"/>
    <w:rsid w:val="00DC7053"/>
    <w:rsid w:val="00DD3C7B"/>
    <w:rsid w:val="00DE19AB"/>
    <w:rsid w:val="00DF1DBA"/>
    <w:rsid w:val="00E006A3"/>
    <w:rsid w:val="00E02F50"/>
    <w:rsid w:val="00E10098"/>
    <w:rsid w:val="00E11A52"/>
    <w:rsid w:val="00E25D15"/>
    <w:rsid w:val="00E30799"/>
    <w:rsid w:val="00E3237C"/>
    <w:rsid w:val="00E33021"/>
    <w:rsid w:val="00E43093"/>
    <w:rsid w:val="00E566EB"/>
    <w:rsid w:val="00E578FA"/>
    <w:rsid w:val="00E6720F"/>
    <w:rsid w:val="00E72B40"/>
    <w:rsid w:val="00EB3CD5"/>
    <w:rsid w:val="00EC5549"/>
    <w:rsid w:val="00EE71DF"/>
    <w:rsid w:val="00F015ED"/>
    <w:rsid w:val="00F07B84"/>
    <w:rsid w:val="00F15BD8"/>
    <w:rsid w:val="00F325D4"/>
    <w:rsid w:val="00F41082"/>
    <w:rsid w:val="00F51AB4"/>
    <w:rsid w:val="00F62AE3"/>
    <w:rsid w:val="00F7403E"/>
    <w:rsid w:val="00F80F11"/>
    <w:rsid w:val="00F91963"/>
    <w:rsid w:val="00F92678"/>
    <w:rsid w:val="00FC6587"/>
    <w:rsid w:val="00FC6FCE"/>
    <w:rsid w:val="00FE3161"/>
    <w:rsid w:val="00FE4176"/>
    <w:rsid w:val="00FF186D"/>
    <w:rsid w:val="00FF52AA"/>
    <w:rsid w:val="00FF56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06C1A4"/>
  <w15:chartTrackingRefBased/>
  <w15:docId w15:val="{02E49896-DB9F-4062-8C03-C750553DE9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361F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B361F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361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4-Accent1">
    <w:name w:val="List Table 4 Accent 1"/>
    <w:basedOn w:val="TableNormal"/>
    <w:uiPriority w:val="49"/>
    <w:rsid w:val="00B361FD"/>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BalloonText">
    <w:name w:val="Balloon Text"/>
    <w:basedOn w:val="Normal"/>
    <w:link w:val="BalloonTextChar"/>
    <w:uiPriority w:val="99"/>
    <w:semiHidden/>
    <w:unhideWhenUsed/>
    <w:rsid w:val="00B361F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361FD"/>
    <w:rPr>
      <w:rFonts w:ascii="Segoe UI" w:hAnsi="Segoe UI" w:cs="Segoe UI"/>
      <w:sz w:val="18"/>
      <w:szCs w:val="18"/>
    </w:rPr>
  </w:style>
  <w:style w:type="character" w:customStyle="1" w:styleId="Heading1Char">
    <w:name w:val="Heading 1 Char"/>
    <w:basedOn w:val="DefaultParagraphFont"/>
    <w:link w:val="Heading1"/>
    <w:uiPriority w:val="9"/>
    <w:rsid w:val="00B361FD"/>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B361FD"/>
    <w:rPr>
      <w:rFonts w:asciiTheme="majorHAnsi" w:eastAsiaTheme="majorEastAsia" w:hAnsiTheme="majorHAnsi" w:cstheme="majorBidi"/>
      <w:color w:val="2F5496" w:themeColor="accent1" w:themeShade="BF"/>
      <w:sz w:val="26"/>
      <w:szCs w:val="26"/>
    </w:rPr>
  </w:style>
  <w:style w:type="paragraph" w:styleId="Caption">
    <w:name w:val="caption"/>
    <w:basedOn w:val="Normal"/>
    <w:next w:val="Normal"/>
    <w:uiPriority w:val="35"/>
    <w:unhideWhenUsed/>
    <w:qFormat/>
    <w:rsid w:val="00982EA7"/>
    <w:pPr>
      <w:spacing w:after="200" w:line="240" w:lineRule="auto"/>
    </w:pPr>
    <w:rPr>
      <w:i/>
      <w:iCs/>
      <w:color w:val="44546A" w:themeColor="text2"/>
      <w:sz w:val="18"/>
      <w:szCs w:val="18"/>
    </w:rPr>
  </w:style>
  <w:style w:type="paragraph" w:styleId="ListParagraph">
    <w:name w:val="List Paragraph"/>
    <w:basedOn w:val="Normal"/>
    <w:uiPriority w:val="34"/>
    <w:qFormat/>
    <w:rsid w:val="00982EA7"/>
    <w:pPr>
      <w:ind w:left="720"/>
      <w:contextualSpacing/>
    </w:pPr>
  </w:style>
  <w:style w:type="character" w:styleId="CommentReference">
    <w:name w:val="annotation reference"/>
    <w:basedOn w:val="DefaultParagraphFont"/>
    <w:uiPriority w:val="99"/>
    <w:semiHidden/>
    <w:unhideWhenUsed/>
    <w:rsid w:val="00CB468D"/>
    <w:rPr>
      <w:sz w:val="16"/>
      <w:szCs w:val="16"/>
    </w:rPr>
  </w:style>
  <w:style w:type="paragraph" w:styleId="CommentText">
    <w:name w:val="annotation text"/>
    <w:basedOn w:val="Normal"/>
    <w:link w:val="CommentTextChar"/>
    <w:uiPriority w:val="99"/>
    <w:unhideWhenUsed/>
    <w:rsid w:val="00CB468D"/>
    <w:pPr>
      <w:spacing w:line="240" w:lineRule="auto"/>
    </w:pPr>
    <w:rPr>
      <w:sz w:val="20"/>
      <w:szCs w:val="20"/>
    </w:rPr>
  </w:style>
  <w:style w:type="character" w:customStyle="1" w:styleId="CommentTextChar">
    <w:name w:val="Comment Text Char"/>
    <w:basedOn w:val="DefaultParagraphFont"/>
    <w:link w:val="CommentText"/>
    <w:uiPriority w:val="99"/>
    <w:rsid w:val="00CB468D"/>
    <w:rPr>
      <w:sz w:val="20"/>
      <w:szCs w:val="20"/>
    </w:rPr>
  </w:style>
  <w:style w:type="paragraph" w:styleId="CommentSubject">
    <w:name w:val="annotation subject"/>
    <w:basedOn w:val="CommentText"/>
    <w:next w:val="CommentText"/>
    <w:link w:val="CommentSubjectChar"/>
    <w:uiPriority w:val="99"/>
    <w:semiHidden/>
    <w:unhideWhenUsed/>
    <w:rsid w:val="00CB468D"/>
    <w:rPr>
      <w:b/>
      <w:bCs/>
    </w:rPr>
  </w:style>
  <w:style w:type="character" w:customStyle="1" w:styleId="CommentSubjectChar">
    <w:name w:val="Comment Subject Char"/>
    <w:basedOn w:val="CommentTextChar"/>
    <w:link w:val="CommentSubject"/>
    <w:uiPriority w:val="99"/>
    <w:semiHidden/>
    <w:rsid w:val="00CB468D"/>
    <w:rPr>
      <w:b/>
      <w:bCs/>
      <w:sz w:val="20"/>
      <w:szCs w:val="20"/>
    </w:rPr>
  </w:style>
  <w:style w:type="table" w:styleId="GridTable1Light">
    <w:name w:val="Grid Table 1 Light"/>
    <w:basedOn w:val="TableNormal"/>
    <w:uiPriority w:val="46"/>
    <w:rsid w:val="00B4664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4">
    <w:name w:val="Grid Table 4"/>
    <w:basedOn w:val="TableNormal"/>
    <w:uiPriority w:val="49"/>
    <w:rsid w:val="00B4664B"/>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
    <w:name w:val="List Table 4"/>
    <w:basedOn w:val="TableNormal"/>
    <w:uiPriority w:val="49"/>
    <w:rsid w:val="00BE75CE"/>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Header">
    <w:name w:val="header"/>
    <w:basedOn w:val="Normal"/>
    <w:link w:val="HeaderChar"/>
    <w:uiPriority w:val="99"/>
    <w:unhideWhenUsed/>
    <w:rsid w:val="002C0D54"/>
    <w:pPr>
      <w:tabs>
        <w:tab w:val="center" w:pos="4680"/>
        <w:tab w:val="right" w:pos="9360"/>
      </w:tabs>
      <w:spacing w:after="0" w:line="240" w:lineRule="auto"/>
    </w:pPr>
  </w:style>
  <w:style w:type="character" w:customStyle="1" w:styleId="HeaderChar">
    <w:name w:val="Header Char"/>
    <w:basedOn w:val="DefaultParagraphFont"/>
    <w:link w:val="Header"/>
    <w:uiPriority w:val="99"/>
    <w:rsid w:val="002C0D54"/>
  </w:style>
  <w:style w:type="paragraph" w:styleId="Footer">
    <w:name w:val="footer"/>
    <w:basedOn w:val="Normal"/>
    <w:link w:val="FooterChar"/>
    <w:uiPriority w:val="99"/>
    <w:unhideWhenUsed/>
    <w:rsid w:val="002C0D54"/>
    <w:pPr>
      <w:tabs>
        <w:tab w:val="center" w:pos="4680"/>
        <w:tab w:val="right" w:pos="9360"/>
      </w:tabs>
      <w:spacing w:after="0" w:line="240" w:lineRule="auto"/>
    </w:pPr>
  </w:style>
  <w:style w:type="character" w:customStyle="1" w:styleId="FooterChar">
    <w:name w:val="Footer Char"/>
    <w:basedOn w:val="DefaultParagraphFont"/>
    <w:link w:val="Footer"/>
    <w:uiPriority w:val="99"/>
    <w:rsid w:val="002C0D54"/>
  </w:style>
  <w:style w:type="paragraph" w:styleId="Title">
    <w:name w:val="Title"/>
    <w:basedOn w:val="Normal"/>
    <w:next w:val="Normal"/>
    <w:link w:val="TitleChar"/>
    <w:uiPriority w:val="10"/>
    <w:qFormat/>
    <w:rsid w:val="002C3524"/>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C3524"/>
    <w:rPr>
      <w:rFonts w:asciiTheme="majorHAnsi" w:eastAsiaTheme="majorEastAsia" w:hAnsiTheme="majorHAnsi" w:cstheme="majorBidi"/>
      <w:spacing w:val="-10"/>
      <w:kern w:val="28"/>
      <w:sz w:val="56"/>
      <w:szCs w:val="56"/>
    </w:rPr>
  </w:style>
  <w:style w:type="table" w:styleId="GridTable5Dark-Accent1">
    <w:name w:val="Grid Table 5 Dark Accent 1"/>
    <w:basedOn w:val="TableNormal"/>
    <w:uiPriority w:val="50"/>
    <w:rsid w:val="006F592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styleId="GridTable5Dark">
    <w:name w:val="Grid Table 5 Dark"/>
    <w:basedOn w:val="TableNormal"/>
    <w:uiPriority w:val="50"/>
    <w:rsid w:val="006F592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ListTable7Colorful">
    <w:name w:val="List Table 7 Colorful"/>
    <w:basedOn w:val="TableNormal"/>
    <w:uiPriority w:val="52"/>
    <w:rsid w:val="006F592E"/>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GridLight">
    <w:name w:val="Grid Table Light"/>
    <w:basedOn w:val="TableNormal"/>
    <w:uiPriority w:val="40"/>
    <w:rsid w:val="006F592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2007-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565</Words>
  <Characters>3225</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 Alish_SMC</dc:creator>
  <cp:keywords/>
  <dc:description/>
  <cp:lastModifiedBy>Sauer, Abby C</cp:lastModifiedBy>
  <cp:revision>3</cp:revision>
  <dcterms:created xsi:type="dcterms:W3CDTF">2021-06-30T16:27:00Z</dcterms:created>
  <dcterms:modified xsi:type="dcterms:W3CDTF">2021-06-30T16:28:00Z</dcterms:modified>
</cp:coreProperties>
</file>