
<file path=[Content_Types].xml><?xml version="1.0" encoding="utf-8"?>
<Types xmlns="http://schemas.openxmlformats.org/package/2006/content-types">
  <Default Extension="tiff" ContentType="image/tif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leftChars="57" w:right="0" w:rightChars="0" w:firstLine="0" w:firstLineChars="0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>Table.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OLE_LINK1"/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B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</w:rPr>
        <w:t>aseline characteristics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of the non-cachexia and precachexia participants,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</w:rPr>
        <w:t xml:space="preserve"> stratified according to the training and validation sets</w:t>
      </w:r>
      <w:bookmarkEnd w:id="0"/>
    </w:p>
    <w:tbl>
      <w:tblPr>
        <w:tblStyle w:val="2"/>
        <w:tblpPr w:leftFromText="180" w:rightFromText="180" w:vertAnchor="text" w:horzAnchor="page" w:tblpX="1896" w:tblpY="300"/>
        <w:tblOverlap w:val="never"/>
        <w:tblW w:w="897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0"/>
        <w:gridCol w:w="2319"/>
        <w:gridCol w:w="2637"/>
        <w:gridCol w:w="10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Training set</w:t>
            </w:r>
          </w:p>
        </w:tc>
        <w:tc>
          <w:tcPr>
            <w:tcW w:w="263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Validation set</w:t>
            </w:r>
          </w:p>
        </w:tc>
        <w:tc>
          <w:tcPr>
            <w:tcW w:w="105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231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2722</w:t>
            </w:r>
          </w:p>
        </w:tc>
        <w:tc>
          <w:tcPr>
            <w:tcW w:w="263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1174</w:t>
            </w:r>
          </w:p>
        </w:tc>
        <w:tc>
          <w:tcPr>
            <w:tcW w:w="105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Sex (%)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man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1574 (57.8)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 (55.7)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woman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1148 (42.2)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 (44.3)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Age 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58.39 (11.12)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58.73 (11.05)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Tumor stage (%)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 (9.8)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 (8.9)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Ⅱ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 (18.5)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 (20.8)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Ⅲ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742 (27.3)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 (26.8)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Ⅳ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1209 (44.4)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 (43.4)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TyG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8.68 (0.59)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8.65 (0.58)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Scr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66.70 [56.00, 80.00]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65.00 [56.00, 78.00]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TP 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68.11 (7.19)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68.26 (6.93)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PAB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 [0.19, 80.75]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 [0.19, 96.00]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DB 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 [2.20, 4.10]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2.90 [2.20, 4.00]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HDL 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(0.35)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 (0.57)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LDL 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2.77 [2.24, 3.30]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2.76 [2.20, 3.30]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TC 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4.68 (1.46)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4.63 (1.21)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HB 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125.62 (22.76)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124.74 (23.02)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PLR 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146.64 [105.50, 212.76]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143.23 [104.66, 214.75]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WLR 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 [2.91, 5.36]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3.83 [2.93, 5.50]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NLR 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2.33 [1.58, 3.56]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2.36 [1.61, 3.69]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PNI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47.25 (13.23)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47.51 (13.71)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 [0.07, 0.41]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 [0.06, 0.34]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MAC 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26.55 (3.36)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26.31 (3.46)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TSF 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15.00 [10.00, 21.00]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15.00 [10.00, 21.00]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CAC 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33.66 (4.17)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33.48 (3.94)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HGS 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24.30 [18.30, 31.40]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23.85 [18.00, 31.40]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AST 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21.50 [17.00, 28.70]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22.00 [17.60, 28.00]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ALT 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19.00 [13.00, 29.00]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18.35 [13.00, 28.00]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Eating changes (%)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Unchanged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 (56.4)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662 (56.4)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Increased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 (4.5)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 (3.7)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Reduced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 (39.1)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 (39.9)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Appetite = yes (%)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 (17.3)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 (17.4)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Nausea = yes (%)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 (8.3)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 (6.6)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Emesis = yes (%)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 (3.9)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 (4.2)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Dental ulcer = yes (%)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 (0.8)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 (0.7)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Constipation = yes (%)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 (7.6)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 (8.3)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Diarrhea = yes (%)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 (3.3)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 (3.4)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Xerostomia = yes (%)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 (4.5)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 (4.1)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Food tasteless = yes (%)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 (3.6)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 (4.8)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Food not smelling = yes (%)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 (1.4)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 (1.4)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Dysphagia = yes (%)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 (3.5)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 (2.8)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Full = yes (%)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 (7.6)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 (7.9)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Pain = yes (%)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 (5.2)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 (6.0)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Physical activity (%)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Normal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1835 (67.4)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806 (68.7)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Light activity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 (26.3)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 (25.7)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Limited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 (6.2)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 (5.7)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Fever (%)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 (0.9)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 (1.3)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Mild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2638 (96.9)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1141 (97.2)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Moderate-severe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 (2.2)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 (1.5)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Ankle oedema (%)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2549 (93.6)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1099 (93.6)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Mild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 (5.4)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 (5.1)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Moderate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 (0.8)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 (0.9)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Severe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 (0.1)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 (0.4)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Ascites (%)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2618 (96.2)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1128 (96.1)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Mild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 (3.1)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 (3.1)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Moderate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 (0.4)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 (0.4)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97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Severe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 (0.3)</w:t>
            </w:r>
          </w:p>
        </w:tc>
        <w:tc>
          <w:tcPr>
            <w:tcW w:w="26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 (0.4)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</w:pPr>
    </w:p>
    <w:p>
      <w:pPr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Notes: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Continuous variables </w:t>
      </w:r>
      <w:r>
        <w:rPr>
          <w:rFonts w:hint="eastAsia" w:ascii="Times New Roman" w:hAnsi="Times New Roman"/>
          <w:color w:val="000000"/>
          <w:kern w:val="0"/>
          <w:sz w:val="24"/>
          <w:szCs w:val="24"/>
        </w:rPr>
        <w:t>were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presented as mean ± standard deviation</w:t>
      </w:r>
      <w:r>
        <w:rPr>
          <w:rFonts w:hint="eastAsia" w:ascii="Times New Roman" w:hAnsi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(SD). Meanwhile, Scr, PAB, DB, LDL, PLR, WLR, NLR, CAR, TSF, HGS, AST and ALT are presented as the median (interquartile range). Categorical variables were presented as numbers and percentages. Differences in normally and non-normally distributed baseline characteristics were compared using the chi-square test or t-test and Wilcoxon rank sum test, respectively. TyG, triglyceride glucose index; Scr, serum creatinine; 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 xml:space="preserve">TP, total protein; PAB, prealbumin; DB, direct bilirubin; HDL, high-density lipoprotein; LDL, low-density lipoprotein; </w:t>
      </w:r>
      <w:r>
        <w:rPr>
          <w:rFonts w:ascii="Times New Roman" w:hAnsi="Times New Roman"/>
          <w:color w:val="000000"/>
          <w:kern w:val="0"/>
          <w:sz w:val="24"/>
          <w:szCs w:val="24"/>
        </w:rPr>
        <w:t>TC, total cholesterol; PLR, platelet-lymphocyte ratio; WLR, leukocyte lymphocyte ratio; NLR, neutrophil-lymphocyte ratio; PNI, prognostic nutritional index; CAR, C-reactive protein to albumin ratio; MAC, arm circumference; TSF, triceps skinfold thickness; CAC, calf circumference; HGS, hand grip strength; AST, aspartate aminotransferase; ALT, alanine aminotransferase.</w:t>
      </w:r>
    </w:p>
    <w:p>
      <w:pPr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>Table.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B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</w:rPr>
        <w:t>aseline characteristics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of the pre-cachexia and non-cachexia participants,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</w:rPr>
        <w:t xml:space="preserve"> stratified according to the training and validation sets</w:t>
      </w:r>
    </w:p>
    <w:p>
      <w:pPr>
        <w:rPr>
          <w:rFonts w:hint="eastAsia" w:ascii="Times New Roman" w:hAnsi="Times New Roman" w:cs="Times New Roman"/>
          <w:b/>
          <w:bCs/>
          <w:sz w:val="24"/>
          <w:szCs w:val="24"/>
        </w:rPr>
      </w:pPr>
    </w:p>
    <w:tbl>
      <w:tblPr>
        <w:tblStyle w:val="2"/>
        <w:tblW w:w="8422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7"/>
        <w:gridCol w:w="2325"/>
        <w:gridCol w:w="2325"/>
        <w:gridCol w:w="10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70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2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Training set</w:t>
            </w:r>
          </w:p>
        </w:tc>
        <w:tc>
          <w:tcPr>
            <w:tcW w:w="232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Validation set</w:t>
            </w:r>
          </w:p>
        </w:tc>
        <w:tc>
          <w:tcPr>
            <w:tcW w:w="107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1158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Sex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730 (63.0)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 (60.7)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woman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 (37.0)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 (39.3)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58.85 (11.25)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58.55 (10.82)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Tumor stage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eastAsia="zh-CN" w:bidi="ar"/>
              </w:rPr>
              <w:t>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 (7.9)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 (5.9)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eastAsia="zh-CN" w:bidi="ar"/>
              </w:rPr>
              <w:t>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 (15.3)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 (18.1)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eastAsia="zh-CN" w:bidi="ar"/>
              </w:rPr>
              <w:t>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 (30.7)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 (26.7)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eastAsia="zh-CN" w:bidi="ar"/>
              </w:rPr>
              <w:t>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 (46.2)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 (49.3)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TyG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8.60 (0.57)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8.65 (0.54)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68.00 [56.90, 81.68]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67.30 [55.30, 81.85]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67.52 (7.32)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67.34 (7.55)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 [0.18, 95.50]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 [0.18, 77.50]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3.10 [2.30, 4.30]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3.20 [2.40, 4.50]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(0.48)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 (0.35)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2.69 [2.19, 3.20]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2.76 [2.22, 3.31]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4.52 (1.30)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 (1.16)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122.25 (23.97)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122.15 (23.66)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160.24 [114.42, 233.33]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158.18 [111.43, 220.52]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 [2.98, 5.95]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 [3.04, 5.75]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 [1.66, 4.01]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2.48 [1.64, 3.83]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PNI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46.63 (19.54)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46.16 (12.82)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 [0.07, 0.65]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 [0.07, 0.76]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25.73 (3.27)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25.63 (3.38)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TSF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14.00 [9.50, 19.00]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14.00 [10.00, 20.00]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32.85 (4.00)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32.90 (4.20)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23.80 [17.20, 31.20]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22.80 [17.15, 31.00]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21.40 [17.00, 29.60]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21.00 [16.60, 29.45]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18.00 [12.12, 29.08]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18.00 [12.00, 28.10]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Eating changes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 change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 (34.2)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 (31.4)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Incresase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 (2.6)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 (2.9)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Reduce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732 (63.2)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 (65.8)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Appetite = yes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 (26.7)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 (27.7)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Nausea = yes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 (10.4)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 (13.0)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Emesis = yes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 (6.6)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 (7.9)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Dental ulcer = yes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 (0.8)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 (0.6)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Constipation = yes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 (8.5)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 (12.6)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Diarrhea = yes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 (5.0)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 (3.5)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Xerostomia = yes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 (6.0)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 (5.5)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Food tasteless = yes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 (5.8)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 (5.3)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Food not smelling = yes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 (1.9)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 (2.0)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Dysphagia = yes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 (4.4)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 (3.9)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Early satiation = yes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 (12.8)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 (11.6)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Pain = yes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 (7.5)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 (7.9)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Physical activity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ormal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647 (55.9)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 (57.8)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ight 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 (35.3)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 (30.8)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imited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 (9.4)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 (11.4)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Fever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 (0.8)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 (0.4)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1117 (96.5)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 (98.4)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Moderate-severe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 (2.7)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 (1.2)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Ankle oedema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1070 (92.4)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 (91.8)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 (6.6)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 (5.7)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 (0.7)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 (1.8)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Severe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 (0.3)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 (0.6)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Ascites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 (95.0)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 (95.3)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 (3.9)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 (2.9)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 (0.7)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 (0.6)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Severe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 (0.4)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 (1.2)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Notes: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Continuous variables </w:t>
      </w:r>
      <w:r>
        <w:rPr>
          <w:rFonts w:hint="eastAsia" w:ascii="Times New Roman" w:hAnsi="Times New Roman"/>
          <w:color w:val="000000"/>
          <w:kern w:val="0"/>
          <w:sz w:val="24"/>
          <w:szCs w:val="24"/>
        </w:rPr>
        <w:t>were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presented as mean ± standard deviation</w:t>
      </w:r>
      <w:r>
        <w:rPr>
          <w:rFonts w:hint="eastAsia" w:ascii="Times New Roman" w:hAnsi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(SD). Meanwhile, Scr, PAB, DB, LDL, PLR, WLR, NLR, CAR, TSF, HGS, AST and ALT are presented as the median (interquartile range). Categorical variables were presented as numbers and percentages. Differences in normally and non-normally distributed baseline characteristics were compared using the chi-square test or t-test and Wilcoxon rank sum test, respectively. TyG, triglyceride glucose index; Scr, serum creatinine; 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 xml:space="preserve">TP, total protein; PAB, prealbumin; DB, direct bilirubin; HDL, high-density lipoprotein; LDL, low-density lipoprotein; 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TC, total cholesterol; PLR, platelet-lymphocyte ratio; WLR, leukocyte lymphocyte ratio; NLR, </w:t>
      </w:r>
      <w:bookmarkStart w:id="1" w:name="OLE_LINK3"/>
      <w:r>
        <w:rPr>
          <w:rFonts w:ascii="Times New Roman" w:hAnsi="Times New Roman"/>
          <w:color w:val="000000"/>
          <w:kern w:val="0"/>
          <w:sz w:val="24"/>
          <w:szCs w:val="24"/>
        </w:rPr>
        <w:t>neutrophil-lymphocyte ratio</w:t>
      </w:r>
      <w:bookmarkEnd w:id="1"/>
      <w:r>
        <w:rPr>
          <w:rFonts w:ascii="Times New Roman" w:hAnsi="Times New Roman"/>
          <w:color w:val="000000"/>
          <w:kern w:val="0"/>
          <w:sz w:val="24"/>
          <w:szCs w:val="24"/>
        </w:rPr>
        <w:t>; PNI, prognostic nutritional index; CAR, C-reactive protein to albumin ratio; MAC, arm circumference; TSF, triceps skinfold thickness; CAC, calf circumference; HGS, hand grip strength; AST, aspartate aminotransferase; ALT, alanine aminotransferase.</w:t>
      </w:r>
    </w:p>
    <w:p>
      <w:pPr>
        <w:rPr>
          <w:rFonts w:ascii="Times New Roman" w:hAnsi="Times New Roman"/>
          <w:color w:val="000000"/>
          <w:kern w:val="0"/>
          <w:sz w:val="24"/>
          <w:szCs w:val="24"/>
        </w:rPr>
      </w:pPr>
    </w:p>
    <w:p>
      <w:pPr>
        <w:rPr>
          <w:rFonts w:ascii="Times New Roman" w:hAnsi="Times New Roman"/>
          <w:color w:val="000000"/>
          <w:kern w:val="0"/>
          <w:sz w:val="24"/>
          <w:szCs w:val="24"/>
        </w:rPr>
      </w:pPr>
    </w:p>
    <w:p>
      <w:pPr>
        <w:rPr>
          <w:rFonts w:ascii="Times New Roman" w:hAnsi="Times New Roman"/>
          <w:color w:val="000000"/>
          <w:kern w:val="0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b w:val="0"/>
          <w:bCs w:val="0"/>
          <w:kern w:val="2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>Table.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3</w:t>
      </w:r>
      <w:r>
        <w:rPr>
          <w:rFonts w:hint="eastAsia" w:ascii="Times New Roman" w:hAnsi="Times New Roman" w:eastAsia="等线" w:cs="Times New Roman"/>
          <w:b w:val="0"/>
          <w:bCs w:val="0"/>
          <w:kern w:val="2"/>
          <w:sz w:val="24"/>
          <w:szCs w:val="24"/>
          <w:lang w:val="en-US" w:eastAsia="zh-CN" w:bidi="ar"/>
        </w:rPr>
        <w:t xml:space="preserve"> The relationship of filtered variables and pre-cachexia and cachexia 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Times New Roman" w:hAnsi="Times New Roman" w:eastAsia="等线" w:cs="Times New Roman"/>
          <w:b/>
          <w:bCs/>
          <w:kern w:val="2"/>
          <w:sz w:val="24"/>
          <w:szCs w:val="24"/>
          <w:lang w:val="en-US" w:eastAsia="zh-CN" w:bidi="ar"/>
        </w:rPr>
      </w:pPr>
    </w:p>
    <w:tbl>
      <w:tblPr>
        <w:tblStyle w:val="2"/>
        <w:tblW w:w="6206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1"/>
        <w:gridCol w:w="1771"/>
        <w:gridCol w:w="1344"/>
        <w:gridCol w:w="10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7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7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134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95% CI</w:t>
            </w:r>
          </w:p>
        </w:tc>
        <w:tc>
          <w:tcPr>
            <w:tcW w:w="102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Pre-cachexia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eating changes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Unchanged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Ref.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Increased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0.56-1.68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Reduced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3.06-4.67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1.02-1.22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0.69-0.88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1.01-1.21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1.01-1.19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Cachexia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eating changes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Unchanged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Ref.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Increased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0.74-1.72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Reduced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5.48-7.46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0.51-0.59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0.75-0.89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1.18-1.43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</w:tbl>
    <w:p>
      <w:pPr>
        <w:widowControl w:val="0"/>
        <w:numPr>
          <w:ilvl w:val="0"/>
          <w:numId w:val="0"/>
        </w:numPr>
        <w:jc w:val="both"/>
        <w:rPr>
          <w:rFonts w:hint="eastAsia" w:ascii="Times New Roman" w:hAnsi="Times New Roman" w:eastAsia="等线" w:cs="Times New Roman"/>
          <w:b/>
          <w:bCs/>
          <w:kern w:val="2"/>
          <w:sz w:val="24"/>
          <w:szCs w:val="24"/>
          <w:lang w:val="en-US" w:eastAsia="zh-CN" w:bidi="ar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等线" w:cs="Times New Roman"/>
          <w:b/>
          <w:bCs/>
          <w:kern w:val="2"/>
          <w:sz w:val="24"/>
          <w:szCs w:val="24"/>
          <w:lang w:val="en-US" w:eastAsia="zh-CN" w:bidi="ar"/>
        </w:rPr>
        <w:t xml:space="preserve">Notes: </w:t>
      </w:r>
      <w:r>
        <w:rPr>
          <w:rFonts w:ascii="Times New Roman" w:hAnsi="Times New Roman"/>
          <w:color w:val="000000"/>
          <w:kern w:val="0"/>
          <w:sz w:val="24"/>
          <w:szCs w:val="24"/>
        </w:rPr>
        <w:t>Scr, serum creatinine;</w:t>
      </w:r>
      <w:r>
        <w:rPr>
          <w:rFonts w:hint="eastAsia" w:ascii="Times New Roman" w:hAnsi="Times New Roman"/>
          <w:color w:val="000000"/>
          <w:kern w:val="0"/>
          <w:sz w:val="24"/>
          <w:szCs w:val="24"/>
          <w:lang w:val="en-US" w:eastAsia="zh-CN"/>
        </w:rPr>
        <w:t xml:space="preserve"> HGS, hand grip strength; CAC, calf circumference; TyG, </w:t>
      </w:r>
      <w:r>
        <w:rPr>
          <w:rFonts w:ascii="Times New Roman" w:hAnsi="Times New Roman"/>
          <w:color w:val="000000"/>
          <w:kern w:val="0"/>
          <w:sz w:val="24"/>
          <w:szCs w:val="24"/>
        </w:rPr>
        <w:t>triglyceride glucose index</w:t>
      </w:r>
      <w:r>
        <w:rPr>
          <w:rFonts w:hint="eastAsia" w:ascii="Times New Roman" w:hAnsi="Times New Roman"/>
          <w:color w:val="000000"/>
          <w:kern w:val="0"/>
          <w:sz w:val="24"/>
          <w:szCs w:val="24"/>
          <w:lang w:val="en-US" w:eastAsia="zh-CN"/>
        </w:rPr>
        <w:t xml:space="preserve">; HB, hemoglobin; TSF, </w:t>
      </w:r>
      <w:r>
        <w:rPr>
          <w:rFonts w:ascii="Times New Roman" w:hAnsi="Times New Roman"/>
          <w:color w:val="000000"/>
          <w:kern w:val="0"/>
          <w:sz w:val="24"/>
          <w:szCs w:val="24"/>
        </w:rPr>
        <w:t>triceps skinfold thickness</w:t>
      </w:r>
      <w:r>
        <w:rPr>
          <w:rFonts w:hint="eastAsia" w:ascii="Times New Roman" w:hAnsi="Times New Roman"/>
          <w:color w:val="000000"/>
          <w:kern w:val="0"/>
          <w:sz w:val="24"/>
          <w:szCs w:val="24"/>
          <w:lang w:val="en-US" w:eastAsia="zh-CN"/>
        </w:rPr>
        <w:t>; OR, odds ratio; 95%CI, 95% confidence interval.</w:t>
      </w:r>
    </w:p>
    <w:p>
      <w:pPr>
        <w:rPr>
          <w:rFonts w:ascii="Times New Roman" w:hAnsi="Times New Roman"/>
          <w:color w:val="000000"/>
          <w:kern w:val="0"/>
          <w:sz w:val="24"/>
          <w:szCs w:val="24"/>
        </w:rPr>
      </w:pPr>
    </w:p>
    <w:p>
      <w:pPr>
        <w:rPr>
          <w:rFonts w:ascii="Times New Roman" w:hAnsi="Times New Roman"/>
          <w:color w:val="000000"/>
          <w:kern w:val="0"/>
          <w:sz w:val="24"/>
          <w:szCs w:val="24"/>
        </w:rPr>
      </w:pPr>
    </w:p>
    <w:p>
      <w:pPr>
        <w:rPr>
          <w:rFonts w:ascii="Times New Roman" w:hAnsi="Times New Roman"/>
          <w:color w:val="000000"/>
          <w:kern w:val="0"/>
          <w:sz w:val="24"/>
          <w:szCs w:val="24"/>
        </w:rPr>
      </w:pPr>
    </w:p>
    <w:p>
      <w:pPr>
        <w:rPr>
          <w:rFonts w:ascii="Times New Roman" w:hAnsi="Times New Roman"/>
          <w:color w:val="000000"/>
          <w:kern w:val="0"/>
          <w:sz w:val="24"/>
          <w:szCs w:val="24"/>
        </w:rPr>
      </w:pPr>
    </w:p>
    <w:p>
      <w:pPr>
        <w:rPr>
          <w:rFonts w:ascii="Times New Roman" w:hAnsi="Times New Roman"/>
          <w:color w:val="000000"/>
          <w:kern w:val="0"/>
          <w:sz w:val="24"/>
          <w:szCs w:val="24"/>
        </w:rPr>
      </w:pPr>
    </w:p>
    <w:p>
      <w:pPr>
        <w:rPr>
          <w:rFonts w:ascii="Times New Roman" w:hAnsi="Times New Roman"/>
          <w:color w:val="000000"/>
          <w:kern w:val="0"/>
          <w:sz w:val="24"/>
          <w:szCs w:val="24"/>
        </w:rPr>
      </w:pPr>
    </w:p>
    <w:p>
      <w:pPr>
        <w:rPr>
          <w:rFonts w:ascii="Times New Roman" w:hAnsi="Times New Roman"/>
          <w:color w:val="000000"/>
          <w:kern w:val="0"/>
          <w:sz w:val="24"/>
          <w:szCs w:val="24"/>
        </w:rPr>
      </w:pPr>
    </w:p>
    <w:p>
      <w:pPr>
        <w:rPr>
          <w:rFonts w:ascii="Times New Roman" w:hAnsi="Times New Roman"/>
          <w:color w:val="000000"/>
          <w:kern w:val="0"/>
          <w:sz w:val="24"/>
          <w:szCs w:val="24"/>
        </w:rPr>
      </w:pPr>
    </w:p>
    <w:p>
      <w:pPr>
        <w:rPr>
          <w:rFonts w:ascii="Times New Roman" w:hAnsi="Times New Roman"/>
          <w:color w:val="000000"/>
          <w:kern w:val="0"/>
          <w:sz w:val="24"/>
          <w:szCs w:val="24"/>
        </w:rPr>
      </w:pPr>
    </w:p>
    <w:p>
      <w:pPr>
        <w:rPr>
          <w:rFonts w:ascii="Times New Roman" w:hAnsi="Times New Roman"/>
          <w:color w:val="000000"/>
          <w:kern w:val="0"/>
          <w:sz w:val="24"/>
          <w:szCs w:val="24"/>
        </w:rPr>
      </w:pPr>
    </w:p>
    <w:p>
      <w:pPr>
        <w:rPr>
          <w:rFonts w:ascii="Times New Roman" w:hAnsi="Times New Roman"/>
          <w:color w:val="000000"/>
          <w:kern w:val="0"/>
          <w:sz w:val="24"/>
          <w:szCs w:val="24"/>
        </w:rPr>
      </w:pPr>
    </w:p>
    <w:p>
      <w:pPr>
        <w:rPr>
          <w:rFonts w:ascii="Times New Roman" w:hAnsi="Times New Roman"/>
          <w:color w:val="000000"/>
          <w:kern w:val="0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Figure. 1 </w:t>
      </w:r>
      <w:r>
        <w:rPr>
          <w:rFonts w:hint="eastAsia" w:ascii="Times New Roman" w:hAnsi="Times New Roman"/>
          <w:color w:val="000000"/>
          <w:kern w:val="0"/>
          <w:sz w:val="24"/>
          <w:szCs w:val="24"/>
          <w:lang w:val="en-US" w:eastAsia="zh-CN"/>
        </w:rPr>
        <w:t>Importance of variables to distinguish between cachexia and non-cachexia (including pre-cachexia)</w:t>
      </w:r>
    </w:p>
    <w:p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266690" cy="3767455"/>
            <wp:effectExtent l="0" t="0" r="635" b="4445"/>
            <wp:docPr id="1" name="图片 1" descr="figureS1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S1-new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6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Theme="minorEastAsia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bCs/>
          <w:color w:val="000000"/>
          <w:kern w:val="0"/>
          <w:sz w:val="24"/>
          <w:szCs w:val="24"/>
          <w:lang w:val="en-US" w:eastAsia="zh-CN"/>
        </w:rPr>
        <w:t xml:space="preserve">Notes: </w:t>
      </w:r>
      <w:r>
        <w:rPr>
          <w:rFonts w:hint="eastAsia" w:ascii="Times New Roman" w:hAnsi="Times New Roman"/>
          <w:b w:val="0"/>
          <w:bCs w:val="0"/>
          <w:color w:val="000000"/>
          <w:kern w:val="0"/>
          <w:sz w:val="24"/>
          <w:szCs w:val="24"/>
          <w:lang w:val="en-US" w:eastAsia="zh-CN"/>
        </w:rPr>
        <w:t xml:space="preserve">(a) Step logistic regression model (SLR); (b) Lasso regression model (LASSO); (c) </w:t>
      </w:r>
      <w: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>eXtreme gradient boosting</w:t>
      </w:r>
      <w:r>
        <w:rPr>
          <w:rFonts w:hint="eastAsia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 xml:space="preserve"> model (XGB)</w:t>
      </w:r>
      <w:r>
        <w:rPr>
          <w:rFonts w:hint="eastAsia" w:ascii="Times New Roman" w:hAnsi="Times New Roman"/>
          <w:b w:val="0"/>
          <w:bCs w:val="0"/>
          <w:color w:val="000000"/>
          <w:kern w:val="0"/>
          <w:sz w:val="24"/>
          <w:szCs w:val="24"/>
          <w:lang w:val="en-US" w:eastAsia="zh-CN"/>
        </w:rPr>
        <w:t xml:space="preserve">(d) Random forest model (RF); (e) Decision tree model(DT); </w:t>
      </w:r>
      <w:r>
        <w:rPr>
          <w:rFonts w:hint="eastAsia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 xml:space="preserve">(f) </w:t>
      </w:r>
      <w: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>support vector machine</w:t>
      </w:r>
      <w:r>
        <w:rPr>
          <w:rFonts w:hint="eastAsia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 xml:space="preserve"> model (SVM).</w:t>
      </w:r>
    </w:p>
    <w:p>
      <w:pPr>
        <w:numPr>
          <w:ilvl w:val="0"/>
          <w:numId w:val="1"/>
        </w:numP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 xml:space="preserve">~(e) The model calculated the importance of variables and showed the top ten variables. </w:t>
      </w:r>
    </w:p>
    <w:p/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rPr>
          <w:rFonts w:hint="default" w:ascii="Times New Roman" w:hAnsi="Times New Roman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Figure. 2 </w:t>
      </w:r>
      <w:r>
        <w:rPr>
          <w:rFonts w:hint="eastAsia" w:ascii="Times New Roman" w:hAnsi="Times New Roman"/>
          <w:color w:val="000000"/>
          <w:kern w:val="0"/>
          <w:sz w:val="24"/>
          <w:szCs w:val="24"/>
          <w:lang w:val="en-US" w:eastAsia="zh-CN"/>
        </w:rPr>
        <w:t>Importance of variables to distinguish between non-cachexia and pre-cachexia.</w:t>
      </w:r>
    </w:p>
    <w:p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262245" cy="3646805"/>
            <wp:effectExtent l="0" t="0" r="5080" b="1270"/>
            <wp:docPr id="2" name="图片 2" descr="figureS2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S2-new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64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rPr>
          <w:rFonts w:hint="default" w:ascii="Times New Roman" w:hAnsi="Times New Roman" w:eastAsiaTheme="minorEastAsia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bCs/>
          <w:color w:val="000000"/>
          <w:kern w:val="0"/>
          <w:sz w:val="24"/>
          <w:szCs w:val="24"/>
          <w:lang w:val="en-US" w:eastAsia="zh-CN"/>
        </w:rPr>
        <w:t xml:space="preserve">Notes: </w:t>
      </w:r>
      <w:r>
        <w:rPr>
          <w:rFonts w:hint="eastAsia" w:ascii="Times New Roman" w:hAnsi="Times New Roman"/>
          <w:b w:val="0"/>
          <w:bCs w:val="0"/>
          <w:color w:val="000000"/>
          <w:kern w:val="0"/>
          <w:sz w:val="24"/>
          <w:szCs w:val="24"/>
          <w:lang w:val="en-US" w:eastAsia="zh-CN"/>
        </w:rPr>
        <w:t xml:space="preserve">(a) Step logistic regression model (SLR); (b) Lasso regression model (LASSO); (c) </w:t>
      </w:r>
      <w: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>eXtreme gradient boosting</w:t>
      </w:r>
      <w:r>
        <w:rPr>
          <w:rFonts w:hint="eastAsia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 xml:space="preserve"> model (XGB)</w:t>
      </w:r>
      <w:r>
        <w:rPr>
          <w:rFonts w:hint="eastAsia" w:ascii="Times New Roman" w:hAnsi="Times New Roman"/>
          <w:b w:val="0"/>
          <w:bCs w:val="0"/>
          <w:color w:val="000000"/>
          <w:kern w:val="0"/>
          <w:sz w:val="24"/>
          <w:szCs w:val="24"/>
          <w:lang w:val="en-US" w:eastAsia="zh-CN"/>
        </w:rPr>
        <w:t xml:space="preserve">(d) Random forest model (RF); (e) Decision tree model(DT); </w:t>
      </w:r>
      <w:r>
        <w:rPr>
          <w:rFonts w:hint="eastAsia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 xml:space="preserve">(f) </w:t>
      </w:r>
      <w: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>support vector machine</w:t>
      </w:r>
      <w:r>
        <w:rPr>
          <w:rFonts w:hint="eastAsia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 xml:space="preserve"> model (SVM).</w:t>
      </w:r>
    </w:p>
    <w:p>
      <w:pPr>
        <w:numPr>
          <w:ilvl w:val="0"/>
          <w:numId w:val="2"/>
        </w:numP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>~(e) The model calculated the importance of variables and showed the top ten variables.</w:t>
      </w:r>
    </w:p>
    <w:p/>
    <w:p/>
    <w:p/>
    <w:p/>
    <w:p/>
    <w:p/>
    <w:p/>
    <w:p/>
    <w:p/>
    <w:p/>
    <w:p/>
    <w:p/>
    <w:p/>
    <w:p/>
    <w:p/>
    <w:p>
      <w:pPr>
        <w:rPr>
          <w:rFonts w:hint="default" w:ascii="Times New Roman" w:hAnsi="Times New Roman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Figure. 3 </w:t>
      </w:r>
      <w:r>
        <w:rPr>
          <w:rFonts w:hint="eastAsia" w:ascii="Times New Roman" w:hAnsi="Times New Roman"/>
          <w:color w:val="000000"/>
          <w:kern w:val="0"/>
          <w:sz w:val="24"/>
          <w:szCs w:val="24"/>
          <w:lang w:val="en-US" w:eastAsia="zh-CN"/>
        </w:rPr>
        <w:t>Correlation between variables.</w:t>
      </w:r>
    </w:p>
    <w:p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4292600" cy="2641600"/>
            <wp:effectExtent l="0" t="0" r="0" b="0"/>
            <wp:docPr id="3" name="图片 3" descr="figure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9260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widowControl w:val="0"/>
        <w:numPr>
          <w:ilvl w:val="0"/>
          <w:numId w:val="0"/>
        </w:numPr>
        <w:jc w:val="both"/>
        <w:rPr>
          <w:rFonts w:hint="eastAsia" w:ascii="Times New Roman" w:hAnsi="Times New Roman" w:eastAsia="等线" w:cs="Times New Roman"/>
          <w:b w:val="0"/>
          <w:bCs w:val="0"/>
          <w:kern w:val="2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等线" w:cs="Times New Roman"/>
          <w:b/>
          <w:bCs/>
          <w:kern w:val="2"/>
          <w:sz w:val="24"/>
          <w:szCs w:val="24"/>
          <w:lang w:val="en-US" w:eastAsia="zh-CN" w:bidi="ar"/>
        </w:rPr>
        <w:t>Notes:</w:t>
      </w:r>
      <w:r>
        <w:rPr>
          <w:rFonts w:hint="eastAsia" w:ascii="Times New Roman" w:hAnsi="Times New Roman" w:eastAsia="等线" w:cs="Times New Roman"/>
          <w:b w:val="0"/>
          <w:bCs w:val="0"/>
          <w:kern w:val="2"/>
          <w:sz w:val="24"/>
          <w:szCs w:val="24"/>
          <w:lang w:val="en-US" w:eastAsia="zh-CN" w:bidi="ar"/>
        </w:rPr>
        <w:t xml:space="preserve"> (a) Characteristic variables of cachexia; (b) Characteristic variables of pre-cachexia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"/>
        </w:rPr>
      </w:pPr>
      <w:r>
        <w:rPr>
          <w:rFonts w:ascii="Times New Roman" w:hAnsi="Times New Roman"/>
          <w:color w:val="000000"/>
          <w:kern w:val="0"/>
          <w:sz w:val="24"/>
          <w:szCs w:val="24"/>
        </w:rPr>
        <w:t>Scr, serum creatinine;</w:t>
      </w:r>
      <w:r>
        <w:rPr>
          <w:rFonts w:hint="eastAsia" w:ascii="Times New Roman" w:hAnsi="Times New Roman"/>
          <w:color w:val="000000"/>
          <w:kern w:val="0"/>
          <w:sz w:val="24"/>
          <w:szCs w:val="24"/>
          <w:lang w:val="en-US" w:eastAsia="zh-CN"/>
        </w:rPr>
        <w:t xml:space="preserve"> HGS, hand grip strength; </w:t>
      </w:r>
      <w:r>
        <w:rPr>
          <w:rFonts w:ascii="Times New Roman" w:hAnsi="Times New Roman"/>
          <w:color w:val="000000"/>
          <w:kern w:val="0"/>
          <w:sz w:val="24"/>
          <w:szCs w:val="24"/>
        </w:rPr>
        <w:t>MAC, arm circumference</w:t>
      </w:r>
      <w:r>
        <w:rPr>
          <w:rFonts w:hint="eastAsia" w:ascii="Times New Roman" w:hAnsi="Times New Roman"/>
          <w:color w:val="000000"/>
          <w:kern w:val="0"/>
          <w:sz w:val="24"/>
          <w:szCs w:val="24"/>
          <w:lang w:val="en-US" w:eastAsia="zh-CN"/>
        </w:rPr>
        <w:t xml:space="preserve">; CAC, calf circumference; 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HDL, high-density lipoprotein;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/>
          <w:color w:val="000000"/>
          <w:kern w:val="0"/>
          <w:sz w:val="24"/>
          <w:szCs w:val="24"/>
        </w:rPr>
        <w:t>CAR, C-reactive protein to albumin ratio</w:t>
      </w:r>
      <w:r>
        <w:rPr>
          <w:rFonts w:hint="eastAsia" w:ascii="Times New Roman" w:hAnsi="Times New Roman"/>
          <w:color w:val="000000"/>
          <w:kern w:val="0"/>
          <w:sz w:val="24"/>
          <w:szCs w:val="24"/>
          <w:lang w:val="en-US" w:eastAsia="zh-CN"/>
        </w:rPr>
        <w:t>.</w:t>
      </w:r>
      <w:bookmarkStart w:id="2" w:name="_GoBack"/>
      <w:bookmarkEnd w:id="2"/>
    </w:p>
    <w:p>
      <w:pPr>
        <w:widowControl w:val="0"/>
        <w:numPr>
          <w:ilvl w:val="0"/>
          <w:numId w:val="0"/>
        </w:numPr>
        <w:jc w:val="both"/>
        <w:rPr>
          <w:rFonts w:hint="eastAsia" w:ascii="Times New Roman" w:hAnsi="Times New Roman" w:eastAsia="等线" w:cs="Times New Roman"/>
          <w:b/>
          <w:bCs/>
          <w:kern w:val="2"/>
          <w:sz w:val="24"/>
          <w:szCs w:val="24"/>
          <w:lang w:val="en-US" w:eastAsia="zh-CN" w:bidi="ar"/>
        </w:rPr>
      </w:pPr>
    </w:p>
    <w:p/>
    <w:p/>
    <w:p/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C72B38"/>
    <w:multiLevelType w:val="singleLevel"/>
    <w:tmpl w:val="8DC72B38"/>
    <w:lvl w:ilvl="0" w:tentative="0">
      <w:start w:val="1"/>
      <w:numFmt w:val="lowerLetter"/>
      <w:lvlText w:val="(%1)"/>
      <w:lvlJc w:val="left"/>
      <w:pPr>
        <w:tabs>
          <w:tab w:val="left" w:pos="312"/>
        </w:tabs>
      </w:pPr>
    </w:lvl>
  </w:abstractNum>
  <w:abstractNum w:abstractNumId="1">
    <w:nsid w:val="506F6601"/>
    <w:multiLevelType w:val="singleLevel"/>
    <w:tmpl w:val="506F6601"/>
    <w:lvl w:ilvl="0" w:tentative="0">
      <w:start w:val="1"/>
      <w:numFmt w:val="lowerLetter"/>
      <w:lvlText w:val="(%1)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1ZjU3NjAzMjEwYzVhMmY1NDM3Y2U0ZjdlMTIxMjAifQ=="/>
  </w:docVars>
  <w:rsids>
    <w:rsidRoot w:val="41C7207F"/>
    <w:rsid w:val="3200698C"/>
    <w:rsid w:val="33B51252"/>
    <w:rsid w:val="41C7207F"/>
    <w:rsid w:val="56934823"/>
    <w:rsid w:val="74BE45F4"/>
    <w:rsid w:val="786C3817"/>
    <w:rsid w:val="7CEE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1478</Words>
  <Characters>7908</Characters>
  <Lines>0</Lines>
  <Paragraphs>0</Paragraphs>
  <TotalTime>529</TotalTime>
  <ScaleCrop>false</ScaleCrop>
  <LinksUpToDate>false</LinksUpToDate>
  <CharactersWithSpaces>8844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2023-06-06T02:38:00Z</dcterms:created>
  <dc:creator>招财</dc:creator>
  <cp:lastModifiedBy>Chenyue </cp:lastModifiedBy>
  <dcterms:modified xsi:type="dcterms:W3CDTF">2024-07-01T15:27:59Z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72DEA27141E34DAF81533748642BA58A_11</vt:lpwstr>
  </property>
</Properties>
</file>