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DF21BC"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Supplemental materials S7: Overview of the included studies, conclusions of evidence, the evidence tables and the GRADE assessments</w:t>
      </w:r>
    </w:p>
    <w:p w14:paraId="6EDF21BD" w14:textId="77777777" w:rsidR="00744659" w:rsidRPr="00C53C14" w:rsidRDefault="00744659">
      <w:pPr>
        <w:spacing w:line="360" w:lineRule="auto"/>
        <w:rPr>
          <w:rFonts w:ascii="Calibri" w:eastAsia="Calibri" w:hAnsi="Calibri" w:cs="Calibri"/>
          <w:b/>
          <w:sz w:val="20"/>
          <w:szCs w:val="20"/>
          <w:lang w:val="en-US"/>
        </w:rPr>
      </w:pPr>
    </w:p>
    <w:p w14:paraId="6EDF21BE"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 xml:space="preserve">1. PROPHYLACTIC RED BLOOD CELL TRANSFUSION IN GENERAL </w:t>
      </w:r>
      <w:r w:rsidRPr="00C53C14">
        <w:rPr>
          <w:rFonts w:ascii="Calibri" w:eastAsia="Calibri" w:hAnsi="Calibri" w:cs="Calibri"/>
          <w:b/>
          <w:sz w:val="20"/>
          <w:szCs w:val="20"/>
          <w:lang w:val="en-US"/>
        </w:rPr>
        <w:br/>
        <w:t>1.1 PROPHYLACTIC RED BLOOD CELL TRANSFUSION IN CHILDREN WITH CANCER</w:t>
      </w:r>
    </w:p>
    <w:p w14:paraId="6EDF21BF"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b/>
          <w:sz w:val="20"/>
          <w:szCs w:val="20"/>
          <w:lang w:val="en-US"/>
        </w:rPr>
        <w:t>A. Discussion of the literature</w:t>
      </w:r>
    </w:p>
    <w:p w14:paraId="6EDF21C0"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A1: Discussion of the evidence</w:t>
      </w:r>
    </w:p>
    <w:p w14:paraId="6EDF21C1"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A1.1: Evidence in pediatric oncology</w:t>
      </w:r>
    </w:p>
    <w:p w14:paraId="6EDF21C2"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Four pediatric oncology studies were included from the initial search (Robitaille, 2013; Smith, 1976; Toogood, 1978; Lightdale, 2012).</w:t>
      </w:r>
    </w:p>
    <w:p w14:paraId="6EDF21C3" w14:textId="77777777" w:rsidR="00744659" w:rsidRPr="00C53C14" w:rsidRDefault="00744659">
      <w:pPr>
        <w:spacing w:line="360" w:lineRule="auto"/>
        <w:rPr>
          <w:rFonts w:ascii="Calibri" w:eastAsia="Calibri" w:hAnsi="Calibri" w:cs="Calibri"/>
          <w:sz w:val="20"/>
          <w:szCs w:val="20"/>
          <w:u w:val="single"/>
          <w:lang w:val="en-US"/>
        </w:rPr>
      </w:pPr>
    </w:p>
    <w:p w14:paraId="6EDF21C4"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A1.2: Recommendations and evidence derived from guidelines</w:t>
      </w:r>
    </w:p>
    <w:p w14:paraId="6EDF21C5" w14:textId="6F1A1FCA"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Two out of seven guidelines included recommendations for </w:t>
      </w:r>
      <w:r w:rsidRPr="00C53C14">
        <w:rPr>
          <w:rFonts w:ascii="Calibri" w:eastAsia="Calibri" w:hAnsi="Calibri" w:cs="Calibri"/>
          <w:sz w:val="20"/>
          <w:szCs w:val="20"/>
          <w:u w:val="single"/>
          <w:lang w:val="en-US"/>
        </w:rPr>
        <w:t>children with cancer</w:t>
      </w:r>
      <w:r w:rsidRPr="00C53C14">
        <w:rPr>
          <w:rFonts w:ascii="Calibri" w:eastAsia="Calibri" w:hAnsi="Calibri" w:cs="Calibri"/>
          <w:sz w:val="20"/>
          <w:szCs w:val="20"/>
          <w:lang w:val="en-US"/>
        </w:rPr>
        <w:t>. Valentine (2018) (3</w:t>
      </w:r>
      <w:r w:rsidR="00C53C14" w:rsidRPr="00C53C14">
        <w:rPr>
          <w:rFonts w:ascii="Calibri" w:eastAsia="Calibri" w:hAnsi="Calibri" w:cs="Calibri"/>
          <w:sz w:val="20"/>
          <w:szCs w:val="20"/>
          <w:lang w:val="en-US"/>
        </w:rPr>
        <w:t>3</w:t>
      </w:r>
      <w:r w:rsidRPr="00C53C14">
        <w:rPr>
          <w:rFonts w:ascii="Calibri" w:eastAsia="Calibri" w:hAnsi="Calibri" w:cs="Calibri"/>
          <w:sz w:val="20"/>
          <w:szCs w:val="20"/>
          <w:lang w:val="en-US"/>
        </w:rPr>
        <w:t>) advised an Hb threshold between 4.3 and 5.0 mmol/L based on 1 general pediatric study (15) and one general adult study (16). JPAC (2013) (</w:t>
      </w:r>
      <w:r w:rsidR="001F16B9">
        <w:rPr>
          <w:rFonts w:ascii="Calibri" w:eastAsia="Calibri" w:hAnsi="Calibri" w:cs="Calibri"/>
          <w:sz w:val="20"/>
          <w:szCs w:val="20"/>
          <w:lang w:val="en-US"/>
        </w:rPr>
        <w:t>41</w:t>
      </w:r>
      <w:r w:rsidRPr="00C53C14">
        <w:rPr>
          <w:rFonts w:ascii="Calibri" w:eastAsia="Calibri" w:hAnsi="Calibri" w:cs="Calibri"/>
          <w:sz w:val="20"/>
          <w:szCs w:val="20"/>
          <w:lang w:val="en-US"/>
        </w:rPr>
        <w:t xml:space="preserve">) recommended an Hb threshold of 4.3 mmol/L based on the same pediatric study (15). </w:t>
      </w:r>
    </w:p>
    <w:p w14:paraId="6EDF21C6" w14:textId="77777777" w:rsidR="00744659" w:rsidRPr="00C53C14" w:rsidRDefault="00744659">
      <w:pPr>
        <w:spacing w:line="360" w:lineRule="auto"/>
        <w:rPr>
          <w:rFonts w:ascii="Calibri" w:eastAsia="Calibri" w:hAnsi="Calibri" w:cs="Calibri"/>
          <w:sz w:val="20"/>
          <w:szCs w:val="20"/>
          <w:lang w:val="en-US"/>
        </w:rPr>
      </w:pPr>
    </w:p>
    <w:p w14:paraId="6EDF21C7" w14:textId="50BD5A72"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Three out of seven guidelines had recommendations for </w:t>
      </w:r>
      <w:r w:rsidRPr="00C53C14">
        <w:rPr>
          <w:rFonts w:ascii="Calibri" w:eastAsia="Calibri" w:hAnsi="Calibri" w:cs="Calibri"/>
          <w:sz w:val="20"/>
          <w:szCs w:val="20"/>
          <w:u w:val="single"/>
          <w:lang w:val="en-US"/>
        </w:rPr>
        <w:t>children</w:t>
      </w:r>
      <w:r w:rsidRPr="00C53C14">
        <w:rPr>
          <w:rFonts w:ascii="Calibri" w:eastAsia="Calibri" w:hAnsi="Calibri" w:cs="Calibri"/>
          <w:sz w:val="20"/>
          <w:szCs w:val="20"/>
          <w:lang w:val="en-US"/>
        </w:rPr>
        <w:t>. These recommendations were based on both adult and pediatric studies. Valentine (2018) (3</w:t>
      </w:r>
      <w:r w:rsidR="001F16B9">
        <w:rPr>
          <w:rFonts w:ascii="Calibri" w:eastAsia="Calibri" w:hAnsi="Calibri" w:cs="Calibri"/>
          <w:sz w:val="20"/>
          <w:szCs w:val="20"/>
          <w:lang w:val="en-US"/>
        </w:rPr>
        <w:t>3</w:t>
      </w:r>
      <w:r w:rsidRPr="00C53C14">
        <w:rPr>
          <w:rFonts w:ascii="Calibri" w:eastAsia="Calibri" w:hAnsi="Calibri" w:cs="Calibri"/>
          <w:sz w:val="20"/>
          <w:szCs w:val="20"/>
          <w:lang w:val="en-US"/>
        </w:rPr>
        <w:t>) advised an Hb threshold of 3.1 mmol/L in critically ill children or those at risk for critical illness. An Hb threshold higher than 4.3 mmol/L is not advised in critically ill children or those at risk for critical illness, who are hemodynamically stable. They did not make recommendations regarding Hb thresholds between 3.1 and 4.3 mmol/L due to lack of evidence (9, 15, 35, 46-48). New (2016) (4</w:t>
      </w:r>
      <w:r w:rsidR="00782AEA">
        <w:rPr>
          <w:rFonts w:ascii="Calibri" w:eastAsia="Calibri" w:hAnsi="Calibri" w:cs="Calibri"/>
          <w:sz w:val="20"/>
          <w:szCs w:val="20"/>
          <w:lang w:val="en-US"/>
        </w:rPr>
        <w:t>4</w:t>
      </w:r>
      <w:r w:rsidRPr="00C53C14">
        <w:rPr>
          <w:rFonts w:ascii="Calibri" w:eastAsia="Calibri" w:hAnsi="Calibri" w:cs="Calibri"/>
          <w:sz w:val="20"/>
          <w:szCs w:val="20"/>
          <w:lang w:val="en-US"/>
        </w:rPr>
        <w:t>) advised an Hb threshold of 4.3 mmol/L in stable non-cyanotic patients and an Hb threshold higher than 4.3 mmol/L may be considered in unstable patients or symptomatic anemia (12, 15, 18, 4</w:t>
      </w:r>
      <w:r w:rsidR="00782AEA">
        <w:rPr>
          <w:rFonts w:ascii="Calibri" w:eastAsia="Calibri" w:hAnsi="Calibri" w:cs="Calibri"/>
          <w:sz w:val="20"/>
          <w:szCs w:val="20"/>
          <w:lang w:val="en-US"/>
        </w:rPr>
        <w:t>3</w:t>
      </w:r>
      <w:r w:rsidRPr="00C53C14">
        <w:rPr>
          <w:rFonts w:ascii="Calibri" w:eastAsia="Calibri" w:hAnsi="Calibri" w:cs="Calibri"/>
          <w:sz w:val="20"/>
          <w:szCs w:val="20"/>
          <w:lang w:val="en-US"/>
        </w:rPr>
        <w:t>). NICE (2015) (4</w:t>
      </w:r>
      <w:r w:rsidR="00782AEA">
        <w:rPr>
          <w:rFonts w:ascii="Calibri" w:eastAsia="Calibri" w:hAnsi="Calibri" w:cs="Calibri"/>
          <w:sz w:val="20"/>
          <w:szCs w:val="20"/>
          <w:lang w:val="en-US"/>
        </w:rPr>
        <w:t>3</w:t>
      </w:r>
      <w:r w:rsidRPr="00C53C14">
        <w:rPr>
          <w:rFonts w:ascii="Calibri" w:eastAsia="Calibri" w:hAnsi="Calibri" w:cs="Calibri"/>
          <w:sz w:val="20"/>
          <w:szCs w:val="20"/>
          <w:lang w:val="en-US"/>
        </w:rPr>
        <w:t xml:space="preserve">) has recommended an Hb threshold of 4.3 mmol/L as well (15, 30). </w:t>
      </w:r>
    </w:p>
    <w:p w14:paraId="6EDF21C8" w14:textId="77777777" w:rsidR="00744659" w:rsidRPr="00C53C14" w:rsidRDefault="00744659">
      <w:pPr>
        <w:spacing w:line="360" w:lineRule="auto"/>
        <w:ind w:firstLine="720"/>
        <w:rPr>
          <w:rFonts w:ascii="Calibri" w:eastAsia="Calibri" w:hAnsi="Calibri" w:cs="Calibri"/>
          <w:sz w:val="20"/>
          <w:szCs w:val="20"/>
          <w:lang w:val="en-US"/>
        </w:rPr>
      </w:pPr>
    </w:p>
    <w:p w14:paraId="6EDF21C9" w14:textId="4C036481"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Two out of seven guidelines had recommendations for </w:t>
      </w:r>
      <w:r w:rsidRPr="00C53C14">
        <w:rPr>
          <w:rFonts w:ascii="Calibri" w:eastAsia="Calibri" w:hAnsi="Calibri" w:cs="Calibri"/>
          <w:sz w:val="20"/>
          <w:szCs w:val="20"/>
          <w:u w:val="single"/>
          <w:lang w:val="en-US"/>
        </w:rPr>
        <w:t>adults with cancer</w:t>
      </w:r>
      <w:r w:rsidRPr="00C53C14">
        <w:rPr>
          <w:rFonts w:ascii="Calibri" w:eastAsia="Calibri" w:hAnsi="Calibri" w:cs="Calibri"/>
          <w:sz w:val="20"/>
          <w:szCs w:val="20"/>
          <w:lang w:val="en-US"/>
        </w:rPr>
        <w:t>, however these recommendations were based merely on consensus and not on evidence. The JPAC (2013) (</w:t>
      </w:r>
      <w:r w:rsidR="00EF7B71">
        <w:rPr>
          <w:rFonts w:ascii="Calibri" w:eastAsia="Calibri" w:hAnsi="Calibri" w:cs="Calibri"/>
          <w:sz w:val="20"/>
          <w:szCs w:val="20"/>
          <w:lang w:val="en-US"/>
        </w:rPr>
        <w:t>41</w:t>
      </w:r>
      <w:r w:rsidRPr="00C53C14">
        <w:rPr>
          <w:rFonts w:ascii="Calibri" w:eastAsia="Calibri" w:hAnsi="Calibri" w:cs="Calibri"/>
          <w:sz w:val="20"/>
          <w:szCs w:val="20"/>
          <w:lang w:val="en-US"/>
        </w:rPr>
        <w:t>) advised an Hb threshold between 5.0 and 5.6 mmol/L based on what most hospitals in the UK followed, but it is not based on evidence. CBO (2011) (4</w:t>
      </w:r>
      <w:r w:rsidR="00EF7B71">
        <w:rPr>
          <w:rFonts w:ascii="Calibri" w:eastAsia="Calibri" w:hAnsi="Calibri" w:cs="Calibri"/>
          <w:sz w:val="20"/>
          <w:szCs w:val="20"/>
          <w:lang w:val="en-US"/>
        </w:rPr>
        <w:t>2</w:t>
      </w:r>
      <w:r w:rsidRPr="00C53C14">
        <w:rPr>
          <w:rFonts w:ascii="Calibri" w:eastAsia="Calibri" w:hAnsi="Calibri" w:cs="Calibri"/>
          <w:sz w:val="20"/>
          <w:szCs w:val="20"/>
          <w:lang w:val="en-US"/>
        </w:rPr>
        <w:t>) stated that an Hb of 3.0 mmol/L is an absolute indication for a RBC transfusion (10). Based on consensus, it is advised to give a prophylactic RBC transfusion based on the patient’s cardiopulmonary compensation abilities and when there are no clear limited cardiopulmonary compensation options or risk factors, an Hb threshold between 3.5-4.5 may be used for children and adolescents under 25 years. In case of solid tumors, an Hb threshold of 6.0 mmol/L can be considered. For lymphocytic and myeloid leukemias, no recommendation could be made. In case of aplasia-inducing treatments it has been shown that a restrictive transfusion policy (4.4-5.5 mmol/L) compared to a more liberal policy (6 mmol/L) did not lead to more adverse patient outcomes (19).</w:t>
      </w:r>
    </w:p>
    <w:p w14:paraId="6EDF21CA" w14:textId="77777777" w:rsidR="00744659" w:rsidRPr="00C53C14" w:rsidRDefault="00744659">
      <w:pPr>
        <w:spacing w:line="360" w:lineRule="auto"/>
        <w:rPr>
          <w:rFonts w:ascii="Calibri" w:eastAsia="Calibri" w:hAnsi="Calibri" w:cs="Calibri"/>
          <w:sz w:val="20"/>
          <w:szCs w:val="20"/>
          <w:lang w:val="en-US"/>
        </w:rPr>
      </w:pPr>
    </w:p>
    <w:p w14:paraId="6EDF21CB"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lastRenderedPageBreak/>
        <w:t>A2: Description of the included studies</w:t>
      </w:r>
    </w:p>
    <w:p w14:paraId="6EDF21CC"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A2.1: Pediatric oncology</w:t>
      </w:r>
    </w:p>
    <w:p w14:paraId="6EDF21CD" w14:textId="2F610769"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Four pediatric oncology studies were included (13, 14, 45</w:t>
      </w:r>
      <w:r w:rsidR="007502F5">
        <w:rPr>
          <w:rFonts w:ascii="Calibri" w:eastAsia="Calibri" w:hAnsi="Calibri" w:cs="Calibri"/>
          <w:sz w:val="20"/>
          <w:szCs w:val="20"/>
          <w:lang w:val="en-US"/>
        </w:rPr>
        <w:t>, 46</w:t>
      </w:r>
      <w:r w:rsidRPr="00C53C14">
        <w:rPr>
          <w:rFonts w:ascii="Calibri" w:eastAsia="Calibri" w:hAnsi="Calibri" w:cs="Calibri"/>
          <w:sz w:val="20"/>
          <w:szCs w:val="20"/>
          <w:lang w:val="en-US"/>
        </w:rPr>
        <w:t>).</w:t>
      </w:r>
    </w:p>
    <w:p w14:paraId="6EDF21CE" w14:textId="77777777" w:rsidR="00744659" w:rsidRPr="00C53C14" w:rsidRDefault="00744659">
      <w:pPr>
        <w:spacing w:line="360" w:lineRule="auto"/>
        <w:rPr>
          <w:rFonts w:ascii="Calibri" w:eastAsia="Calibri" w:hAnsi="Calibri" w:cs="Calibri"/>
          <w:sz w:val="20"/>
          <w:szCs w:val="20"/>
          <w:lang w:val="en-US"/>
        </w:rPr>
      </w:pPr>
    </w:p>
    <w:p w14:paraId="6EDF21CF"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 characteristics of the included studies are stated in the evidence table below. The studies differ from each other in patient population and in methodology. The full tables of characteristics are stated in supplemental materials 2 and 3. </w:t>
      </w:r>
    </w:p>
    <w:p w14:paraId="6EDF21D0" w14:textId="77777777" w:rsidR="00744659" w:rsidRPr="00C53C14" w:rsidRDefault="00744659">
      <w:pPr>
        <w:spacing w:line="360" w:lineRule="auto"/>
        <w:rPr>
          <w:rFonts w:ascii="Calibri" w:eastAsia="Calibri" w:hAnsi="Calibri" w:cs="Calibri"/>
          <w:b/>
          <w:sz w:val="20"/>
          <w:szCs w:val="20"/>
          <w:lang w:val="en-US"/>
        </w:rPr>
      </w:pPr>
    </w:p>
    <w:p w14:paraId="6EDF21D1"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Table 1.</w:t>
      </w:r>
      <w:r w:rsidRPr="00C53C14">
        <w:rPr>
          <w:rFonts w:ascii="Calibri" w:eastAsia="Calibri" w:hAnsi="Calibri" w:cs="Calibri"/>
          <w:sz w:val="20"/>
          <w:szCs w:val="20"/>
          <w:lang w:val="en-US"/>
        </w:rPr>
        <w:t xml:space="preserve"> Characteristics of the included studies regarding children with cancer.</w:t>
      </w:r>
    </w:p>
    <w:tbl>
      <w:tblPr>
        <w:tblStyle w:val="a"/>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693"/>
        <w:gridCol w:w="2126"/>
        <w:gridCol w:w="2127"/>
        <w:gridCol w:w="3118"/>
      </w:tblGrid>
      <w:tr w:rsidR="00744659" w14:paraId="6EDF21D3" w14:textId="77777777">
        <w:trPr>
          <w:trHeight w:val="71"/>
        </w:trPr>
        <w:tc>
          <w:tcPr>
            <w:tcW w:w="11623" w:type="dxa"/>
            <w:gridSpan w:val="5"/>
            <w:shd w:val="clear" w:color="auto" w:fill="000000"/>
            <w:tcMar>
              <w:top w:w="100" w:type="dxa"/>
              <w:left w:w="100" w:type="dxa"/>
              <w:bottom w:w="100" w:type="dxa"/>
              <w:right w:w="100" w:type="dxa"/>
            </w:tcMar>
          </w:tcPr>
          <w:p w14:paraId="6EDF21D2" w14:textId="77777777" w:rsidR="00744659" w:rsidRDefault="002C38C9">
            <w:pPr>
              <w:spacing w:line="360" w:lineRule="auto"/>
              <w:rPr>
                <w:b/>
                <w:color w:val="FFFFFF"/>
                <w:sz w:val="20"/>
                <w:szCs w:val="20"/>
              </w:rPr>
            </w:pPr>
            <w:r>
              <w:rPr>
                <w:b/>
                <w:color w:val="FFFFFF"/>
                <w:sz w:val="20"/>
                <w:szCs w:val="20"/>
              </w:rPr>
              <w:t>Included studies</w:t>
            </w:r>
          </w:p>
        </w:tc>
      </w:tr>
      <w:tr w:rsidR="00744659" w14:paraId="6EDF21D9" w14:textId="77777777">
        <w:trPr>
          <w:trHeight w:val="179"/>
        </w:trPr>
        <w:tc>
          <w:tcPr>
            <w:tcW w:w="1559" w:type="dxa"/>
            <w:shd w:val="clear" w:color="auto" w:fill="D9D9D9"/>
            <w:tcMar>
              <w:top w:w="100" w:type="dxa"/>
              <w:left w:w="100" w:type="dxa"/>
              <w:bottom w:w="100" w:type="dxa"/>
              <w:right w:w="100" w:type="dxa"/>
            </w:tcMar>
          </w:tcPr>
          <w:p w14:paraId="6EDF21D4" w14:textId="77777777" w:rsidR="00744659" w:rsidRDefault="002C38C9">
            <w:pPr>
              <w:spacing w:line="360" w:lineRule="auto"/>
              <w:rPr>
                <w:b/>
                <w:sz w:val="20"/>
                <w:szCs w:val="20"/>
              </w:rPr>
            </w:pPr>
            <w:r>
              <w:rPr>
                <w:b/>
                <w:sz w:val="20"/>
                <w:szCs w:val="20"/>
              </w:rPr>
              <w:t>Study</w:t>
            </w:r>
          </w:p>
        </w:tc>
        <w:tc>
          <w:tcPr>
            <w:tcW w:w="2693" w:type="dxa"/>
            <w:shd w:val="clear" w:color="auto" w:fill="D9D9D9"/>
            <w:tcMar>
              <w:top w:w="100" w:type="dxa"/>
              <w:left w:w="100" w:type="dxa"/>
              <w:bottom w:w="100" w:type="dxa"/>
              <w:right w:w="100" w:type="dxa"/>
            </w:tcMar>
          </w:tcPr>
          <w:p w14:paraId="6EDF21D5" w14:textId="77777777" w:rsidR="00744659" w:rsidRDefault="002C38C9">
            <w:pPr>
              <w:spacing w:line="360" w:lineRule="auto"/>
              <w:rPr>
                <w:b/>
                <w:sz w:val="20"/>
                <w:szCs w:val="20"/>
              </w:rPr>
            </w:pPr>
            <w:r>
              <w:rPr>
                <w:b/>
                <w:sz w:val="20"/>
                <w:szCs w:val="20"/>
              </w:rPr>
              <w:t>Population</w:t>
            </w:r>
          </w:p>
        </w:tc>
        <w:tc>
          <w:tcPr>
            <w:tcW w:w="2126" w:type="dxa"/>
            <w:shd w:val="clear" w:color="auto" w:fill="D9D9D9"/>
            <w:tcMar>
              <w:top w:w="100" w:type="dxa"/>
              <w:left w:w="100" w:type="dxa"/>
              <w:bottom w:w="100" w:type="dxa"/>
              <w:right w:w="100" w:type="dxa"/>
            </w:tcMar>
          </w:tcPr>
          <w:p w14:paraId="6EDF21D6" w14:textId="77777777" w:rsidR="00744659" w:rsidRDefault="002C38C9">
            <w:pPr>
              <w:spacing w:line="360" w:lineRule="auto"/>
              <w:rPr>
                <w:b/>
                <w:sz w:val="20"/>
                <w:szCs w:val="20"/>
              </w:rPr>
            </w:pPr>
            <w:r>
              <w:rPr>
                <w:b/>
                <w:sz w:val="20"/>
                <w:szCs w:val="20"/>
              </w:rPr>
              <w:t>Liberal threshold</w:t>
            </w:r>
          </w:p>
        </w:tc>
        <w:tc>
          <w:tcPr>
            <w:tcW w:w="2127" w:type="dxa"/>
            <w:shd w:val="clear" w:color="auto" w:fill="D9D9D9"/>
            <w:tcMar>
              <w:top w:w="100" w:type="dxa"/>
              <w:left w:w="100" w:type="dxa"/>
              <w:bottom w:w="100" w:type="dxa"/>
              <w:right w:w="100" w:type="dxa"/>
            </w:tcMar>
          </w:tcPr>
          <w:p w14:paraId="6EDF21D7" w14:textId="77777777" w:rsidR="00744659" w:rsidRDefault="002C38C9">
            <w:pPr>
              <w:spacing w:line="360" w:lineRule="auto"/>
              <w:rPr>
                <w:b/>
                <w:sz w:val="20"/>
                <w:szCs w:val="20"/>
              </w:rPr>
            </w:pPr>
            <w:r>
              <w:rPr>
                <w:b/>
                <w:sz w:val="20"/>
                <w:szCs w:val="20"/>
              </w:rPr>
              <w:t>Restrictive threshold</w:t>
            </w:r>
          </w:p>
        </w:tc>
        <w:tc>
          <w:tcPr>
            <w:tcW w:w="3118" w:type="dxa"/>
            <w:shd w:val="clear" w:color="auto" w:fill="D9D9D9"/>
            <w:tcMar>
              <w:top w:w="100" w:type="dxa"/>
              <w:left w:w="100" w:type="dxa"/>
              <w:bottom w:w="100" w:type="dxa"/>
              <w:right w:w="100" w:type="dxa"/>
            </w:tcMar>
          </w:tcPr>
          <w:p w14:paraId="6EDF21D8" w14:textId="77777777" w:rsidR="00744659" w:rsidRDefault="002C38C9">
            <w:pPr>
              <w:spacing w:line="360" w:lineRule="auto"/>
              <w:rPr>
                <w:b/>
                <w:sz w:val="20"/>
                <w:szCs w:val="20"/>
              </w:rPr>
            </w:pPr>
            <w:r>
              <w:rPr>
                <w:b/>
                <w:sz w:val="20"/>
                <w:szCs w:val="20"/>
              </w:rPr>
              <w:t xml:space="preserve">Outcomes </w:t>
            </w:r>
          </w:p>
        </w:tc>
      </w:tr>
      <w:tr w:rsidR="00744659" w14:paraId="6EDF21DF" w14:textId="77777777">
        <w:trPr>
          <w:trHeight w:val="360"/>
        </w:trPr>
        <w:tc>
          <w:tcPr>
            <w:tcW w:w="1559" w:type="dxa"/>
            <w:tcMar>
              <w:top w:w="100" w:type="dxa"/>
              <w:left w:w="100" w:type="dxa"/>
              <w:bottom w:w="100" w:type="dxa"/>
              <w:right w:w="100" w:type="dxa"/>
            </w:tcMar>
          </w:tcPr>
          <w:p w14:paraId="6EDF21DA" w14:textId="77777777" w:rsidR="00744659" w:rsidRDefault="002C38C9">
            <w:pPr>
              <w:spacing w:line="360" w:lineRule="auto"/>
              <w:rPr>
                <w:i/>
                <w:sz w:val="20"/>
                <w:szCs w:val="20"/>
              </w:rPr>
            </w:pPr>
            <w:r>
              <w:rPr>
                <w:i/>
                <w:sz w:val="20"/>
                <w:szCs w:val="20"/>
              </w:rPr>
              <w:t>Robitaille (2013)</w:t>
            </w:r>
            <w:r>
              <w:rPr>
                <w:i/>
                <w:sz w:val="20"/>
                <w:szCs w:val="20"/>
              </w:rPr>
              <w:br/>
              <w:t>RCT</w:t>
            </w:r>
          </w:p>
        </w:tc>
        <w:tc>
          <w:tcPr>
            <w:tcW w:w="2693" w:type="dxa"/>
            <w:tcMar>
              <w:top w:w="100" w:type="dxa"/>
              <w:left w:w="100" w:type="dxa"/>
              <w:bottom w:w="100" w:type="dxa"/>
              <w:right w:w="100" w:type="dxa"/>
            </w:tcMar>
          </w:tcPr>
          <w:p w14:paraId="6EDF21DB" w14:textId="77777777" w:rsidR="00744659" w:rsidRPr="00C53C14" w:rsidRDefault="002C38C9">
            <w:pPr>
              <w:spacing w:line="360" w:lineRule="auto"/>
              <w:rPr>
                <w:sz w:val="20"/>
                <w:szCs w:val="20"/>
                <w:lang w:val="en-US"/>
              </w:rPr>
            </w:pPr>
            <w:r w:rsidRPr="00C53C14">
              <w:rPr>
                <w:sz w:val="20"/>
                <w:szCs w:val="20"/>
                <w:lang w:val="en-US"/>
              </w:rPr>
              <w:t xml:space="preserve">6 children who received an allogeneic bone marrow transplantation after receiving myeloablative condition </w:t>
            </w:r>
          </w:p>
        </w:tc>
        <w:tc>
          <w:tcPr>
            <w:tcW w:w="2126" w:type="dxa"/>
            <w:tcMar>
              <w:top w:w="100" w:type="dxa"/>
              <w:left w:w="100" w:type="dxa"/>
              <w:bottom w:w="100" w:type="dxa"/>
              <w:right w:w="100" w:type="dxa"/>
            </w:tcMar>
          </w:tcPr>
          <w:p w14:paraId="6EDF21DC" w14:textId="77777777" w:rsidR="00744659" w:rsidRDefault="002C38C9">
            <w:pPr>
              <w:spacing w:line="360" w:lineRule="auto"/>
              <w:rPr>
                <w:sz w:val="20"/>
                <w:szCs w:val="20"/>
              </w:rPr>
            </w:pPr>
            <w:r>
              <w:rPr>
                <w:sz w:val="20"/>
                <w:szCs w:val="20"/>
              </w:rPr>
              <w:t>- 7.5 mmol/L</w:t>
            </w:r>
          </w:p>
        </w:tc>
        <w:tc>
          <w:tcPr>
            <w:tcW w:w="2127" w:type="dxa"/>
            <w:tcMar>
              <w:top w:w="100" w:type="dxa"/>
              <w:left w:w="100" w:type="dxa"/>
              <w:bottom w:w="100" w:type="dxa"/>
              <w:right w:w="100" w:type="dxa"/>
            </w:tcMar>
          </w:tcPr>
          <w:p w14:paraId="6EDF21DD" w14:textId="77777777" w:rsidR="00744659" w:rsidRDefault="002C38C9">
            <w:pPr>
              <w:spacing w:line="360" w:lineRule="auto"/>
              <w:rPr>
                <w:sz w:val="20"/>
                <w:szCs w:val="20"/>
              </w:rPr>
            </w:pPr>
            <w:r>
              <w:rPr>
                <w:sz w:val="20"/>
                <w:szCs w:val="20"/>
              </w:rPr>
              <w:t>- 4.3 mmol/L</w:t>
            </w:r>
          </w:p>
        </w:tc>
        <w:tc>
          <w:tcPr>
            <w:tcW w:w="3118" w:type="dxa"/>
            <w:tcMar>
              <w:top w:w="100" w:type="dxa"/>
              <w:left w:w="100" w:type="dxa"/>
              <w:bottom w:w="100" w:type="dxa"/>
              <w:right w:w="100" w:type="dxa"/>
            </w:tcMar>
          </w:tcPr>
          <w:p w14:paraId="6EDF21DE" w14:textId="77777777" w:rsidR="00744659" w:rsidRDefault="002C38C9">
            <w:pPr>
              <w:spacing w:line="360" w:lineRule="auto"/>
              <w:rPr>
                <w:sz w:val="20"/>
                <w:szCs w:val="20"/>
              </w:rPr>
            </w:pPr>
            <w:r>
              <w:rPr>
                <w:sz w:val="20"/>
                <w:szCs w:val="20"/>
              </w:rPr>
              <w:t>- Transfusion-related complications*</w:t>
            </w:r>
          </w:p>
        </w:tc>
      </w:tr>
      <w:tr w:rsidR="00744659" w:rsidRPr="00C53C14" w14:paraId="6EDF21E8" w14:textId="77777777">
        <w:trPr>
          <w:trHeight w:val="360"/>
        </w:trPr>
        <w:tc>
          <w:tcPr>
            <w:tcW w:w="1559" w:type="dxa"/>
            <w:shd w:val="clear" w:color="auto" w:fill="auto"/>
            <w:tcMar>
              <w:top w:w="100" w:type="dxa"/>
              <w:left w:w="100" w:type="dxa"/>
              <w:bottom w:w="100" w:type="dxa"/>
              <w:right w:w="100" w:type="dxa"/>
            </w:tcMar>
          </w:tcPr>
          <w:p w14:paraId="6EDF21E0" w14:textId="77777777" w:rsidR="00744659" w:rsidRDefault="002C38C9">
            <w:pPr>
              <w:spacing w:line="360" w:lineRule="auto"/>
              <w:rPr>
                <w:i/>
                <w:sz w:val="20"/>
                <w:szCs w:val="20"/>
              </w:rPr>
            </w:pPr>
            <w:r>
              <w:rPr>
                <w:i/>
                <w:sz w:val="20"/>
                <w:szCs w:val="20"/>
              </w:rPr>
              <w:t>Lightdale (2012)</w:t>
            </w:r>
          </w:p>
          <w:p w14:paraId="6EDF21E1" w14:textId="77777777" w:rsidR="00744659" w:rsidRDefault="002C38C9">
            <w:pPr>
              <w:spacing w:line="360" w:lineRule="auto"/>
              <w:rPr>
                <w:i/>
                <w:sz w:val="20"/>
                <w:szCs w:val="20"/>
              </w:rPr>
            </w:pPr>
            <w:r>
              <w:rPr>
                <w:i/>
                <w:sz w:val="20"/>
                <w:szCs w:val="20"/>
              </w:rPr>
              <w:t>Pre-post study</w:t>
            </w:r>
          </w:p>
        </w:tc>
        <w:tc>
          <w:tcPr>
            <w:tcW w:w="2693" w:type="dxa"/>
            <w:tcMar>
              <w:top w:w="100" w:type="dxa"/>
              <w:left w:w="100" w:type="dxa"/>
              <w:bottom w:w="100" w:type="dxa"/>
              <w:right w:w="100" w:type="dxa"/>
            </w:tcMar>
          </w:tcPr>
          <w:p w14:paraId="6EDF21E2" w14:textId="77777777" w:rsidR="00744659" w:rsidRPr="00C53C14" w:rsidRDefault="002C38C9">
            <w:pPr>
              <w:spacing w:line="360" w:lineRule="auto"/>
              <w:rPr>
                <w:sz w:val="20"/>
                <w:szCs w:val="20"/>
                <w:lang w:val="en-US"/>
              </w:rPr>
            </w:pPr>
            <w:r w:rsidRPr="00C53C14">
              <w:rPr>
                <w:sz w:val="20"/>
                <w:szCs w:val="20"/>
                <w:lang w:val="en-US"/>
              </w:rPr>
              <w:t>141 children with different types of cancer</w:t>
            </w:r>
          </w:p>
        </w:tc>
        <w:tc>
          <w:tcPr>
            <w:tcW w:w="2126" w:type="dxa"/>
            <w:tcMar>
              <w:top w:w="100" w:type="dxa"/>
              <w:left w:w="100" w:type="dxa"/>
              <w:bottom w:w="100" w:type="dxa"/>
              <w:right w:w="100" w:type="dxa"/>
            </w:tcMar>
          </w:tcPr>
          <w:p w14:paraId="6EDF21E3" w14:textId="77777777" w:rsidR="00744659" w:rsidRDefault="002C38C9">
            <w:pPr>
              <w:widowControl w:val="0"/>
              <w:spacing w:line="360" w:lineRule="auto"/>
              <w:rPr>
                <w:sz w:val="20"/>
                <w:szCs w:val="20"/>
              </w:rPr>
            </w:pPr>
            <w:r>
              <w:rPr>
                <w:sz w:val="20"/>
                <w:szCs w:val="20"/>
              </w:rPr>
              <w:t xml:space="preserve">- 5.6 mmol/L </w:t>
            </w:r>
          </w:p>
        </w:tc>
        <w:tc>
          <w:tcPr>
            <w:tcW w:w="2127" w:type="dxa"/>
            <w:tcMar>
              <w:top w:w="100" w:type="dxa"/>
              <w:left w:w="100" w:type="dxa"/>
              <w:bottom w:w="100" w:type="dxa"/>
              <w:right w:w="100" w:type="dxa"/>
            </w:tcMar>
          </w:tcPr>
          <w:p w14:paraId="6EDF21E4" w14:textId="77777777" w:rsidR="00744659" w:rsidRDefault="002C38C9">
            <w:pPr>
              <w:widowControl w:val="0"/>
              <w:spacing w:line="360" w:lineRule="auto"/>
              <w:rPr>
                <w:sz w:val="20"/>
                <w:szCs w:val="20"/>
              </w:rPr>
            </w:pPr>
            <w:r>
              <w:rPr>
                <w:sz w:val="20"/>
                <w:szCs w:val="20"/>
              </w:rPr>
              <w:t>- 4.3 mmol/L</w:t>
            </w:r>
          </w:p>
        </w:tc>
        <w:tc>
          <w:tcPr>
            <w:tcW w:w="3118" w:type="dxa"/>
            <w:tcMar>
              <w:top w:w="100" w:type="dxa"/>
              <w:left w:w="100" w:type="dxa"/>
              <w:bottom w:w="100" w:type="dxa"/>
              <w:right w:w="100" w:type="dxa"/>
            </w:tcMar>
          </w:tcPr>
          <w:p w14:paraId="6EDF21E5" w14:textId="77777777" w:rsidR="00744659" w:rsidRPr="00C53C14" w:rsidRDefault="002C38C9">
            <w:pPr>
              <w:spacing w:line="360" w:lineRule="auto"/>
              <w:rPr>
                <w:sz w:val="20"/>
                <w:szCs w:val="20"/>
                <w:lang w:val="en-US"/>
              </w:rPr>
            </w:pPr>
            <w:r w:rsidRPr="00C53C14">
              <w:rPr>
                <w:sz w:val="20"/>
                <w:szCs w:val="20"/>
                <w:lang w:val="en-US"/>
              </w:rPr>
              <w:t>- Mortality</w:t>
            </w:r>
          </w:p>
          <w:p w14:paraId="6EDF21E6" w14:textId="77777777" w:rsidR="00744659" w:rsidRPr="00C53C14" w:rsidRDefault="002C38C9">
            <w:pPr>
              <w:spacing w:line="360" w:lineRule="auto"/>
              <w:rPr>
                <w:sz w:val="20"/>
                <w:szCs w:val="20"/>
                <w:lang w:val="en-US"/>
              </w:rPr>
            </w:pPr>
            <w:r w:rsidRPr="00C53C14">
              <w:rPr>
                <w:sz w:val="20"/>
                <w:szCs w:val="20"/>
                <w:lang w:val="en-US"/>
              </w:rPr>
              <w:t>- Admission to hospital</w:t>
            </w:r>
          </w:p>
          <w:p w14:paraId="6EDF21E7" w14:textId="77777777" w:rsidR="00744659" w:rsidRPr="00C53C14" w:rsidRDefault="002C38C9">
            <w:pPr>
              <w:spacing w:line="360" w:lineRule="auto"/>
              <w:rPr>
                <w:sz w:val="20"/>
                <w:szCs w:val="20"/>
                <w:lang w:val="en-US"/>
              </w:rPr>
            </w:pPr>
            <w:r w:rsidRPr="00C53C14">
              <w:rPr>
                <w:sz w:val="20"/>
                <w:szCs w:val="20"/>
                <w:lang w:val="en-US"/>
              </w:rPr>
              <w:t>- Costs</w:t>
            </w:r>
          </w:p>
        </w:tc>
      </w:tr>
      <w:tr w:rsidR="00744659" w:rsidRPr="00C53C14" w14:paraId="6EDF21F0" w14:textId="77777777">
        <w:trPr>
          <w:trHeight w:val="602"/>
        </w:trPr>
        <w:tc>
          <w:tcPr>
            <w:tcW w:w="1559" w:type="dxa"/>
            <w:tcMar>
              <w:top w:w="100" w:type="dxa"/>
              <w:left w:w="100" w:type="dxa"/>
              <w:bottom w:w="100" w:type="dxa"/>
              <w:right w:w="100" w:type="dxa"/>
            </w:tcMar>
          </w:tcPr>
          <w:p w14:paraId="6EDF21E9" w14:textId="77777777" w:rsidR="00744659" w:rsidRDefault="002C38C9">
            <w:pPr>
              <w:spacing w:line="360" w:lineRule="auto"/>
              <w:rPr>
                <w:i/>
                <w:sz w:val="20"/>
                <w:szCs w:val="20"/>
              </w:rPr>
            </w:pPr>
            <w:r>
              <w:rPr>
                <w:i/>
                <w:sz w:val="20"/>
                <w:szCs w:val="20"/>
              </w:rPr>
              <w:t>Toogood (1978)</w:t>
            </w:r>
          </w:p>
          <w:p w14:paraId="6EDF21EA"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1EB" w14:textId="77777777" w:rsidR="00744659" w:rsidRPr="00C53C14" w:rsidRDefault="002C38C9">
            <w:pPr>
              <w:widowControl w:val="0"/>
              <w:spacing w:line="360" w:lineRule="auto"/>
              <w:rPr>
                <w:sz w:val="20"/>
                <w:szCs w:val="20"/>
                <w:lang w:val="en-US"/>
              </w:rPr>
            </w:pPr>
            <w:r w:rsidRPr="00C53C14">
              <w:rPr>
                <w:sz w:val="20"/>
                <w:szCs w:val="20"/>
                <w:lang w:val="en-US"/>
              </w:rPr>
              <w:t>26 children with acute lymphocytic leukemia</w:t>
            </w:r>
          </w:p>
        </w:tc>
        <w:tc>
          <w:tcPr>
            <w:tcW w:w="2126" w:type="dxa"/>
            <w:tcMar>
              <w:top w:w="100" w:type="dxa"/>
              <w:left w:w="100" w:type="dxa"/>
              <w:bottom w:w="100" w:type="dxa"/>
              <w:right w:w="100" w:type="dxa"/>
            </w:tcMar>
          </w:tcPr>
          <w:p w14:paraId="6EDF21EC" w14:textId="77777777" w:rsidR="00744659" w:rsidRDefault="002C38C9">
            <w:pPr>
              <w:widowControl w:val="0"/>
              <w:spacing w:line="360" w:lineRule="auto"/>
              <w:rPr>
                <w:sz w:val="20"/>
                <w:szCs w:val="20"/>
              </w:rPr>
            </w:pPr>
            <w:r>
              <w:rPr>
                <w:sz w:val="20"/>
                <w:szCs w:val="20"/>
              </w:rPr>
              <w:t>- Between 9.9 and 11.2 mmol/L</w:t>
            </w:r>
          </w:p>
        </w:tc>
        <w:tc>
          <w:tcPr>
            <w:tcW w:w="2127" w:type="dxa"/>
            <w:tcMar>
              <w:top w:w="100" w:type="dxa"/>
              <w:left w:w="100" w:type="dxa"/>
              <w:bottom w:w="100" w:type="dxa"/>
              <w:right w:w="100" w:type="dxa"/>
            </w:tcMar>
          </w:tcPr>
          <w:p w14:paraId="6EDF21ED" w14:textId="77777777" w:rsidR="00744659" w:rsidRDefault="002C38C9">
            <w:pPr>
              <w:widowControl w:val="0"/>
              <w:spacing w:line="360" w:lineRule="auto"/>
              <w:rPr>
                <w:sz w:val="20"/>
                <w:szCs w:val="20"/>
              </w:rPr>
            </w:pPr>
            <w:r>
              <w:rPr>
                <w:sz w:val="20"/>
                <w:szCs w:val="20"/>
              </w:rPr>
              <w:t>- Between 6.2 and 7.5 mmol/L</w:t>
            </w:r>
          </w:p>
        </w:tc>
        <w:tc>
          <w:tcPr>
            <w:tcW w:w="3118" w:type="dxa"/>
            <w:tcMar>
              <w:top w:w="100" w:type="dxa"/>
              <w:left w:w="100" w:type="dxa"/>
              <w:bottom w:w="100" w:type="dxa"/>
              <w:right w:w="100" w:type="dxa"/>
            </w:tcMar>
          </w:tcPr>
          <w:p w14:paraId="6EDF21EE" w14:textId="77777777" w:rsidR="00744659" w:rsidRPr="00C53C14" w:rsidRDefault="002C38C9">
            <w:pPr>
              <w:spacing w:line="360" w:lineRule="auto"/>
              <w:rPr>
                <w:sz w:val="20"/>
                <w:szCs w:val="20"/>
                <w:lang w:val="en-US"/>
              </w:rPr>
            </w:pPr>
            <w:r w:rsidRPr="00C53C14">
              <w:rPr>
                <w:sz w:val="20"/>
                <w:szCs w:val="20"/>
                <w:lang w:val="en-US"/>
              </w:rPr>
              <w:t>- Anti-cancer treatment-related complications</w:t>
            </w:r>
          </w:p>
          <w:p w14:paraId="6EDF21EF" w14:textId="77777777" w:rsidR="00744659" w:rsidRPr="00C53C14" w:rsidRDefault="002C38C9">
            <w:pPr>
              <w:spacing w:line="360" w:lineRule="auto"/>
              <w:rPr>
                <w:sz w:val="20"/>
                <w:szCs w:val="20"/>
                <w:lang w:val="en-US"/>
              </w:rPr>
            </w:pPr>
            <w:r w:rsidRPr="00C53C14">
              <w:rPr>
                <w:sz w:val="20"/>
                <w:szCs w:val="20"/>
                <w:lang w:val="en-US"/>
              </w:rPr>
              <w:t>- Morbidity</w:t>
            </w:r>
          </w:p>
        </w:tc>
      </w:tr>
      <w:tr w:rsidR="00744659" w:rsidRPr="00C53C14" w14:paraId="6EDF21F8" w14:textId="77777777">
        <w:trPr>
          <w:trHeight w:val="567"/>
        </w:trPr>
        <w:tc>
          <w:tcPr>
            <w:tcW w:w="1559" w:type="dxa"/>
            <w:tcMar>
              <w:top w:w="100" w:type="dxa"/>
              <w:left w:w="100" w:type="dxa"/>
              <w:bottom w:w="100" w:type="dxa"/>
              <w:right w:w="100" w:type="dxa"/>
            </w:tcMar>
          </w:tcPr>
          <w:p w14:paraId="6EDF21F1" w14:textId="77777777" w:rsidR="00744659" w:rsidRDefault="002C38C9">
            <w:pPr>
              <w:spacing w:line="360" w:lineRule="auto"/>
              <w:rPr>
                <w:i/>
                <w:sz w:val="20"/>
                <w:szCs w:val="20"/>
              </w:rPr>
            </w:pPr>
            <w:r>
              <w:rPr>
                <w:i/>
                <w:sz w:val="20"/>
                <w:szCs w:val="20"/>
              </w:rPr>
              <w:t>Smith (1976)</w:t>
            </w:r>
          </w:p>
          <w:p w14:paraId="6EDF21F2"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1F3" w14:textId="77777777" w:rsidR="00744659" w:rsidRPr="00C53C14" w:rsidRDefault="002C38C9">
            <w:pPr>
              <w:spacing w:line="360" w:lineRule="auto"/>
              <w:rPr>
                <w:sz w:val="20"/>
                <w:szCs w:val="20"/>
                <w:lang w:val="en-US"/>
              </w:rPr>
            </w:pPr>
            <w:r w:rsidRPr="00C53C14">
              <w:rPr>
                <w:sz w:val="20"/>
                <w:szCs w:val="20"/>
                <w:lang w:val="en-US"/>
              </w:rPr>
              <w:t>27 children with different types of cancer</w:t>
            </w:r>
          </w:p>
        </w:tc>
        <w:tc>
          <w:tcPr>
            <w:tcW w:w="2126" w:type="dxa"/>
            <w:tcMar>
              <w:top w:w="100" w:type="dxa"/>
              <w:left w:w="100" w:type="dxa"/>
              <w:bottom w:w="100" w:type="dxa"/>
              <w:right w:w="100" w:type="dxa"/>
            </w:tcMar>
          </w:tcPr>
          <w:p w14:paraId="6EDF21F4" w14:textId="77777777" w:rsidR="00744659" w:rsidRDefault="002C38C9">
            <w:pPr>
              <w:widowControl w:val="0"/>
              <w:spacing w:line="360" w:lineRule="auto"/>
              <w:rPr>
                <w:sz w:val="20"/>
                <w:szCs w:val="20"/>
              </w:rPr>
            </w:pPr>
            <w:r>
              <w:rPr>
                <w:sz w:val="20"/>
                <w:szCs w:val="20"/>
              </w:rPr>
              <w:t>- Between 8.7 and 9.9 mmol/L</w:t>
            </w:r>
          </w:p>
        </w:tc>
        <w:tc>
          <w:tcPr>
            <w:tcW w:w="2127" w:type="dxa"/>
            <w:tcMar>
              <w:top w:w="100" w:type="dxa"/>
              <w:left w:w="100" w:type="dxa"/>
              <w:bottom w:w="100" w:type="dxa"/>
              <w:right w:w="100" w:type="dxa"/>
            </w:tcMar>
          </w:tcPr>
          <w:p w14:paraId="6EDF21F5" w14:textId="77777777" w:rsidR="00744659" w:rsidRDefault="002C38C9">
            <w:pPr>
              <w:widowControl w:val="0"/>
              <w:spacing w:line="360" w:lineRule="auto"/>
              <w:rPr>
                <w:sz w:val="20"/>
                <w:szCs w:val="20"/>
              </w:rPr>
            </w:pPr>
            <w:r>
              <w:rPr>
                <w:sz w:val="20"/>
                <w:szCs w:val="20"/>
              </w:rPr>
              <w:t>- Between 6.2 and 7.5 mmol/L</w:t>
            </w:r>
          </w:p>
        </w:tc>
        <w:tc>
          <w:tcPr>
            <w:tcW w:w="3118" w:type="dxa"/>
            <w:tcMar>
              <w:top w:w="100" w:type="dxa"/>
              <w:left w:w="100" w:type="dxa"/>
              <w:bottom w:w="100" w:type="dxa"/>
              <w:right w:w="100" w:type="dxa"/>
            </w:tcMar>
          </w:tcPr>
          <w:p w14:paraId="6EDF21F6" w14:textId="77777777" w:rsidR="00744659" w:rsidRPr="00C53C14" w:rsidRDefault="002C38C9">
            <w:pPr>
              <w:spacing w:line="360" w:lineRule="auto"/>
              <w:rPr>
                <w:sz w:val="20"/>
                <w:szCs w:val="20"/>
                <w:lang w:val="en-US"/>
              </w:rPr>
            </w:pPr>
            <w:r w:rsidRPr="00C53C14">
              <w:rPr>
                <w:sz w:val="20"/>
                <w:szCs w:val="20"/>
                <w:lang w:val="en-US"/>
              </w:rPr>
              <w:t>- Anti-cancer treatment-related complications</w:t>
            </w:r>
          </w:p>
          <w:p w14:paraId="6EDF21F7" w14:textId="77777777" w:rsidR="00744659" w:rsidRPr="00C53C14" w:rsidRDefault="002C38C9">
            <w:pPr>
              <w:spacing w:line="360" w:lineRule="auto"/>
              <w:rPr>
                <w:sz w:val="20"/>
                <w:szCs w:val="20"/>
                <w:lang w:val="en-US"/>
              </w:rPr>
            </w:pPr>
            <w:r w:rsidRPr="00C53C14">
              <w:rPr>
                <w:sz w:val="20"/>
                <w:szCs w:val="20"/>
                <w:lang w:val="en-US"/>
              </w:rPr>
              <w:t>- Morbidity</w:t>
            </w:r>
          </w:p>
        </w:tc>
      </w:tr>
    </w:tbl>
    <w:p w14:paraId="6EDF21F9"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This study was stopped for safety concerns when all patients in the experimental arm were diagnosed with veno-occlusive disease. The incidence of veno-occlusive disease was not statistically higher in the experimental arm,</w:t>
      </w:r>
      <w:r w:rsidRPr="00C53C14">
        <w:rPr>
          <w:rFonts w:ascii="Calibri" w:eastAsia="Calibri" w:hAnsi="Calibri" w:cs="Calibri"/>
          <w:i/>
          <w:sz w:val="20"/>
          <w:szCs w:val="20"/>
          <w:lang w:val="en-US"/>
        </w:rPr>
        <w:t xml:space="preserve"> p</w:t>
      </w:r>
      <w:r w:rsidRPr="00C53C14">
        <w:rPr>
          <w:rFonts w:ascii="Calibri" w:eastAsia="Calibri" w:hAnsi="Calibri" w:cs="Calibri"/>
          <w:sz w:val="20"/>
          <w:szCs w:val="20"/>
          <w:lang w:val="en-US"/>
        </w:rPr>
        <w:t>=.05.</w:t>
      </w:r>
    </w:p>
    <w:p w14:paraId="6EDF21FA" w14:textId="77777777" w:rsidR="00744659" w:rsidRPr="00C53C14" w:rsidRDefault="00744659">
      <w:pPr>
        <w:spacing w:line="360" w:lineRule="auto"/>
        <w:rPr>
          <w:rFonts w:ascii="Calibri" w:eastAsia="Calibri" w:hAnsi="Calibri" w:cs="Calibri"/>
          <w:sz w:val="20"/>
          <w:szCs w:val="20"/>
          <w:u w:val="single"/>
          <w:lang w:val="en-US"/>
        </w:rPr>
      </w:pPr>
    </w:p>
    <w:p w14:paraId="6EDF21FB"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A2.2: Children in general</w:t>
      </w:r>
    </w:p>
    <w:p w14:paraId="6EDF21FC" w14:textId="3BBAEE2F"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Five additional pediatric studies were included (9, 1</w:t>
      </w:r>
      <w:r w:rsidR="00F2783A">
        <w:rPr>
          <w:rFonts w:ascii="Calibri" w:eastAsia="Calibri" w:hAnsi="Calibri" w:cs="Calibri"/>
          <w:sz w:val="20"/>
          <w:szCs w:val="20"/>
          <w:lang w:val="en-US"/>
        </w:rPr>
        <w:t>4</w:t>
      </w:r>
      <w:r w:rsidRPr="00C53C14">
        <w:rPr>
          <w:rFonts w:ascii="Calibri" w:eastAsia="Calibri" w:hAnsi="Calibri" w:cs="Calibri"/>
          <w:sz w:val="20"/>
          <w:szCs w:val="20"/>
          <w:lang w:val="en-US"/>
        </w:rPr>
        <w:t>, 4</w:t>
      </w:r>
      <w:r w:rsidR="00675680">
        <w:rPr>
          <w:rFonts w:ascii="Calibri" w:eastAsia="Calibri" w:hAnsi="Calibri" w:cs="Calibri"/>
          <w:sz w:val="20"/>
          <w:szCs w:val="20"/>
          <w:lang w:val="en-US"/>
        </w:rPr>
        <w:t>7-49</w:t>
      </w:r>
      <w:r w:rsidRPr="00C53C14">
        <w:rPr>
          <w:rFonts w:ascii="Calibri" w:eastAsia="Calibri" w:hAnsi="Calibri" w:cs="Calibri"/>
          <w:sz w:val="20"/>
          <w:szCs w:val="20"/>
          <w:lang w:val="en-US"/>
        </w:rPr>
        <w:t>).</w:t>
      </w:r>
    </w:p>
    <w:p w14:paraId="6EDF21FD" w14:textId="77777777" w:rsidR="00744659" w:rsidRPr="00C53C14" w:rsidRDefault="00744659">
      <w:pPr>
        <w:spacing w:line="360" w:lineRule="auto"/>
        <w:rPr>
          <w:rFonts w:ascii="Calibri" w:eastAsia="Calibri" w:hAnsi="Calibri" w:cs="Calibri"/>
          <w:sz w:val="20"/>
          <w:szCs w:val="20"/>
          <w:lang w:val="en-US"/>
        </w:rPr>
      </w:pPr>
    </w:p>
    <w:p w14:paraId="6EDF21FE"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 characteristics of the included studies are stated in the evidence table below. The studies differ from each other in patient population and in methodology. </w:t>
      </w:r>
    </w:p>
    <w:p w14:paraId="6EDF21FF" w14:textId="77777777" w:rsidR="00744659" w:rsidRPr="00C53C14" w:rsidRDefault="00744659">
      <w:pPr>
        <w:spacing w:line="360" w:lineRule="auto"/>
        <w:rPr>
          <w:rFonts w:ascii="Calibri" w:eastAsia="Calibri" w:hAnsi="Calibri" w:cs="Calibri"/>
          <w:sz w:val="20"/>
          <w:szCs w:val="20"/>
          <w:lang w:val="en-US"/>
        </w:rPr>
      </w:pPr>
    </w:p>
    <w:p w14:paraId="6EDF220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lastRenderedPageBreak/>
        <w:t>Table 2.</w:t>
      </w:r>
      <w:r w:rsidRPr="00C53C14">
        <w:rPr>
          <w:rFonts w:ascii="Calibri" w:eastAsia="Calibri" w:hAnsi="Calibri" w:cs="Calibri"/>
          <w:sz w:val="20"/>
          <w:szCs w:val="20"/>
          <w:lang w:val="en-US"/>
        </w:rPr>
        <w:t xml:space="preserve"> Characteristics of the included studies regarding children.</w:t>
      </w:r>
    </w:p>
    <w:tbl>
      <w:tblPr>
        <w:tblStyle w:val="a0"/>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693"/>
        <w:gridCol w:w="2126"/>
        <w:gridCol w:w="2127"/>
        <w:gridCol w:w="3118"/>
      </w:tblGrid>
      <w:tr w:rsidR="00744659" w14:paraId="6EDF2202" w14:textId="77777777">
        <w:trPr>
          <w:trHeight w:val="71"/>
        </w:trPr>
        <w:tc>
          <w:tcPr>
            <w:tcW w:w="11623" w:type="dxa"/>
            <w:gridSpan w:val="5"/>
            <w:shd w:val="clear" w:color="auto" w:fill="000000"/>
            <w:tcMar>
              <w:top w:w="100" w:type="dxa"/>
              <w:left w:w="100" w:type="dxa"/>
              <w:bottom w:w="100" w:type="dxa"/>
              <w:right w:w="100" w:type="dxa"/>
            </w:tcMar>
          </w:tcPr>
          <w:p w14:paraId="6EDF2201" w14:textId="77777777" w:rsidR="00744659" w:rsidRDefault="002C38C9">
            <w:pPr>
              <w:spacing w:line="360" w:lineRule="auto"/>
              <w:rPr>
                <w:b/>
                <w:color w:val="FFFFFF"/>
                <w:sz w:val="20"/>
                <w:szCs w:val="20"/>
              </w:rPr>
            </w:pPr>
            <w:r>
              <w:rPr>
                <w:b/>
                <w:color w:val="FFFFFF"/>
                <w:sz w:val="20"/>
                <w:szCs w:val="20"/>
              </w:rPr>
              <w:t>Included studies</w:t>
            </w:r>
          </w:p>
        </w:tc>
      </w:tr>
      <w:tr w:rsidR="00744659" w14:paraId="6EDF2208" w14:textId="77777777">
        <w:trPr>
          <w:trHeight w:val="179"/>
        </w:trPr>
        <w:tc>
          <w:tcPr>
            <w:tcW w:w="1559" w:type="dxa"/>
            <w:shd w:val="clear" w:color="auto" w:fill="D9D9D9"/>
            <w:tcMar>
              <w:top w:w="100" w:type="dxa"/>
              <w:left w:w="100" w:type="dxa"/>
              <w:bottom w:w="100" w:type="dxa"/>
              <w:right w:w="100" w:type="dxa"/>
            </w:tcMar>
          </w:tcPr>
          <w:p w14:paraId="6EDF2203" w14:textId="77777777" w:rsidR="00744659" w:rsidRDefault="002C38C9">
            <w:pPr>
              <w:spacing w:line="360" w:lineRule="auto"/>
              <w:rPr>
                <w:b/>
                <w:sz w:val="20"/>
                <w:szCs w:val="20"/>
              </w:rPr>
            </w:pPr>
            <w:r>
              <w:rPr>
                <w:b/>
                <w:sz w:val="20"/>
                <w:szCs w:val="20"/>
              </w:rPr>
              <w:t>Study</w:t>
            </w:r>
          </w:p>
        </w:tc>
        <w:tc>
          <w:tcPr>
            <w:tcW w:w="2693" w:type="dxa"/>
            <w:shd w:val="clear" w:color="auto" w:fill="D9D9D9"/>
            <w:tcMar>
              <w:top w:w="100" w:type="dxa"/>
              <w:left w:w="100" w:type="dxa"/>
              <w:bottom w:w="100" w:type="dxa"/>
              <w:right w:w="100" w:type="dxa"/>
            </w:tcMar>
          </w:tcPr>
          <w:p w14:paraId="6EDF2204" w14:textId="77777777" w:rsidR="00744659" w:rsidRDefault="002C38C9">
            <w:pPr>
              <w:spacing w:line="360" w:lineRule="auto"/>
              <w:rPr>
                <w:b/>
                <w:sz w:val="20"/>
                <w:szCs w:val="20"/>
              </w:rPr>
            </w:pPr>
            <w:r>
              <w:rPr>
                <w:b/>
                <w:sz w:val="20"/>
                <w:szCs w:val="20"/>
              </w:rPr>
              <w:t>Population</w:t>
            </w:r>
          </w:p>
        </w:tc>
        <w:tc>
          <w:tcPr>
            <w:tcW w:w="2126" w:type="dxa"/>
            <w:shd w:val="clear" w:color="auto" w:fill="D9D9D9"/>
            <w:tcMar>
              <w:top w:w="100" w:type="dxa"/>
              <w:left w:w="100" w:type="dxa"/>
              <w:bottom w:w="100" w:type="dxa"/>
              <w:right w:w="100" w:type="dxa"/>
            </w:tcMar>
          </w:tcPr>
          <w:p w14:paraId="6EDF2205" w14:textId="77777777" w:rsidR="00744659" w:rsidRDefault="002C38C9">
            <w:pPr>
              <w:spacing w:line="360" w:lineRule="auto"/>
              <w:rPr>
                <w:b/>
                <w:sz w:val="20"/>
                <w:szCs w:val="20"/>
              </w:rPr>
            </w:pPr>
            <w:r>
              <w:rPr>
                <w:b/>
                <w:sz w:val="20"/>
                <w:szCs w:val="20"/>
              </w:rPr>
              <w:t>Liberal threshold</w:t>
            </w:r>
          </w:p>
        </w:tc>
        <w:tc>
          <w:tcPr>
            <w:tcW w:w="2127" w:type="dxa"/>
            <w:shd w:val="clear" w:color="auto" w:fill="D9D9D9"/>
            <w:tcMar>
              <w:top w:w="100" w:type="dxa"/>
              <w:left w:w="100" w:type="dxa"/>
              <w:bottom w:w="100" w:type="dxa"/>
              <w:right w:w="100" w:type="dxa"/>
            </w:tcMar>
          </w:tcPr>
          <w:p w14:paraId="6EDF2206" w14:textId="77777777" w:rsidR="00744659" w:rsidRDefault="002C38C9">
            <w:pPr>
              <w:spacing w:line="360" w:lineRule="auto"/>
              <w:rPr>
                <w:b/>
                <w:sz w:val="20"/>
                <w:szCs w:val="20"/>
              </w:rPr>
            </w:pPr>
            <w:r>
              <w:rPr>
                <w:b/>
                <w:sz w:val="20"/>
                <w:szCs w:val="20"/>
              </w:rPr>
              <w:t>Restrictive threshold</w:t>
            </w:r>
          </w:p>
        </w:tc>
        <w:tc>
          <w:tcPr>
            <w:tcW w:w="3118" w:type="dxa"/>
            <w:shd w:val="clear" w:color="auto" w:fill="D9D9D9"/>
            <w:tcMar>
              <w:top w:w="100" w:type="dxa"/>
              <w:left w:w="100" w:type="dxa"/>
              <w:bottom w:w="100" w:type="dxa"/>
              <w:right w:w="100" w:type="dxa"/>
            </w:tcMar>
          </w:tcPr>
          <w:p w14:paraId="6EDF2207" w14:textId="77777777" w:rsidR="00744659" w:rsidRDefault="002C38C9">
            <w:pPr>
              <w:spacing w:line="360" w:lineRule="auto"/>
              <w:rPr>
                <w:b/>
                <w:sz w:val="20"/>
                <w:szCs w:val="20"/>
              </w:rPr>
            </w:pPr>
            <w:r>
              <w:rPr>
                <w:b/>
                <w:sz w:val="20"/>
                <w:szCs w:val="20"/>
              </w:rPr>
              <w:t xml:space="preserve">Outcomes </w:t>
            </w:r>
          </w:p>
        </w:tc>
      </w:tr>
      <w:tr w:rsidR="00744659" w:rsidRPr="00C53C14" w14:paraId="6EDF2212" w14:textId="77777777">
        <w:trPr>
          <w:trHeight w:val="934"/>
        </w:trPr>
        <w:tc>
          <w:tcPr>
            <w:tcW w:w="1559" w:type="dxa"/>
            <w:tcMar>
              <w:top w:w="100" w:type="dxa"/>
              <w:left w:w="100" w:type="dxa"/>
              <w:bottom w:w="100" w:type="dxa"/>
              <w:right w:w="100" w:type="dxa"/>
            </w:tcMar>
          </w:tcPr>
          <w:p w14:paraId="6EDF2209" w14:textId="77777777" w:rsidR="00744659" w:rsidRPr="00C53C14" w:rsidRDefault="002C38C9">
            <w:pPr>
              <w:spacing w:line="360" w:lineRule="auto"/>
              <w:rPr>
                <w:i/>
                <w:sz w:val="20"/>
                <w:szCs w:val="20"/>
                <w:lang w:val="en-US"/>
              </w:rPr>
            </w:pPr>
            <w:r w:rsidRPr="00C53C14">
              <w:rPr>
                <w:i/>
                <w:sz w:val="20"/>
                <w:szCs w:val="20"/>
                <w:lang w:val="en-US"/>
              </w:rPr>
              <w:t>English (2002)</w:t>
            </w:r>
          </w:p>
          <w:p w14:paraId="6EDF220A" w14:textId="77777777" w:rsidR="00744659" w:rsidRPr="00C53C14" w:rsidRDefault="002C38C9">
            <w:pPr>
              <w:spacing w:line="360" w:lineRule="auto"/>
              <w:rPr>
                <w:i/>
                <w:sz w:val="20"/>
                <w:szCs w:val="20"/>
                <w:lang w:val="en-US"/>
              </w:rPr>
            </w:pPr>
            <w:r w:rsidRPr="00C53C14">
              <w:rPr>
                <w:i/>
                <w:sz w:val="20"/>
                <w:szCs w:val="20"/>
                <w:lang w:val="en-US"/>
              </w:rPr>
              <w:t>Retrospective and prospective cohort study</w:t>
            </w:r>
          </w:p>
        </w:tc>
        <w:tc>
          <w:tcPr>
            <w:tcW w:w="2693" w:type="dxa"/>
            <w:tcMar>
              <w:top w:w="100" w:type="dxa"/>
              <w:left w:w="100" w:type="dxa"/>
              <w:bottom w:w="100" w:type="dxa"/>
              <w:right w:w="100" w:type="dxa"/>
            </w:tcMar>
          </w:tcPr>
          <w:p w14:paraId="6EDF220B" w14:textId="77777777" w:rsidR="00744659" w:rsidRPr="00C53C14" w:rsidRDefault="002C38C9">
            <w:pPr>
              <w:spacing w:line="360" w:lineRule="auto"/>
              <w:rPr>
                <w:sz w:val="20"/>
                <w:szCs w:val="20"/>
                <w:lang w:val="en-US"/>
              </w:rPr>
            </w:pPr>
            <w:r w:rsidRPr="00C53C14">
              <w:rPr>
                <w:sz w:val="20"/>
                <w:szCs w:val="20"/>
                <w:lang w:val="en-US"/>
              </w:rPr>
              <w:t>1516 severely anemic children divided into 1185 children who had malaria and 331 children with other diagnoses in Kenya</w:t>
            </w:r>
          </w:p>
        </w:tc>
        <w:tc>
          <w:tcPr>
            <w:tcW w:w="2126" w:type="dxa"/>
            <w:tcMar>
              <w:top w:w="100" w:type="dxa"/>
              <w:left w:w="100" w:type="dxa"/>
              <w:bottom w:w="100" w:type="dxa"/>
              <w:right w:w="100" w:type="dxa"/>
            </w:tcMar>
          </w:tcPr>
          <w:p w14:paraId="6EDF220C" w14:textId="77777777" w:rsidR="00744659" w:rsidRDefault="002C38C9">
            <w:pPr>
              <w:spacing w:line="360" w:lineRule="auto"/>
              <w:rPr>
                <w:sz w:val="20"/>
                <w:szCs w:val="20"/>
              </w:rPr>
            </w:pPr>
            <w:r>
              <w:rPr>
                <w:sz w:val="20"/>
                <w:szCs w:val="20"/>
              </w:rPr>
              <w:t>- 3.1 mmol/L</w:t>
            </w:r>
          </w:p>
        </w:tc>
        <w:tc>
          <w:tcPr>
            <w:tcW w:w="2127" w:type="dxa"/>
            <w:tcMar>
              <w:top w:w="100" w:type="dxa"/>
              <w:left w:w="100" w:type="dxa"/>
              <w:bottom w:w="100" w:type="dxa"/>
              <w:right w:w="100" w:type="dxa"/>
            </w:tcMar>
          </w:tcPr>
          <w:p w14:paraId="6EDF220D" w14:textId="77777777" w:rsidR="00744659" w:rsidRPr="00C53C14" w:rsidRDefault="002C38C9">
            <w:pPr>
              <w:spacing w:line="360" w:lineRule="auto"/>
              <w:rPr>
                <w:sz w:val="20"/>
                <w:szCs w:val="20"/>
                <w:lang w:val="en-US"/>
              </w:rPr>
            </w:pPr>
            <w:r w:rsidRPr="00C53C14">
              <w:rPr>
                <w:sz w:val="20"/>
                <w:szCs w:val="20"/>
                <w:lang w:val="en-US"/>
              </w:rPr>
              <w:t>- 2.5 mmol/L</w:t>
            </w:r>
          </w:p>
          <w:p w14:paraId="6EDF220E" w14:textId="77777777" w:rsidR="00744659" w:rsidRPr="00C53C14" w:rsidRDefault="002C38C9">
            <w:pPr>
              <w:spacing w:line="360" w:lineRule="auto"/>
              <w:rPr>
                <w:sz w:val="20"/>
                <w:szCs w:val="20"/>
                <w:lang w:val="en-US"/>
              </w:rPr>
            </w:pPr>
            <w:r w:rsidRPr="00C53C14">
              <w:rPr>
                <w:sz w:val="20"/>
                <w:szCs w:val="20"/>
                <w:lang w:val="en-US"/>
              </w:rPr>
              <w:t>- 3.1 mmol/L with respiratory distress</w:t>
            </w:r>
          </w:p>
        </w:tc>
        <w:tc>
          <w:tcPr>
            <w:tcW w:w="3118" w:type="dxa"/>
            <w:tcMar>
              <w:top w:w="100" w:type="dxa"/>
              <w:left w:w="100" w:type="dxa"/>
              <w:bottom w:w="100" w:type="dxa"/>
              <w:right w:w="100" w:type="dxa"/>
            </w:tcMar>
          </w:tcPr>
          <w:p w14:paraId="6EDF220F" w14:textId="77777777" w:rsidR="00744659" w:rsidRPr="00C53C14" w:rsidRDefault="002C38C9">
            <w:pPr>
              <w:spacing w:line="360" w:lineRule="auto"/>
              <w:rPr>
                <w:sz w:val="20"/>
                <w:szCs w:val="20"/>
                <w:lang w:val="en-US"/>
              </w:rPr>
            </w:pPr>
            <w:r w:rsidRPr="00C53C14">
              <w:rPr>
                <w:sz w:val="20"/>
                <w:szCs w:val="20"/>
                <w:lang w:val="en-US"/>
              </w:rPr>
              <w:t>- Mortality</w:t>
            </w:r>
          </w:p>
          <w:p w14:paraId="6EDF2210" w14:textId="77777777" w:rsidR="00744659" w:rsidRPr="00C53C14" w:rsidRDefault="002C38C9">
            <w:pPr>
              <w:spacing w:line="360" w:lineRule="auto"/>
              <w:rPr>
                <w:sz w:val="20"/>
                <w:szCs w:val="20"/>
                <w:lang w:val="en-US"/>
              </w:rPr>
            </w:pPr>
            <w:r w:rsidRPr="00C53C14">
              <w:rPr>
                <w:sz w:val="20"/>
                <w:szCs w:val="20"/>
                <w:lang w:val="en-US"/>
              </w:rPr>
              <w:t>- Morbidity</w:t>
            </w:r>
          </w:p>
          <w:p w14:paraId="6EDF2211" w14:textId="77777777" w:rsidR="00744659" w:rsidRPr="00C53C14" w:rsidRDefault="002C38C9">
            <w:pPr>
              <w:spacing w:line="360" w:lineRule="auto"/>
              <w:rPr>
                <w:sz w:val="20"/>
                <w:szCs w:val="20"/>
                <w:lang w:val="en-US"/>
              </w:rPr>
            </w:pPr>
            <w:r w:rsidRPr="00C53C14">
              <w:rPr>
                <w:sz w:val="20"/>
                <w:szCs w:val="20"/>
                <w:lang w:val="en-US"/>
              </w:rPr>
              <w:t>- Admission to hospital</w:t>
            </w:r>
          </w:p>
        </w:tc>
      </w:tr>
      <w:tr w:rsidR="00744659" w14:paraId="6EDF221A" w14:textId="77777777">
        <w:trPr>
          <w:trHeight w:val="360"/>
        </w:trPr>
        <w:tc>
          <w:tcPr>
            <w:tcW w:w="1559" w:type="dxa"/>
            <w:shd w:val="clear" w:color="auto" w:fill="auto"/>
            <w:tcMar>
              <w:top w:w="100" w:type="dxa"/>
              <w:left w:w="100" w:type="dxa"/>
              <w:bottom w:w="100" w:type="dxa"/>
              <w:right w:w="100" w:type="dxa"/>
            </w:tcMar>
          </w:tcPr>
          <w:p w14:paraId="6EDF2213" w14:textId="77777777" w:rsidR="00744659" w:rsidRDefault="002C38C9">
            <w:pPr>
              <w:spacing w:line="360" w:lineRule="auto"/>
              <w:rPr>
                <w:i/>
                <w:sz w:val="20"/>
                <w:szCs w:val="20"/>
              </w:rPr>
            </w:pPr>
            <w:r>
              <w:rPr>
                <w:i/>
                <w:sz w:val="20"/>
                <w:szCs w:val="20"/>
              </w:rPr>
              <w:t>Akech (2008)</w:t>
            </w:r>
          </w:p>
          <w:p w14:paraId="6EDF2214" w14:textId="77777777" w:rsidR="00744659" w:rsidRDefault="002C38C9">
            <w:pPr>
              <w:spacing w:line="360" w:lineRule="auto"/>
              <w:rPr>
                <w:i/>
                <w:sz w:val="20"/>
                <w:szCs w:val="20"/>
              </w:rPr>
            </w:pPr>
            <w:r>
              <w:rPr>
                <w:i/>
                <w:sz w:val="20"/>
                <w:szCs w:val="20"/>
              </w:rPr>
              <w:t>Prospective observational study</w:t>
            </w:r>
          </w:p>
        </w:tc>
        <w:tc>
          <w:tcPr>
            <w:tcW w:w="2693" w:type="dxa"/>
            <w:tcMar>
              <w:top w:w="100" w:type="dxa"/>
              <w:left w:w="100" w:type="dxa"/>
              <w:bottom w:w="100" w:type="dxa"/>
              <w:right w:w="100" w:type="dxa"/>
            </w:tcMar>
          </w:tcPr>
          <w:p w14:paraId="6EDF2215" w14:textId="77777777" w:rsidR="00744659" w:rsidRDefault="002C38C9">
            <w:pPr>
              <w:spacing w:line="360" w:lineRule="auto"/>
              <w:rPr>
                <w:sz w:val="20"/>
                <w:szCs w:val="20"/>
              </w:rPr>
            </w:pPr>
            <w:r>
              <w:rPr>
                <w:sz w:val="20"/>
                <w:szCs w:val="20"/>
              </w:rPr>
              <w:t>213 children who survived malaria</w:t>
            </w:r>
          </w:p>
        </w:tc>
        <w:tc>
          <w:tcPr>
            <w:tcW w:w="2126" w:type="dxa"/>
            <w:tcMar>
              <w:top w:w="100" w:type="dxa"/>
              <w:left w:w="100" w:type="dxa"/>
              <w:bottom w:w="100" w:type="dxa"/>
              <w:right w:w="100" w:type="dxa"/>
            </w:tcMar>
          </w:tcPr>
          <w:p w14:paraId="6EDF2216" w14:textId="77777777" w:rsidR="00744659" w:rsidRDefault="002C38C9">
            <w:pPr>
              <w:widowControl w:val="0"/>
              <w:spacing w:line="360" w:lineRule="auto"/>
              <w:rPr>
                <w:sz w:val="20"/>
                <w:szCs w:val="20"/>
              </w:rPr>
            </w:pPr>
            <w:r>
              <w:rPr>
                <w:sz w:val="20"/>
                <w:szCs w:val="20"/>
              </w:rPr>
              <w:t>- 3.1 mmol/L</w:t>
            </w:r>
          </w:p>
        </w:tc>
        <w:tc>
          <w:tcPr>
            <w:tcW w:w="2127" w:type="dxa"/>
            <w:tcMar>
              <w:top w:w="100" w:type="dxa"/>
              <w:left w:w="100" w:type="dxa"/>
              <w:bottom w:w="100" w:type="dxa"/>
              <w:right w:w="100" w:type="dxa"/>
            </w:tcMar>
          </w:tcPr>
          <w:p w14:paraId="6EDF2217" w14:textId="77777777" w:rsidR="00744659" w:rsidRPr="00C53C14" w:rsidRDefault="002C38C9">
            <w:pPr>
              <w:spacing w:line="360" w:lineRule="auto"/>
              <w:rPr>
                <w:sz w:val="20"/>
                <w:szCs w:val="20"/>
                <w:lang w:val="en-US"/>
              </w:rPr>
            </w:pPr>
            <w:r w:rsidRPr="00C53C14">
              <w:rPr>
                <w:sz w:val="20"/>
                <w:szCs w:val="20"/>
                <w:lang w:val="en-US"/>
              </w:rPr>
              <w:t>- 2.5 mmol/L</w:t>
            </w:r>
          </w:p>
          <w:p w14:paraId="6EDF2218" w14:textId="77777777" w:rsidR="00744659" w:rsidRPr="00C53C14" w:rsidRDefault="002C38C9">
            <w:pPr>
              <w:widowControl w:val="0"/>
              <w:spacing w:line="360" w:lineRule="auto"/>
              <w:rPr>
                <w:sz w:val="20"/>
                <w:szCs w:val="20"/>
                <w:lang w:val="en-US"/>
              </w:rPr>
            </w:pPr>
            <w:r w:rsidRPr="00C53C14">
              <w:rPr>
                <w:sz w:val="20"/>
                <w:szCs w:val="20"/>
                <w:lang w:val="en-US"/>
              </w:rPr>
              <w:t>- 3.1 mmol/L with respiratory distress</w:t>
            </w:r>
          </w:p>
        </w:tc>
        <w:tc>
          <w:tcPr>
            <w:tcW w:w="3118" w:type="dxa"/>
            <w:tcMar>
              <w:top w:w="100" w:type="dxa"/>
              <w:left w:w="100" w:type="dxa"/>
              <w:bottom w:w="100" w:type="dxa"/>
              <w:right w:w="100" w:type="dxa"/>
            </w:tcMar>
          </w:tcPr>
          <w:p w14:paraId="6EDF2219" w14:textId="77777777" w:rsidR="00744659" w:rsidRDefault="002C38C9">
            <w:pPr>
              <w:spacing w:line="360" w:lineRule="auto"/>
              <w:rPr>
                <w:sz w:val="20"/>
                <w:szCs w:val="20"/>
              </w:rPr>
            </w:pPr>
            <w:r>
              <w:rPr>
                <w:sz w:val="20"/>
                <w:szCs w:val="20"/>
              </w:rPr>
              <w:t>- Mortality</w:t>
            </w:r>
          </w:p>
        </w:tc>
      </w:tr>
      <w:tr w:rsidR="00744659" w14:paraId="6EDF2221" w14:textId="77777777">
        <w:trPr>
          <w:trHeight w:val="767"/>
        </w:trPr>
        <w:tc>
          <w:tcPr>
            <w:tcW w:w="1559" w:type="dxa"/>
            <w:tcMar>
              <w:top w:w="100" w:type="dxa"/>
              <w:left w:w="100" w:type="dxa"/>
              <w:bottom w:w="100" w:type="dxa"/>
              <w:right w:w="100" w:type="dxa"/>
            </w:tcMar>
          </w:tcPr>
          <w:p w14:paraId="6EDF221B" w14:textId="77777777" w:rsidR="00744659" w:rsidRDefault="002C38C9">
            <w:pPr>
              <w:spacing w:line="360" w:lineRule="auto"/>
              <w:rPr>
                <w:i/>
                <w:sz w:val="20"/>
                <w:szCs w:val="20"/>
              </w:rPr>
            </w:pPr>
            <w:r>
              <w:rPr>
                <w:i/>
                <w:sz w:val="20"/>
                <w:szCs w:val="20"/>
              </w:rPr>
              <w:t>Lackritz (1992)</w:t>
            </w:r>
          </w:p>
          <w:p w14:paraId="6EDF221C" w14:textId="77777777" w:rsidR="00744659" w:rsidRDefault="002C38C9">
            <w:pPr>
              <w:spacing w:line="360" w:lineRule="auto"/>
              <w:rPr>
                <w:i/>
                <w:sz w:val="20"/>
                <w:szCs w:val="20"/>
              </w:rPr>
            </w:pPr>
            <w:r>
              <w:rPr>
                <w:i/>
                <w:sz w:val="20"/>
                <w:szCs w:val="20"/>
              </w:rPr>
              <w:t>Observational study</w:t>
            </w:r>
          </w:p>
        </w:tc>
        <w:tc>
          <w:tcPr>
            <w:tcW w:w="2693" w:type="dxa"/>
            <w:tcMar>
              <w:top w:w="100" w:type="dxa"/>
              <w:left w:w="100" w:type="dxa"/>
              <w:bottom w:w="100" w:type="dxa"/>
              <w:right w:w="100" w:type="dxa"/>
            </w:tcMar>
          </w:tcPr>
          <w:p w14:paraId="6EDF221D" w14:textId="77777777" w:rsidR="00744659" w:rsidRPr="00C53C14" w:rsidRDefault="002C38C9">
            <w:pPr>
              <w:widowControl w:val="0"/>
              <w:spacing w:line="360" w:lineRule="auto"/>
              <w:rPr>
                <w:sz w:val="20"/>
                <w:szCs w:val="20"/>
                <w:lang w:val="en-US"/>
              </w:rPr>
            </w:pPr>
            <w:r w:rsidRPr="00C53C14">
              <w:rPr>
                <w:sz w:val="20"/>
                <w:szCs w:val="20"/>
                <w:lang w:val="en-US"/>
              </w:rPr>
              <w:t>683 children with severe anemia (Hb of 3.1 mmol/L)</w:t>
            </w:r>
          </w:p>
        </w:tc>
        <w:tc>
          <w:tcPr>
            <w:tcW w:w="2126" w:type="dxa"/>
            <w:tcMar>
              <w:top w:w="100" w:type="dxa"/>
              <w:left w:w="100" w:type="dxa"/>
              <w:bottom w:w="100" w:type="dxa"/>
              <w:right w:w="100" w:type="dxa"/>
            </w:tcMar>
          </w:tcPr>
          <w:p w14:paraId="6EDF221E" w14:textId="77777777" w:rsidR="00744659" w:rsidRPr="00C53C14" w:rsidRDefault="002C38C9">
            <w:pPr>
              <w:widowControl w:val="0"/>
              <w:spacing w:line="360" w:lineRule="auto"/>
              <w:rPr>
                <w:sz w:val="20"/>
                <w:szCs w:val="20"/>
                <w:lang w:val="en-US"/>
              </w:rPr>
            </w:pPr>
            <w:r w:rsidRPr="00C53C14">
              <w:rPr>
                <w:sz w:val="20"/>
                <w:szCs w:val="20"/>
                <w:lang w:val="en-US"/>
              </w:rPr>
              <w:t>- Transfusion (when they had an Hb of 2.4 mmol/L)</w:t>
            </w:r>
          </w:p>
        </w:tc>
        <w:tc>
          <w:tcPr>
            <w:tcW w:w="2127" w:type="dxa"/>
            <w:tcMar>
              <w:top w:w="100" w:type="dxa"/>
              <w:left w:w="100" w:type="dxa"/>
              <w:bottom w:w="100" w:type="dxa"/>
              <w:right w:w="100" w:type="dxa"/>
            </w:tcMar>
          </w:tcPr>
          <w:p w14:paraId="6EDF221F" w14:textId="77777777" w:rsidR="00744659" w:rsidRPr="00C53C14" w:rsidRDefault="002C38C9">
            <w:pPr>
              <w:widowControl w:val="0"/>
              <w:spacing w:line="360" w:lineRule="auto"/>
              <w:rPr>
                <w:sz w:val="20"/>
                <w:szCs w:val="20"/>
                <w:lang w:val="en-US"/>
              </w:rPr>
            </w:pPr>
            <w:r w:rsidRPr="00C53C14">
              <w:rPr>
                <w:sz w:val="20"/>
                <w:szCs w:val="20"/>
                <w:lang w:val="en-US"/>
              </w:rPr>
              <w:t>- No transfusion (when they had an Hb of 2.4 mmol/L</w:t>
            </w:r>
          </w:p>
        </w:tc>
        <w:tc>
          <w:tcPr>
            <w:tcW w:w="3118" w:type="dxa"/>
            <w:tcMar>
              <w:top w:w="100" w:type="dxa"/>
              <w:left w:w="100" w:type="dxa"/>
              <w:bottom w:w="100" w:type="dxa"/>
              <w:right w:w="100" w:type="dxa"/>
            </w:tcMar>
          </w:tcPr>
          <w:p w14:paraId="6EDF2220" w14:textId="77777777" w:rsidR="00744659" w:rsidRDefault="002C38C9">
            <w:pPr>
              <w:spacing w:line="360" w:lineRule="auto"/>
              <w:rPr>
                <w:sz w:val="20"/>
                <w:szCs w:val="20"/>
              </w:rPr>
            </w:pPr>
            <w:r>
              <w:rPr>
                <w:sz w:val="20"/>
                <w:szCs w:val="20"/>
              </w:rPr>
              <w:t>- Mortality</w:t>
            </w:r>
          </w:p>
        </w:tc>
      </w:tr>
      <w:tr w:rsidR="00744659" w14:paraId="6EDF2228" w14:textId="77777777">
        <w:trPr>
          <w:trHeight w:val="782"/>
        </w:trPr>
        <w:tc>
          <w:tcPr>
            <w:tcW w:w="1559" w:type="dxa"/>
            <w:tcMar>
              <w:top w:w="100" w:type="dxa"/>
              <w:left w:w="100" w:type="dxa"/>
              <w:bottom w:w="100" w:type="dxa"/>
              <w:right w:w="100" w:type="dxa"/>
            </w:tcMar>
          </w:tcPr>
          <w:p w14:paraId="6EDF2222" w14:textId="77777777" w:rsidR="00744659" w:rsidRDefault="002C38C9">
            <w:pPr>
              <w:spacing w:line="360" w:lineRule="auto"/>
              <w:rPr>
                <w:i/>
                <w:sz w:val="20"/>
                <w:szCs w:val="20"/>
              </w:rPr>
            </w:pPr>
            <w:r>
              <w:rPr>
                <w:i/>
                <w:sz w:val="20"/>
                <w:szCs w:val="20"/>
              </w:rPr>
              <w:t>Lackritz (1997)</w:t>
            </w:r>
          </w:p>
          <w:p w14:paraId="6EDF2223" w14:textId="77777777" w:rsidR="00744659" w:rsidRDefault="002C38C9">
            <w:pPr>
              <w:spacing w:line="360" w:lineRule="auto"/>
              <w:rPr>
                <w:i/>
                <w:sz w:val="20"/>
                <w:szCs w:val="20"/>
              </w:rPr>
            </w:pPr>
            <w:r>
              <w:rPr>
                <w:i/>
                <w:sz w:val="20"/>
                <w:szCs w:val="20"/>
              </w:rPr>
              <w:t>Prospective cohort study</w:t>
            </w:r>
          </w:p>
        </w:tc>
        <w:tc>
          <w:tcPr>
            <w:tcW w:w="2693" w:type="dxa"/>
            <w:tcMar>
              <w:top w:w="100" w:type="dxa"/>
              <w:left w:w="100" w:type="dxa"/>
              <w:bottom w:w="100" w:type="dxa"/>
              <w:right w:w="100" w:type="dxa"/>
            </w:tcMar>
          </w:tcPr>
          <w:p w14:paraId="6EDF2224" w14:textId="77777777" w:rsidR="00744659" w:rsidRDefault="002C38C9">
            <w:pPr>
              <w:spacing w:line="360" w:lineRule="auto"/>
              <w:rPr>
                <w:sz w:val="20"/>
                <w:szCs w:val="20"/>
              </w:rPr>
            </w:pPr>
            <w:r>
              <w:rPr>
                <w:sz w:val="20"/>
                <w:szCs w:val="20"/>
              </w:rPr>
              <w:t>303 children with severe anemia</w:t>
            </w:r>
          </w:p>
        </w:tc>
        <w:tc>
          <w:tcPr>
            <w:tcW w:w="2126" w:type="dxa"/>
            <w:tcMar>
              <w:top w:w="100" w:type="dxa"/>
              <w:left w:w="100" w:type="dxa"/>
              <w:bottom w:w="100" w:type="dxa"/>
              <w:right w:w="100" w:type="dxa"/>
            </w:tcMar>
          </w:tcPr>
          <w:p w14:paraId="6EDF2225" w14:textId="77777777" w:rsidR="00744659" w:rsidRPr="00C53C14" w:rsidRDefault="002C38C9">
            <w:pPr>
              <w:widowControl w:val="0"/>
              <w:spacing w:line="360" w:lineRule="auto"/>
              <w:rPr>
                <w:sz w:val="20"/>
                <w:szCs w:val="20"/>
                <w:lang w:val="en-US"/>
              </w:rPr>
            </w:pPr>
            <w:r w:rsidRPr="00C53C14">
              <w:rPr>
                <w:sz w:val="20"/>
                <w:szCs w:val="20"/>
                <w:lang w:val="en-US"/>
              </w:rPr>
              <w:t>- Transfusion (when they had an Hb of 3.1 mmol/L)</w:t>
            </w:r>
          </w:p>
        </w:tc>
        <w:tc>
          <w:tcPr>
            <w:tcW w:w="2127" w:type="dxa"/>
            <w:tcMar>
              <w:top w:w="100" w:type="dxa"/>
              <w:left w:w="100" w:type="dxa"/>
              <w:bottom w:w="100" w:type="dxa"/>
              <w:right w:w="100" w:type="dxa"/>
            </w:tcMar>
          </w:tcPr>
          <w:p w14:paraId="6EDF2226" w14:textId="77777777" w:rsidR="00744659" w:rsidRPr="00C53C14" w:rsidRDefault="002C38C9">
            <w:pPr>
              <w:widowControl w:val="0"/>
              <w:spacing w:line="360" w:lineRule="auto"/>
              <w:rPr>
                <w:sz w:val="20"/>
                <w:szCs w:val="20"/>
                <w:lang w:val="en-US"/>
              </w:rPr>
            </w:pPr>
            <w:r w:rsidRPr="00C53C14">
              <w:rPr>
                <w:sz w:val="20"/>
                <w:szCs w:val="20"/>
                <w:lang w:val="en-US"/>
              </w:rPr>
              <w:t>- No transfusion (when they had an Hb of 3.1 mmol/L</w:t>
            </w:r>
          </w:p>
        </w:tc>
        <w:tc>
          <w:tcPr>
            <w:tcW w:w="3118" w:type="dxa"/>
            <w:tcMar>
              <w:top w:w="100" w:type="dxa"/>
              <w:left w:w="100" w:type="dxa"/>
              <w:bottom w:w="100" w:type="dxa"/>
              <w:right w:w="100" w:type="dxa"/>
            </w:tcMar>
          </w:tcPr>
          <w:p w14:paraId="6EDF2227" w14:textId="77777777" w:rsidR="00744659" w:rsidRDefault="002C38C9">
            <w:pPr>
              <w:spacing w:line="360" w:lineRule="auto"/>
              <w:rPr>
                <w:sz w:val="20"/>
                <w:szCs w:val="20"/>
              </w:rPr>
            </w:pPr>
            <w:r>
              <w:rPr>
                <w:sz w:val="20"/>
                <w:szCs w:val="20"/>
              </w:rPr>
              <w:t>- Mortality</w:t>
            </w:r>
          </w:p>
        </w:tc>
      </w:tr>
      <w:tr w:rsidR="00744659" w:rsidRPr="00C53C14" w14:paraId="6EDF2231" w14:textId="77777777">
        <w:trPr>
          <w:trHeight w:val="433"/>
        </w:trPr>
        <w:tc>
          <w:tcPr>
            <w:tcW w:w="1559" w:type="dxa"/>
            <w:tcMar>
              <w:top w:w="100" w:type="dxa"/>
              <w:left w:w="100" w:type="dxa"/>
              <w:bottom w:w="100" w:type="dxa"/>
              <w:right w:w="100" w:type="dxa"/>
            </w:tcMar>
          </w:tcPr>
          <w:p w14:paraId="6EDF2229" w14:textId="77777777" w:rsidR="00744659" w:rsidRDefault="002C38C9">
            <w:pPr>
              <w:spacing w:line="360" w:lineRule="auto"/>
              <w:rPr>
                <w:i/>
                <w:sz w:val="20"/>
                <w:szCs w:val="20"/>
              </w:rPr>
            </w:pPr>
            <w:r>
              <w:rPr>
                <w:i/>
                <w:sz w:val="20"/>
                <w:szCs w:val="20"/>
              </w:rPr>
              <w:t>Lacroix (2007)</w:t>
            </w:r>
          </w:p>
          <w:p w14:paraId="6EDF222A"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22B" w14:textId="77777777" w:rsidR="00744659" w:rsidRDefault="002C38C9">
            <w:pPr>
              <w:spacing w:line="360" w:lineRule="auto"/>
              <w:rPr>
                <w:sz w:val="20"/>
                <w:szCs w:val="20"/>
              </w:rPr>
            </w:pPr>
            <w:r>
              <w:rPr>
                <w:sz w:val="20"/>
                <w:szCs w:val="20"/>
              </w:rPr>
              <w:t>637 stable critically ill children</w:t>
            </w:r>
          </w:p>
        </w:tc>
        <w:tc>
          <w:tcPr>
            <w:tcW w:w="2126" w:type="dxa"/>
            <w:tcMar>
              <w:top w:w="100" w:type="dxa"/>
              <w:left w:w="100" w:type="dxa"/>
              <w:bottom w:w="100" w:type="dxa"/>
              <w:right w:w="100" w:type="dxa"/>
            </w:tcMar>
          </w:tcPr>
          <w:p w14:paraId="6EDF222C" w14:textId="77777777" w:rsidR="00744659" w:rsidRDefault="002C38C9">
            <w:pPr>
              <w:widowControl w:val="0"/>
              <w:spacing w:line="360" w:lineRule="auto"/>
              <w:rPr>
                <w:sz w:val="20"/>
                <w:szCs w:val="20"/>
              </w:rPr>
            </w:pPr>
            <w:r>
              <w:rPr>
                <w:sz w:val="20"/>
                <w:szCs w:val="20"/>
              </w:rPr>
              <w:t>- 5.0 mmol/L</w:t>
            </w:r>
          </w:p>
        </w:tc>
        <w:tc>
          <w:tcPr>
            <w:tcW w:w="2127" w:type="dxa"/>
            <w:tcMar>
              <w:top w:w="100" w:type="dxa"/>
              <w:left w:w="100" w:type="dxa"/>
              <w:bottom w:w="100" w:type="dxa"/>
              <w:right w:w="100" w:type="dxa"/>
            </w:tcMar>
          </w:tcPr>
          <w:p w14:paraId="6EDF222D" w14:textId="77777777" w:rsidR="00744659" w:rsidRDefault="002C38C9">
            <w:pPr>
              <w:widowControl w:val="0"/>
              <w:spacing w:line="360" w:lineRule="auto"/>
              <w:rPr>
                <w:sz w:val="20"/>
                <w:szCs w:val="20"/>
              </w:rPr>
            </w:pPr>
            <w:r>
              <w:rPr>
                <w:sz w:val="20"/>
                <w:szCs w:val="20"/>
              </w:rPr>
              <w:t>- 4.3 mmol/L</w:t>
            </w:r>
          </w:p>
        </w:tc>
        <w:tc>
          <w:tcPr>
            <w:tcW w:w="3118" w:type="dxa"/>
            <w:tcMar>
              <w:top w:w="100" w:type="dxa"/>
              <w:left w:w="100" w:type="dxa"/>
              <w:bottom w:w="100" w:type="dxa"/>
              <w:right w:w="100" w:type="dxa"/>
            </w:tcMar>
          </w:tcPr>
          <w:p w14:paraId="6EDF222E" w14:textId="77777777" w:rsidR="00744659" w:rsidRPr="00C53C14" w:rsidRDefault="002C38C9">
            <w:pPr>
              <w:spacing w:line="360" w:lineRule="auto"/>
              <w:rPr>
                <w:sz w:val="20"/>
                <w:szCs w:val="20"/>
                <w:lang w:val="en-US"/>
              </w:rPr>
            </w:pPr>
            <w:r w:rsidRPr="00C53C14">
              <w:rPr>
                <w:sz w:val="20"/>
                <w:szCs w:val="20"/>
                <w:lang w:val="en-US"/>
              </w:rPr>
              <w:t>- Mortality</w:t>
            </w:r>
          </w:p>
          <w:p w14:paraId="6EDF222F" w14:textId="77777777" w:rsidR="00744659" w:rsidRPr="00C53C14" w:rsidRDefault="002C38C9">
            <w:pPr>
              <w:spacing w:line="360" w:lineRule="auto"/>
              <w:rPr>
                <w:sz w:val="20"/>
                <w:szCs w:val="20"/>
                <w:lang w:val="en-US"/>
              </w:rPr>
            </w:pPr>
            <w:r w:rsidRPr="00C53C14">
              <w:rPr>
                <w:sz w:val="20"/>
                <w:szCs w:val="20"/>
                <w:lang w:val="en-US"/>
              </w:rPr>
              <w:t>- Morbidity</w:t>
            </w:r>
          </w:p>
          <w:p w14:paraId="6EDF2230" w14:textId="77777777" w:rsidR="00744659" w:rsidRPr="00C53C14" w:rsidRDefault="002C38C9">
            <w:pPr>
              <w:spacing w:line="360" w:lineRule="auto"/>
              <w:rPr>
                <w:sz w:val="20"/>
                <w:szCs w:val="20"/>
                <w:lang w:val="en-US"/>
              </w:rPr>
            </w:pPr>
            <w:r w:rsidRPr="00C53C14">
              <w:rPr>
                <w:sz w:val="20"/>
                <w:szCs w:val="20"/>
                <w:lang w:val="en-US"/>
              </w:rPr>
              <w:t>- Admission to hospital</w:t>
            </w:r>
          </w:p>
        </w:tc>
      </w:tr>
    </w:tbl>
    <w:p w14:paraId="6EDF2232" w14:textId="77777777" w:rsidR="00744659" w:rsidRPr="00C53C14" w:rsidRDefault="00744659">
      <w:pPr>
        <w:spacing w:line="360" w:lineRule="auto"/>
        <w:rPr>
          <w:rFonts w:ascii="Calibri" w:eastAsia="Calibri" w:hAnsi="Calibri" w:cs="Calibri"/>
          <w:sz w:val="20"/>
          <w:szCs w:val="20"/>
          <w:u w:val="single"/>
          <w:lang w:val="en-US"/>
        </w:rPr>
      </w:pPr>
    </w:p>
    <w:p w14:paraId="6EDF2233" w14:textId="77777777" w:rsidR="00744659" w:rsidRPr="00C53C14" w:rsidRDefault="00744659">
      <w:pPr>
        <w:spacing w:line="360" w:lineRule="auto"/>
        <w:rPr>
          <w:rFonts w:ascii="Calibri" w:eastAsia="Calibri" w:hAnsi="Calibri" w:cs="Calibri"/>
          <w:sz w:val="20"/>
          <w:szCs w:val="20"/>
          <w:u w:val="single"/>
          <w:lang w:val="en-US"/>
        </w:rPr>
      </w:pPr>
    </w:p>
    <w:p w14:paraId="6EDF2234" w14:textId="77777777" w:rsidR="00744659" w:rsidRPr="00C53C14" w:rsidRDefault="00744659">
      <w:pPr>
        <w:spacing w:line="360" w:lineRule="auto"/>
        <w:rPr>
          <w:rFonts w:ascii="Calibri" w:eastAsia="Calibri" w:hAnsi="Calibri" w:cs="Calibri"/>
          <w:sz w:val="20"/>
          <w:szCs w:val="20"/>
          <w:u w:val="single"/>
          <w:lang w:val="en-US"/>
        </w:rPr>
      </w:pPr>
    </w:p>
    <w:p w14:paraId="6EDF2235"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A2.3: Adults</w:t>
      </w:r>
    </w:p>
    <w:p w14:paraId="6EDF2236" w14:textId="7A483478"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lang w:val="en-US"/>
        </w:rPr>
        <w:t>Six additional adult studies were included (8, 10-12, 1</w:t>
      </w:r>
      <w:r w:rsidR="00385974">
        <w:rPr>
          <w:rFonts w:ascii="Calibri" w:eastAsia="Calibri" w:hAnsi="Calibri" w:cs="Calibri"/>
          <w:sz w:val="20"/>
          <w:szCs w:val="20"/>
          <w:lang w:val="en-US"/>
        </w:rPr>
        <w:t>5</w:t>
      </w:r>
      <w:r w:rsidRPr="00C53C14">
        <w:rPr>
          <w:rFonts w:ascii="Calibri" w:eastAsia="Calibri" w:hAnsi="Calibri" w:cs="Calibri"/>
          <w:sz w:val="20"/>
          <w:szCs w:val="20"/>
          <w:lang w:val="en-US"/>
        </w:rPr>
        <w:t>, 1</w:t>
      </w:r>
      <w:r w:rsidR="00385974">
        <w:rPr>
          <w:rFonts w:ascii="Calibri" w:eastAsia="Calibri" w:hAnsi="Calibri" w:cs="Calibri"/>
          <w:sz w:val="20"/>
          <w:szCs w:val="20"/>
          <w:lang w:val="en-US"/>
        </w:rPr>
        <w:t>6</w:t>
      </w:r>
      <w:r w:rsidRPr="00C53C14">
        <w:rPr>
          <w:rFonts w:ascii="Calibri" w:eastAsia="Calibri" w:hAnsi="Calibri" w:cs="Calibri"/>
          <w:sz w:val="20"/>
          <w:szCs w:val="20"/>
          <w:lang w:val="en-US"/>
        </w:rPr>
        <w:t>).</w:t>
      </w:r>
    </w:p>
    <w:p w14:paraId="6EDF2237" w14:textId="77777777" w:rsidR="00744659" w:rsidRPr="00C53C14" w:rsidRDefault="00744659">
      <w:pPr>
        <w:spacing w:line="360" w:lineRule="auto"/>
        <w:rPr>
          <w:rFonts w:ascii="Calibri" w:eastAsia="Calibri" w:hAnsi="Calibri" w:cs="Calibri"/>
          <w:sz w:val="20"/>
          <w:szCs w:val="20"/>
          <w:lang w:val="en-US"/>
        </w:rPr>
      </w:pPr>
    </w:p>
    <w:p w14:paraId="6EDF2238"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 characteristics of the included studies are stated in the evidence table below. The studies differ from each other in patient population and in methodology. </w:t>
      </w:r>
    </w:p>
    <w:p w14:paraId="6EDF2239" w14:textId="77777777" w:rsidR="00744659" w:rsidRPr="00C53C14" w:rsidRDefault="00744659">
      <w:pPr>
        <w:spacing w:line="360" w:lineRule="auto"/>
        <w:rPr>
          <w:rFonts w:ascii="Calibri" w:eastAsia="Calibri" w:hAnsi="Calibri" w:cs="Calibri"/>
          <w:sz w:val="20"/>
          <w:szCs w:val="20"/>
          <w:u w:val="single"/>
          <w:lang w:val="en-US"/>
        </w:rPr>
      </w:pPr>
    </w:p>
    <w:p w14:paraId="6EDF223A"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Table 3.</w:t>
      </w:r>
      <w:r w:rsidRPr="00C53C14">
        <w:rPr>
          <w:rFonts w:ascii="Calibri" w:eastAsia="Calibri" w:hAnsi="Calibri" w:cs="Calibri"/>
          <w:sz w:val="20"/>
          <w:szCs w:val="20"/>
          <w:lang w:val="en-US"/>
        </w:rPr>
        <w:t xml:space="preserve"> Characteristics of the included studies regarding adults.</w:t>
      </w:r>
    </w:p>
    <w:tbl>
      <w:tblPr>
        <w:tblStyle w:val="a1"/>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693"/>
        <w:gridCol w:w="2126"/>
        <w:gridCol w:w="2127"/>
        <w:gridCol w:w="3118"/>
      </w:tblGrid>
      <w:tr w:rsidR="00744659" w14:paraId="6EDF223C" w14:textId="77777777">
        <w:trPr>
          <w:trHeight w:val="71"/>
        </w:trPr>
        <w:tc>
          <w:tcPr>
            <w:tcW w:w="11623" w:type="dxa"/>
            <w:gridSpan w:val="5"/>
            <w:shd w:val="clear" w:color="auto" w:fill="000000"/>
            <w:tcMar>
              <w:top w:w="100" w:type="dxa"/>
              <w:left w:w="100" w:type="dxa"/>
              <w:bottom w:w="100" w:type="dxa"/>
              <w:right w:w="100" w:type="dxa"/>
            </w:tcMar>
          </w:tcPr>
          <w:p w14:paraId="6EDF223B" w14:textId="77777777" w:rsidR="00744659" w:rsidRDefault="002C38C9">
            <w:pPr>
              <w:spacing w:line="360" w:lineRule="auto"/>
              <w:rPr>
                <w:b/>
                <w:color w:val="FFFFFF"/>
                <w:sz w:val="20"/>
                <w:szCs w:val="20"/>
              </w:rPr>
            </w:pPr>
            <w:r>
              <w:rPr>
                <w:b/>
                <w:color w:val="FFFFFF"/>
                <w:sz w:val="20"/>
                <w:szCs w:val="20"/>
              </w:rPr>
              <w:t>Included studies</w:t>
            </w:r>
          </w:p>
        </w:tc>
      </w:tr>
      <w:tr w:rsidR="00744659" w14:paraId="6EDF2242" w14:textId="77777777">
        <w:trPr>
          <w:trHeight w:val="179"/>
        </w:trPr>
        <w:tc>
          <w:tcPr>
            <w:tcW w:w="1559" w:type="dxa"/>
            <w:shd w:val="clear" w:color="auto" w:fill="D9D9D9"/>
            <w:tcMar>
              <w:top w:w="100" w:type="dxa"/>
              <w:left w:w="100" w:type="dxa"/>
              <w:bottom w:w="100" w:type="dxa"/>
              <w:right w:w="100" w:type="dxa"/>
            </w:tcMar>
          </w:tcPr>
          <w:p w14:paraId="6EDF223D" w14:textId="77777777" w:rsidR="00744659" w:rsidRDefault="002C38C9">
            <w:pPr>
              <w:spacing w:line="360" w:lineRule="auto"/>
              <w:rPr>
                <w:b/>
                <w:sz w:val="20"/>
                <w:szCs w:val="20"/>
              </w:rPr>
            </w:pPr>
            <w:r>
              <w:rPr>
                <w:b/>
                <w:sz w:val="20"/>
                <w:szCs w:val="20"/>
              </w:rPr>
              <w:lastRenderedPageBreak/>
              <w:t>Study</w:t>
            </w:r>
          </w:p>
        </w:tc>
        <w:tc>
          <w:tcPr>
            <w:tcW w:w="2693" w:type="dxa"/>
            <w:shd w:val="clear" w:color="auto" w:fill="D9D9D9"/>
            <w:tcMar>
              <w:top w:w="100" w:type="dxa"/>
              <w:left w:w="100" w:type="dxa"/>
              <w:bottom w:w="100" w:type="dxa"/>
              <w:right w:w="100" w:type="dxa"/>
            </w:tcMar>
          </w:tcPr>
          <w:p w14:paraId="6EDF223E" w14:textId="77777777" w:rsidR="00744659" w:rsidRDefault="002C38C9">
            <w:pPr>
              <w:spacing w:line="360" w:lineRule="auto"/>
              <w:rPr>
                <w:b/>
                <w:sz w:val="20"/>
                <w:szCs w:val="20"/>
              </w:rPr>
            </w:pPr>
            <w:r>
              <w:rPr>
                <w:b/>
                <w:sz w:val="20"/>
                <w:szCs w:val="20"/>
              </w:rPr>
              <w:t>Population</w:t>
            </w:r>
          </w:p>
        </w:tc>
        <w:tc>
          <w:tcPr>
            <w:tcW w:w="2126" w:type="dxa"/>
            <w:shd w:val="clear" w:color="auto" w:fill="D9D9D9"/>
            <w:tcMar>
              <w:top w:w="100" w:type="dxa"/>
              <w:left w:w="100" w:type="dxa"/>
              <w:bottom w:w="100" w:type="dxa"/>
              <w:right w:w="100" w:type="dxa"/>
            </w:tcMar>
          </w:tcPr>
          <w:p w14:paraId="6EDF223F" w14:textId="77777777" w:rsidR="00744659" w:rsidRDefault="002C38C9">
            <w:pPr>
              <w:spacing w:line="360" w:lineRule="auto"/>
              <w:rPr>
                <w:b/>
                <w:sz w:val="20"/>
                <w:szCs w:val="20"/>
              </w:rPr>
            </w:pPr>
            <w:r>
              <w:rPr>
                <w:b/>
                <w:sz w:val="20"/>
                <w:szCs w:val="20"/>
              </w:rPr>
              <w:t>Liberal threshold</w:t>
            </w:r>
          </w:p>
        </w:tc>
        <w:tc>
          <w:tcPr>
            <w:tcW w:w="2127" w:type="dxa"/>
            <w:shd w:val="clear" w:color="auto" w:fill="D9D9D9"/>
            <w:tcMar>
              <w:top w:w="100" w:type="dxa"/>
              <w:left w:w="100" w:type="dxa"/>
              <w:bottom w:w="100" w:type="dxa"/>
              <w:right w:w="100" w:type="dxa"/>
            </w:tcMar>
          </w:tcPr>
          <w:p w14:paraId="6EDF2240" w14:textId="77777777" w:rsidR="00744659" w:rsidRDefault="002C38C9">
            <w:pPr>
              <w:spacing w:line="360" w:lineRule="auto"/>
              <w:rPr>
                <w:b/>
                <w:sz w:val="20"/>
                <w:szCs w:val="20"/>
              </w:rPr>
            </w:pPr>
            <w:r>
              <w:rPr>
                <w:b/>
                <w:sz w:val="20"/>
                <w:szCs w:val="20"/>
              </w:rPr>
              <w:t>Restrictive threshold</w:t>
            </w:r>
          </w:p>
        </w:tc>
        <w:tc>
          <w:tcPr>
            <w:tcW w:w="3118" w:type="dxa"/>
            <w:shd w:val="clear" w:color="auto" w:fill="D9D9D9"/>
            <w:tcMar>
              <w:top w:w="100" w:type="dxa"/>
              <w:left w:w="100" w:type="dxa"/>
              <w:bottom w:w="100" w:type="dxa"/>
              <w:right w:w="100" w:type="dxa"/>
            </w:tcMar>
          </w:tcPr>
          <w:p w14:paraId="6EDF2241" w14:textId="77777777" w:rsidR="00744659" w:rsidRDefault="002C38C9">
            <w:pPr>
              <w:spacing w:line="360" w:lineRule="auto"/>
              <w:rPr>
                <w:b/>
                <w:sz w:val="20"/>
                <w:szCs w:val="20"/>
              </w:rPr>
            </w:pPr>
            <w:r>
              <w:rPr>
                <w:b/>
                <w:sz w:val="20"/>
                <w:szCs w:val="20"/>
              </w:rPr>
              <w:t xml:space="preserve">Outcomes </w:t>
            </w:r>
          </w:p>
        </w:tc>
      </w:tr>
      <w:tr w:rsidR="00744659" w14:paraId="6EDF2249" w14:textId="77777777">
        <w:trPr>
          <w:trHeight w:val="458"/>
        </w:trPr>
        <w:tc>
          <w:tcPr>
            <w:tcW w:w="1559" w:type="dxa"/>
            <w:tcMar>
              <w:top w:w="100" w:type="dxa"/>
              <w:left w:w="100" w:type="dxa"/>
              <w:bottom w:w="100" w:type="dxa"/>
              <w:right w:w="100" w:type="dxa"/>
            </w:tcMar>
          </w:tcPr>
          <w:p w14:paraId="6EDF2243" w14:textId="77777777" w:rsidR="00744659" w:rsidRDefault="002C38C9">
            <w:pPr>
              <w:spacing w:line="360" w:lineRule="auto"/>
              <w:rPr>
                <w:i/>
                <w:sz w:val="20"/>
                <w:szCs w:val="20"/>
              </w:rPr>
            </w:pPr>
            <w:r>
              <w:rPr>
                <w:i/>
                <w:sz w:val="20"/>
                <w:szCs w:val="20"/>
              </w:rPr>
              <w:t>Carson (2002)</w:t>
            </w:r>
          </w:p>
          <w:p w14:paraId="6EDF2244" w14:textId="77777777" w:rsidR="00744659" w:rsidRDefault="002C38C9">
            <w:pPr>
              <w:spacing w:line="360" w:lineRule="auto"/>
              <w:rPr>
                <w:i/>
                <w:sz w:val="20"/>
                <w:szCs w:val="20"/>
              </w:rPr>
            </w:pPr>
            <w:r>
              <w:rPr>
                <w:i/>
                <w:sz w:val="20"/>
                <w:szCs w:val="20"/>
              </w:rPr>
              <w:t>Retrospective study</w:t>
            </w:r>
          </w:p>
        </w:tc>
        <w:tc>
          <w:tcPr>
            <w:tcW w:w="2693" w:type="dxa"/>
            <w:tcMar>
              <w:top w:w="100" w:type="dxa"/>
              <w:left w:w="100" w:type="dxa"/>
              <w:bottom w:w="100" w:type="dxa"/>
              <w:right w:w="100" w:type="dxa"/>
            </w:tcMar>
          </w:tcPr>
          <w:p w14:paraId="6EDF2245" w14:textId="77777777" w:rsidR="00744659" w:rsidRPr="00C53C14" w:rsidRDefault="002C38C9">
            <w:pPr>
              <w:spacing w:line="360" w:lineRule="auto"/>
              <w:rPr>
                <w:sz w:val="20"/>
                <w:szCs w:val="20"/>
                <w:lang w:val="en-US"/>
              </w:rPr>
            </w:pPr>
            <w:r w:rsidRPr="00C53C14">
              <w:rPr>
                <w:sz w:val="20"/>
                <w:szCs w:val="20"/>
                <w:lang w:val="en-US"/>
              </w:rPr>
              <w:t>300 adults with a postoperative Hb of 5.0 mmol/L</w:t>
            </w:r>
          </w:p>
        </w:tc>
        <w:tc>
          <w:tcPr>
            <w:tcW w:w="4253" w:type="dxa"/>
            <w:gridSpan w:val="2"/>
            <w:tcMar>
              <w:top w:w="100" w:type="dxa"/>
              <w:left w:w="100" w:type="dxa"/>
              <w:bottom w:w="100" w:type="dxa"/>
              <w:right w:w="100" w:type="dxa"/>
            </w:tcMar>
          </w:tcPr>
          <w:p w14:paraId="6EDF2246" w14:textId="77777777" w:rsidR="00744659" w:rsidRDefault="002C38C9">
            <w:pPr>
              <w:spacing w:line="360" w:lineRule="auto"/>
              <w:rPr>
                <w:sz w:val="20"/>
                <w:szCs w:val="20"/>
              </w:rPr>
            </w:pPr>
            <w:r>
              <w:rPr>
                <w:sz w:val="20"/>
                <w:szCs w:val="20"/>
              </w:rPr>
              <w:t>- Different Hb concentrations</w:t>
            </w:r>
          </w:p>
        </w:tc>
        <w:tc>
          <w:tcPr>
            <w:tcW w:w="3118" w:type="dxa"/>
            <w:tcMar>
              <w:top w:w="100" w:type="dxa"/>
              <w:left w:w="100" w:type="dxa"/>
              <w:bottom w:w="100" w:type="dxa"/>
              <w:right w:w="100" w:type="dxa"/>
            </w:tcMar>
          </w:tcPr>
          <w:p w14:paraId="6EDF2247" w14:textId="77777777" w:rsidR="00744659" w:rsidRDefault="002C38C9">
            <w:pPr>
              <w:spacing w:line="360" w:lineRule="auto"/>
              <w:rPr>
                <w:sz w:val="20"/>
                <w:szCs w:val="20"/>
              </w:rPr>
            </w:pPr>
            <w:r>
              <w:rPr>
                <w:sz w:val="20"/>
                <w:szCs w:val="20"/>
              </w:rPr>
              <w:t>- Mortality</w:t>
            </w:r>
          </w:p>
          <w:p w14:paraId="6EDF2248" w14:textId="77777777" w:rsidR="00744659" w:rsidRDefault="00744659">
            <w:pPr>
              <w:spacing w:line="360" w:lineRule="auto"/>
              <w:rPr>
                <w:sz w:val="20"/>
                <w:szCs w:val="20"/>
              </w:rPr>
            </w:pPr>
          </w:p>
        </w:tc>
      </w:tr>
      <w:tr w:rsidR="00744659" w14:paraId="6EDF2250" w14:textId="77777777">
        <w:trPr>
          <w:trHeight w:val="360"/>
        </w:trPr>
        <w:tc>
          <w:tcPr>
            <w:tcW w:w="1559" w:type="dxa"/>
            <w:shd w:val="clear" w:color="auto" w:fill="auto"/>
            <w:tcMar>
              <w:top w:w="100" w:type="dxa"/>
              <w:left w:w="100" w:type="dxa"/>
              <w:bottom w:w="100" w:type="dxa"/>
              <w:right w:w="100" w:type="dxa"/>
            </w:tcMar>
          </w:tcPr>
          <w:p w14:paraId="6EDF224A" w14:textId="77777777" w:rsidR="00744659" w:rsidRDefault="002C38C9">
            <w:pPr>
              <w:spacing w:line="360" w:lineRule="auto"/>
              <w:rPr>
                <w:i/>
                <w:sz w:val="20"/>
                <w:szCs w:val="20"/>
              </w:rPr>
            </w:pPr>
            <w:r>
              <w:rPr>
                <w:i/>
                <w:sz w:val="20"/>
                <w:szCs w:val="20"/>
              </w:rPr>
              <w:t>Shander (2014)</w:t>
            </w:r>
          </w:p>
          <w:p w14:paraId="6EDF224B" w14:textId="77777777" w:rsidR="00744659" w:rsidRDefault="002C38C9">
            <w:pPr>
              <w:spacing w:line="360" w:lineRule="auto"/>
              <w:rPr>
                <w:i/>
                <w:sz w:val="20"/>
                <w:szCs w:val="20"/>
              </w:rPr>
            </w:pPr>
            <w:r>
              <w:rPr>
                <w:i/>
                <w:sz w:val="20"/>
                <w:szCs w:val="20"/>
              </w:rPr>
              <w:t>Retrospective study</w:t>
            </w:r>
          </w:p>
        </w:tc>
        <w:tc>
          <w:tcPr>
            <w:tcW w:w="2693" w:type="dxa"/>
            <w:tcMar>
              <w:top w:w="100" w:type="dxa"/>
              <w:left w:w="100" w:type="dxa"/>
              <w:bottom w:w="100" w:type="dxa"/>
              <w:right w:w="100" w:type="dxa"/>
            </w:tcMar>
          </w:tcPr>
          <w:p w14:paraId="6EDF224C" w14:textId="77777777" w:rsidR="00744659" w:rsidRPr="00C53C14" w:rsidRDefault="002C38C9">
            <w:pPr>
              <w:spacing w:line="360" w:lineRule="auto"/>
              <w:rPr>
                <w:sz w:val="20"/>
                <w:szCs w:val="20"/>
                <w:lang w:val="en-US"/>
              </w:rPr>
            </w:pPr>
            <w:r w:rsidRPr="00C53C14">
              <w:rPr>
                <w:sz w:val="20"/>
                <w:szCs w:val="20"/>
                <w:lang w:val="en-US"/>
              </w:rPr>
              <w:t>293 adults with postoperative Hb of 5.0 mmol/L</w:t>
            </w:r>
          </w:p>
        </w:tc>
        <w:tc>
          <w:tcPr>
            <w:tcW w:w="4253" w:type="dxa"/>
            <w:gridSpan w:val="2"/>
            <w:tcMar>
              <w:top w:w="100" w:type="dxa"/>
              <w:left w:w="100" w:type="dxa"/>
              <w:bottom w:w="100" w:type="dxa"/>
              <w:right w:w="100" w:type="dxa"/>
            </w:tcMar>
          </w:tcPr>
          <w:p w14:paraId="6EDF224D" w14:textId="77777777" w:rsidR="00744659" w:rsidRDefault="002C38C9">
            <w:pPr>
              <w:widowControl w:val="0"/>
              <w:spacing w:line="360" w:lineRule="auto"/>
              <w:rPr>
                <w:sz w:val="20"/>
                <w:szCs w:val="20"/>
              </w:rPr>
            </w:pPr>
            <w:r>
              <w:rPr>
                <w:sz w:val="20"/>
                <w:szCs w:val="20"/>
              </w:rPr>
              <w:t>- Different Hb concentrations</w:t>
            </w:r>
          </w:p>
        </w:tc>
        <w:tc>
          <w:tcPr>
            <w:tcW w:w="3118" w:type="dxa"/>
            <w:tcMar>
              <w:top w:w="100" w:type="dxa"/>
              <w:left w:w="100" w:type="dxa"/>
              <w:bottom w:w="100" w:type="dxa"/>
              <w:right w:w="100" w:type="dxa"/>
            </w:tcMar>
          </w:tcPr>
          <w:p w14:paraId="6EDF224E" w14:textId="77777777" w:rsidR="00744659" w:rsidRDefault="002C38C9">
            <w:pPr>
              <w:spacing w:line="360" w:lineRule="auto"/>
              <w:rPr>
                <w:sz w:val="20"/>
                <w:szCs w:val="20"/>
              </w:rPr>
            </w:pPr>
            <w:r>
              <w:rPr>
                <w:sz w:val="20"/>
                <w:szCs w:val="20"/>
              </w:rPr>
              <w:t>- Mortality</w:t>
            </w:r>
          </w:p>
          <w:p w14:paraId="6EDF224F" w14:textId="77777777" w:rsidR="00744659" w:rsidRDefault="00744659">
            <w:pPr>
              <w:spacing w:line="360" w:lineRule="auto"/>
              <w:rPr>
                <w:sz w:val="20"/>
                <w:szCs w:val="20"/>
              </w:rPr>
            </w:pPr>
          </w:p>
        </w:tc>
      </w:tr>
      <w:tr w:rsidR="00744659" w14:paraId="6EDF2256" w14:textId="77777777">
        <w:trPr>
          <w:trHeight w:val="767"/>
        </w:trPr>
        <w:tc>
          <w:tcPr>
            <w:tcW w:w="1559" w:type="dxa"/>
            <w:tcMar>
              <w:top w:w="100" w:type="dxa"/>
              <w:left w:w="100" w:type="dxa"/>
              <w:bottom w:w="100" w:type="dxa"/>
              <w:right w:w="100" w:type="dxa"/>
            </w:tcMar>
          </w:tcPr>
          <w:p w14:paraId="6EDF2251" w14:textId="77777777" w:rsidR="00744659" w:rsidRPr="00C53C14" w:rsidRDefault="002C38C9">
            <w:pPr>
              <w:spacing w:line="360" w:lineRule="auto"/>
              <w:rPr>
                <w:i/>
                <w:sz w:val="20"/>
                <w:szCs w:val="20"/>
                <w:lang w:val="en-US"/>
              </w:rPr>
            </w:pPr>
            <w:r w:rsidRPr="00C53C14">
              <w:rPr>
                <w:i/>
                <w:sz w:val="20"/>
                <w:szCs w:val="20"/>
                <w:lang w:val="en-US"/>
              </w:rPr>
              <w:t>Viele &amp; Weskopf (1994)</w:t>
            </w:r>
          </w:p>
          <w:p w14:paraId="6EDF2252" w14:textId="77777777" w:rsidR="00744659" w:rsidRPr="00C53C14" w:rsidRDefault="002C38C9">
            <w:pPr>
              <w:spacing w:line="360" w:lineRule="auto"/>
              <w:rPr>
                <w:i/>
                <w:sz w:val="20"/>
                <w:szCs w:val="20"/>
                <w:lang w:val="en-US"/>
              </w:rPr>
            </w:pPr>
            <w:r w:rsidRPr="00C53C14">
              <w:rPr>
                <w:i/>
                <w:sz w:val="20"/>
                <w:szCs w:val="20"/>
                <w:lang w:val="en-US"/>
              </w:rPr>
              <w:t>MEDLINE search of case reports</w:t>
            </w:r>
          </w:p>
        </w:tc>
        <w:tc>
          <w:tcPr>
            <w:tcW w:w="2693" w:type="dxa"/>
            <w:tcMar>
              <w:top w:w="100" w:type="dxa"/>
              <w:left w:w="100" w:type="dxa"/>
              <w:bottom w:w="100" w:type="dxa"/>
              <w:right w:w="100" w:type="dxa"/>
            </w:tcMar>
          </w:tcPr>
          <w:p w14:paraId="6EDF2253" w14:textId="77777777" w:rsidR="00744659" w:rsidRPr="00C53C14" w:rsidRDefault="002C38C9">
            <w:pPr>
              <w:widowControl w:val="0"/>
              <w:spacing w:line="360" w:lineRule="auto"/>
              <w:rPr>
                <w:sz w:val="20"/>
                <w:szCs w:val="20"/>
                <w:lang w:val="en-US"/>
              </w:rPr>
            </w:pPr>
            <w:r w:rsidRPr="00C53C14">
              <w:rPr>
                <w:sz w:val="20"/>
                <w:szCs w:val="20"/>
                <w:lang w:val="en-US"/>
              </w:rPr>
              <w:t>61 reports of non-transfused Jehovah’s Witnesses with Hb concentrations of 5.0 mmol/L or hematocrits of 0.24 L/L</w:t>
            </w:r>
          </w:p>
        </w:tc>
        <w:tc>
          <w:tcPr>
            <w:tcW w:w="4253" w:type="dxa"/>
            <w:gridSpan w:val="2"/>
            <w:tcMar>
              <w:top w:w="100" w:type="dxa"/>
              <w:left w:w="100" w:type="dxa"/>
              <w:bottom w:w="100" w:type="dxa"/>
              <w:right w:w="100" w:type="dxa"/>
            </w:tcMar>
          </w:tcPr>
          <w:p w14:paraId="6EDF2254" w14:textId="77777777" w:rsidR="00744659" w:rsidRDefault="002C38C9">
            <w:pPr>
              <w:widowControl w:val="0"/>
              <w:spacing w:line="360" w:lineRule="auto"/>
              <w:rPr>
                <w:sz w:val="20"/>
                <w:szCs w:val="20"/>
              </w:rPr>
            </w:pPr>
            <w:r>
              <w:rPr>
                <w:sz w:val="20"/>
                <w:szCs w:val="20"/>
              </w:rPr>
              <w:t>- Different Hb concentrations</w:t>
            </w:r>
          </w:p>
        </w:tc>
        <w:tc>
          <w:tcPr>
            <w:tcW w:w="3118" w:type="dxa"/>
            <w:tcMar>
              <w:top w:w="100" w:type="dxa"/>
              <w:left w:w="100" w:type="dxa"/>
              <w:bottom w:w="100" w:type="dxa"/>
              <w:right w:w="100" w:type="dxa"/>
            </w:tcMar>
          </w:tcPr>
          <w:p w14:paraId="6EDF2255" w14:textId="77777777" w:rsidR="00744659" w:rsidRDefault="002C38C9">
            <w:pPr>
              <w:spacing w:line="360" w:lineRule="auto"/>
              <w:rPr>
                <w:sz w:val="20"/>
                <w:szCs w:val="20"/>
              </w:rPr>
            </w:pPr>
            <w:r>
              <w:rPr>
                <w:sz w:val="20"/>
                <w:szCs w:val="20"/>
              </w:rPr>
              <w:t>- Mortality</w:t>
            </w:r>
          </w:p>
        </w:tc>
      </w:tr>
      <w:tr w:rsidR="00744659" w:rsidRPr="00C53C14" w14:paraId="6EDF2260" w14:textId="77777777">
        <w:trPr>
          <w:trHeight w:val="782"/>
        </w:trPr>
        <w:tc>
          <w:tcPr>
            <w:tcW w:w="1559" w:type="dxa"/>
            <w:tcMar>
              <w:top w:w="100" w:type="dxa"/>
              <w:left w:w="100" w:type="dxa"/>
              <w:bottom w:w="100" w:type="dxa"/>
              <w:right w:w="100" w:type="dxa"/>
            </w:tcMar>
          </w:tcPr>
          <w:p w14:paraId="6EDF2257" w14:textId="77777777" w:rsidR="00744659" w:rsidRDefault="002C38C9">
            <w:pPr>
              <w:spacing w:line="360" w:lineRule="auto"/>
              <w:rPr>
                <w:i/>
                <w:sz w:val="20"/>
                <w:szCs w:val="20"/>
              </w:rPr>
            </w:pPr>
            <w:r>
              <w:rPr>
                <w:i/>
                <w:sz w:val="20"/>
                <w:szCs w:val="20"/>
              </w:rPr>
              <w:t>Carson (2012)</w:t>
            </w:r>
          </w:p>
          <w:p w14:paraId="6EDF2258" w14:textId="77777777" w:rsidR="00744659" w:rsidRDefault="002C38C9">
            <w:pPr>
              <w:spacing w:line="360" w:lineRule="auto"/>
              <w:rPr>
                <w:i/>
                <w:sz w:val="20"/>
                <w:szCs w:val="20"/>
              </w:rPr>
            </w:pPr>
            <w:r>
              <w:rPr>
                <w:i/>
                <w:sz w:val="20"/>
                <w:szCs w:val="20"/>
              </w:rPr>
              <w:t>Review of 31 studies</w:t>
            </w:r>
          </w:p>
        </w:tc>
        <w:tc>
          <w:tcPr>
            <w:tcW w:w="2693" w:type="dxa"/>
            <w:tcMar>
              <w:top w:w="100" w:type="dxa"/>
              <w:left w:w="100" w:type="dxa"/>
              <w:bottom w:w="100" w:type="dxa"/>
              <w:right w:w="100" w:type="dxa"/>
            </w:tcMar>
          </w:tcPr>
          <w:p w14:paraId="6EDF2259" w14:textId="77777777" w:rsidR="00744659" w:rsidRDefault="002C38C9">
            <w:pPr>
              <w:spacing w:line="360" w:lineRule="auto"/>
              <w:rPr>
                <w:sz w:val="20"/>
                <w:szCs w:val="20"/>
              </w:rPr>
            </w:pPr>
            <w:r>
              <w:rPr>
                <w:sz w:val="20"/>
                <w:szCs w:val="20"/>
              </w:rPr>
              <w:t>12587 adult patients</w:t>
            </w:r>
          </w:p>
        </w:tc>
        <w:tc>
          <w:tcPr>
            <w:tcW w:w="2126" w:type="dxa"/>
            <w:tcMar>
              <w:top w:w="100" w:type="dxa"/>
              <w:left w:w="100" w:type="dxa"/>
              <w:bottom w:w="100" w:type="dxa"/>
              <w:right w:w="100" w:type="dxa"/>
            </w:tcMar>
          </w:tcPr>
          <w:p w14:paraId="6EDF225A" w14:textId="77777777" w:rsidR="00744659" w:rsidRDefault="002C38C9">
            <w:pPr>
              <w:widowControl w:val="0"/>
              <w:spacing w:line="360" w:lineRule="auto"/>
              <w:rPr>
                <w:sz w:val="20"/>
                <w:szCs w:val="20"/>
              </w:rPr>
            </w:pPr>
            <w:r>
              <w:rPr>
                <w:sz w:val="20"/>
                <w:szCs w:val="20"/>
              </w:rPr>
              <w:t>- 5.6 mmol/L</w:t>
            </w:r>
          </w:p>
        </w:tc>
        <w:tc>
          <w:tcPr>
            <w:tcW w:w="2127" w:type="dxa"/>
            <w:tcMar>
              <w:top w:w="100" w:type="dxa"/>
              <w:left w:w="100" w:type="dxa"/>
              <w:bottom w:w="100" w:type="dxa"/>
              <w:right w:w="100" w:type="dxa"/>
            </w:tcMar>
          </w:tcPr>
          <w:p w14:paraId="6EDF225B" w14:textId="77777777" w:rsidR="00744659" w:rsidRDefault="002C38C9">
            <w:pPr>
              <w:widowControl w:val="0"/>
              <w:spacing w:line="360" w:lineRule="auto"/>
              <w:rPr>
                <w:sz w:val="20"/>
                <w:szCs w:val="20"/>
              </w:rPr>
            </w:pPr>
            <w:r>
              <w:rPr>
                <w:sz w:val="20"/>
                <w:szCs w:val="20"/>
              </w:rPr>
              <w:t>- 4.3 mmol/L</w:t>
            </w:r>
          </w:p>
        </w:tc>
        <w:tc>
          <w:tcPr>
            <w:tcW w:w="3118" w:type="dxa"/>
            <w:tcMar>
              <w:top w:w="100" w:type="dxa"/>
              <w:left w:w="100" w:type="dxa"/>
              <w:bottom w:w="100" w:type="dxa"/>
              <w:right w:w="100" w:type="dxa"/>
            </w:tcMar>
          </w:tcPr>
          <w:p w14:paraId="6EDF225C" w14:textId="77777777" w:rsidR="00744659" w:rsidRPr="00C53C14" w:rsidRDefault="002C38C9">
            <w:pPr>
              <w:spacing w:line="360" w:lineRule="auto"/>
              <w:rPr>
                <w:sz w:val="20"/>
                <w:szCs w:val="20"/>
                <w:lang w:val="en-US"/>
              </w:rPr>
            </w:pPr>
            <w:r w:rsidRPr="00C53C14">
              <w:rPr>
                <w:sz w:val="20"/>
                <w:szCs w:val="20"/>
                <w:lang w:val="en-US"/>
              </w:rPr>
              <w:t>- Mortality</w:t>
            </w:r>
          </w:p>
          <w:p w14:paraId="6EDF225D" w14:textId="77777777" w:rsidR="00744659" w:rsidRPr="00C53C14" w:rsidRDefault="002C38C9">
            <w:pPr>
              <w:spacing w:line="360" w:lineRule="auto"/>
              <w:rPr>
                <w:sz w:val="20"/>
                <w:szCs w:val="20"/>
                <w:lang w:val="en-US"/>
              </w:rPr>
            </w:pPr>
            <w:r w:rsidRPr="00C53C14">
              <w:rPr>
                <w:sz w:val="20"/>
                <w:szCs w:val="20"/>
                <w:lang w:val="en-US"/>
              </w:rPr>
              <w:t>- Morbidity</w:t>
            </w:r>
          </w:p>
          <w:p w14:paraId="6EDF225E" w14:textId="77777777" w:rsidR="00744659" w:rsidRPr="00C53C14" w:rsidRDefault="002C38C9">
            <w:pPr>
              <w:spacing w:line="360" w:lineRule="auto"/>
              <w:rPr>
                <w:sz w:val="20"/>
                <w:szCs w:val="20"/>
                <w:lang w:val="en-US"/>
              </w:rPr>
            </w:pPr>
            <w:r w:rsidRPr="00C53C14">
              <w:rPr>
                <w:sz w:val="20"/>
                <w:szCs w:val="20"/>
                <w:lang w:val="en-US"/>
              </w:rPr>
              <w:t>- Admission to hospital</w:t>
            </w:r>
          </w:p>
          <w:p w14:paraId="6EDF225F" w14:textId="77777777" w:rsidR="00744659" w:rsidRPr="00C53C14" w:rsidRDefault="002C38C9">
            <w:pPr>
              <w:spacing w:line="360" w:lineRule="auto"/>
              <w:rPr>
                <w:sz w:val="20"/>
                <w:szCs w:val="20"/>
                <w:lang w:val="en-US"/>
              </w:rPr>
            </w:pPr>
            <w:r w:rsidRPr="00C53C14">
              <w:rPr>
                <w:sz w:val="20"/>
                <w:szCs w:val="20"/>
                <w:lang w:val="en-US"/>
              </w:rPr>
              <w:t>- Quality of life</w:t>
            </w:r>
          </w:p>
        </w:tc>
      </w:tr>
      <w:tr w:rsidR="00744659" w:rsidRPr="00C53C14" w14:paraId="6EDF2269" w14:textId="77777777">
        <w:trPr>
          <w:trHeight w:val="306"/>
        </w:trPr>
        <w:tc>
          <w:tcPr>
            <w:tcW w:w="1559" w:type="dxa"/>
            <w:tcMar>
              <w:top w:w="100" w:type="dxa"/>
              <w:left w:w="100" w:type="dxa"/>
              <w:bottom w:w="100" w:type="dxa"/>
              <w:right w:w="100" w:type="dxa"/>
            </w:tcMar>
          </w:tcPr>
          <w:p w14:paraId="6EDF2261" w14:textId="77777777" w:rsidR="00744659" w:rsidRDefault="002C38C9">
            <w:pPr>
              <w:spacing w:line="360" w:lineRule="auto"/>
              <w:rPr>
                <w:i/>
                <w:sz w:val="20"/>
                <w:szCs w:val="20"/>
              </w:rPr>
            </w:pPr>
            <w:r>
              <w:rPr>
                <w:i/>
                <w:sz w:val="20"/>
                <w:szCs w:val="20"/>
              </w:rPr>
              <w:t>Hébert (1999)</w:t>
            </w:r>
          </w:p>
          <w:p w14:paraId="6EDF2262"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263" w14:textId="77777777" w:rsidR="00744659" w:rsidRPr="00C53C14" w:rsidRDefault="002C38C9">
            <w:pPr>
              <w:spacing w:line="360" w:lineRule="auto"/>
              <w:rPr>
                <w:sz w:val="20"/>
                <w:szCs w:val="20"/>
                <w:lang w:val="en-US"/>
              </w:rPr>
            </w:pPr>
            <w:r w:rsidRPr="00C53C14">
              <w:rPr>
                <w:sz w:val="20"/>
                <w:szCs w:val="20"/>
                <w:lang w:val="en-US"/>
              </w:rPr>
              <w:t>838 critically ill patients with euvolemia</w:t>
            </w:r>
          </w:p>
        </w:tc>
        <w:tc>
          <w:tcPr>
            <w:tcW w:w="2126" w:type="dxa"/>
            <w:tcMar>
              <w:top w:w="100" w:type="dxa"/>
              <w:left w:w="100" w:type="dxa"/>
              <w:bottom w:w="100" w:type="dxa"/>
              <w:right w:w="100" w:type="dxa"/>
            </w:tcMar>
          </w:tcPr>
          <w:p w14:paraId="6EDF2264" w14:textId="77777777" w:rsidR="00744659" w:rsidRDefault="002C38C9">
            <w:pPr>
              <w:widowControl w:val="0"/>
              <w:spacing w:line="360" w:lineRule="auto"/>
              <w:rPr>
                <w:sz w:val="20"/>
                <w:szCs w:val="20"/>
              </w:rPr>
            </w:pPr>
            <w:r>
              <w:rPr>
                <w:sz w:val="20"/>
                <w:szCs w:val="20"/>
              </w:rPr>
              <w:t>- 6.2 mmol/l</w:t>
            </w:r>
          </w:p>
        </w:tc>
        <w:tc>
          <w:tcPr>
            <w:tcW w:w="2127" w:type="dxa"/>
            <w:tcMar>
              <w:top w:w="100" w:type="dxa"/>
              <w:left w:w="100" w:type="dxa"/>
              <w:bottom w:w="100" w:type="dxa"/>
              <w:right w:w="100" w:type="dxa"/>
            </w:tcMar>
          </w:tcPr>
          <w:p w14:paraId="6EDF2265" w14:textId="77777777" w:rsidR="00744659" w:rsidRDefault="002C38C9">
            <w:pPr>
              <w:widowControl w:val="0"/>
              <w:spacing w:line="360" w:lineRule="auto"/>
              <w:rPr>
                <w:sz w:val="20"/>
                <w:szCs w:val="20"/>
              </w:rPr>
            </w:pPr>
            <w:r>
              <w:rPr>
                <w:sz w:val="20"/>
                <w:szCs w:val="20"/>
              </w:rPr>
              <w:t>- 4.3 mmol/L</w:t>
            </w:r>
          </w:p>
        </w:tc>
        <w:tc>
          <w:tcPr>
            <w:tcW w:w="3118" w:type="dxa"/>
            <w:tcMar>
              <w:top w:w="100" w:type="dxa"/>
              <w:left w:w="100" w:type="dxa"/>
              <w:bottom w:w="100" w:type="dxa"/>
              <w:right w:w="100" w:type="dxa"/>
            </w:tcMar>
          </w:tcPr>
          <w:p w14:paraId="6EDF2266" w14:textId="77777777" w:rsidR="00744659" w:rsidRPr="00C53C14" w:rsidRDefault="002C38C9">
            <w:pPr>
              <w:spacing w:line="360" w:lineRule="auto"/>
              <w:rPr>
                <w:sz w:val="20"/>
                <w:szCs w:val="20"/>
                <w:lang w:val="en-US"/>
              </w:rPr>
            </w:pPr>
            <w:r w:rsidRPr="00C53C14">
              <w:rPr>
                <w:sz w:val="20"/>
                <w:szCs w:val="20"/>
                <w:lang w:val="en-US"/>
              </w:rPr>
              <w:t>- Mortality</w:t>
            </w:r>
          </w:p>
          <w:p w14:paraId="6EDF2267" w14:textId="77777777" w:rsidR="00744659" w:rsidRPr="00C53C14" w:rsidRDefault="002C38C9">
            <w:pPr>
              <w:spacing w:line="360" w:lineRule="auto"/>
              <w:rPr>
                <w:sz w:val="20"/>
                <w:szCs w:val="20"/>
                <w:lang w:val="en-US"/>
              </w:rPr>
            </w:pPr>
            <w:r w:rsidRPr="00C53C14">
              <w:rPr>
                <w:sz w:val="20"/>
                <w:szCs w:val="20"/>
                <w:lang w:val="en-US"/>
              </w:rPr>
              <w:t>- Morbidity</w:t>
            </w:r>
          </w:p>
          <w:p w14:paraId="6EDF2268" w14:textId="77777777" w:rsidR="00744659" w:rsidRPr="00C53C14" w:rsidRDefault="002C38C9">
            <w:pPr>
              <w:spacing w:line="360" w:lineRule="auto"/>
              <w:rPr>
                <w:sz w:val="20"/>
                <w:szCs w:val="20"/>
                <w:lang w:val="en-US"/>
              </w:rPr>
            </w:pPr>
            <w:r w:rsidRPr="00C53C14">
              <w:rPr>
                <w:sz w:val="20"/>
                <w:szCs w:val="20"/>
                <w:lang w:val="en-US"/>
              </w:rPr>
              <w:t>- Admission to hospital</w:t>
            </w:r>
          </w:p>
        </w:tc>
      </w:tr>
      <w:tr w:rsidR="00744659" w14:paraId="6EDF2270" w14:textId="77777777">
        <w:trPr>
          <w:trHeight w:val="782"/>
        </w:trPr>
        <w:tc>
          <w:tcPr>
            <w:tcW w:w="1559" w:type="dxa"/>
            <w:tcMar>
              <w:top w:w="100" w:type="dxa"/>
              <w:left w:w="100" w:type="dxa"/>
              <w:bottom w:w="100" w:type="dxa"/>
              <w:right w:w="100" w:type="dxa"/>
            </w:tcMar>
          </w:tcPr>
          <w:p w14:paraId="6EDF226A" w14:textId="77777777" w:rsidR="00744659" w:rsidRDefault="002C38C9">
            <w:pPr>
              <w:spacing w:line="360" w:lineRule="auto"/>
              <w:rPr>
                <w:i/>
                <w:sz w:val="20"/>
                <w:szCs w:val="20"/>
              </w:rPr>
            </w:pPr>
            <w:r>
              <w:rPr>
                <w:i/>
                <w:sz w:val="20"/>
                <w:szCs w:val="20"/>
              </w:rPr>
              <w:t>Rohde (2014)</w:t>
            </w:r>
          </w:p>
          <w:p w14:paraId="6EDF226B" w14:textId="77777777" w:rsidR="00744659" w:rsidRDefault="002C38C9">
            <w:pPr>
              <w:spacing w:line="360" w:lineRule="auto"/>
              <w:rPr>
                <w:i/>
                <w:sz w:val="20"/>
                <w:szCs w:val="20"/>
              </w:rPr>
            </w:pPr>
            <w:r>
              <w:rPr>
                <w:i/>
                <w:sz w:val="20"/>
                <w:szCs w:val="20"/>
              </w:rPr>
              <w:t>Review of 17 studies</w:t>
            </w:r>
          </w:p>
        </w:tc>
        <w:tc>
          <w:tcPr>
            <w:tcW w:w="2693" w:type="dxa"/>
            <w:tcMar>
              <w:top w:w="100" w:type="dxa"/>
              <w:left w:w="100" w:type="dxa"/>
              <w:bottom w:w="100" w:type="dxa"/>
              <w:right w:w="100" w:type="dxa"/>
            </w:tcMar>
          </w:tcPr>
          <w:p w14:paraId="6EDF226C" w14:textId="77777777" w:rsidR="00744659" w:rsidRDefault="002C38C9">
            <w:pPr>
              <w:spacing w:line="360" w:lineRule="auto"/>
              <w:rPr>
                <w:sz w:val="20"/>
                <w:szCs w:val="20"/>
              </w:rPr>
            </w:pPr>
            <w:r>
              <w:rPr>
                <w:sz w:val="20"/>
                <w:szCs w:val="20"/>
              </w:rPr>
              <w:t>7456 adult patients</w:t>
            </w:r>
          </w:p>
        </w:tc>
        <w:tc>
          <w:tcPr>
            <w:tcW w:w="2126" w:type="dxa"/>
            <w:tcMar>
              <w:top w:w="100" w:type="dxa"/>
              <w:left w:w="100" w:type="dxa"/>
              <w:bottom w:w="100" w:type="dxa"/>
              <w:right w:w="100" w:type="dxa"/>
            </w:tcMar>
          </w:tcPr>
          <w:p w14:paraId="6EDF226D" w14:textId="77777777" w:rsidR="00744659" w:rsidRDefault="002C38C9">
            <w:pPr>
              <w:widowControl w:val="0"/>
              <w:spacing w:line="360" w:lineRule="auto"/>
              <w:rPr>
                <w:sz w:val="20"/>
                <w:szCs w:val="20"/>
              </w:rPr>
            </w:pPr>
            <w:r>
              <w:rPr>
                <w:sz w:val="20"/>
                <w:szCs w:val="20"/>
              </w:rPr>
              <w:t>- Between 5.6 and 8.4 mmol/L</w:t>
            </w:r>
          </w:p>
        </w:tc>
        <w:tc>
          <w:tcPr>
            <w:tcW w:w="2127" w:type="dxa"/>
            <w:tcMar>
              <w:top w:w="100" w:type="dxa"/>
              <w:left w:w="100" w:type="dxa"/>
              <w:bottom w:w="100" w:type="dxa"/>
              <w:right w:w="100" w:type="dxa"/>
            </w:tcMar>
          </w:tcPr>
          <w:p w14:paraId="6EDF226E" w14:textId="77777777" w:rsidR="00744659" w:rsidRDefault="002C38C9">
            <w:pPr>
              <w:widowControl w:val="0"/>
              <w:spacing w:line="360" w:lineRule="auto"/>
              <w:rPr>
                <w:sz w:val="20"/>
                <w:szCs w:val="20"/>
              </w:rPr>
            </w:pPr>
            <w:r>
              <w:rPr>
                <w:sz w:val="20"/>
                <w:szCs w:val="20"/>
              </w:rPr>
              <w:t>- Between 4.0 and 6.8 mmol/L</w:t>
            </w:r>
          </w:p>
        </w:tc>
        <w:tc>
          <w:tcPr>
            <w:tcW w:w="3118" w:type="dxa"/>
            <w:tcMar>
              <w:top w:w="100" w:type="dxa"/>
              <w:left w:w="100" w:type="dxa"/>
              <w:bottom w:w="100" w:type="dxa"/>
              <w:right w:w="100" w:type="dxa"/>
            </w:tcMar>
          </w:tcPr>
          <w:p w14:paraId="6EDF226F" w14:textId="77777777" w:rsidR="00744659" w:rsidRDefault="002C38C9">
            <w:pPr>
              <w:spacing w:line="360" w:lineRule="auto"/>
              <w:rPr>
                <w:sz w:val="20"/>
                <w:szCs w:val="20"/>
              </w:rPr>
            </w:pPr>
            <w:r>
              <w:rPr>
                <w:sz w:val="20"/>
                <w:szCs w:val="20"/>
              </w:rPr>
              <w:t>- Morbidity</w:t>
            </w:r>
          </w:p>
        </w:tc>
      </w:tr>
    </w:tbl>
    <w:p w14:paraId="6EDF2271" w14:textId="77777777" w:rsidR="00744659" w:rsidRDefault="00744659">
      <w:pPr>
        <w:spacing w:line="360" w:lineRule="auto"/>
        <w:rPr>
          <w:rFonts w:ascii="Calibri" w:eastAsia="Calibri" w:hAnsi="Calibri" w:cs="Calibri"/>
          <w:sz w:val="20"/>
          <w:szCs w:val="20"/>
        </w:rPr>
      </w:pPr>
    </w:p>
    <w:p w14:paraId="6EDF2272" w14:textId="77777777" w:rsidR="00744659" w:rsidRDefault="002C38C9">
      <w:pPr>
        <w:spacing w:line="360" w:lineRule="auto"/>
        <w:rPr>
          <w:rFonts w:ascii="Calibri" w:eastAsia="Calibri" w:hAnsi="Calibri" w:cs="Calibri"/>
          <w:sz w:val="20"/>
          <w:szCs w:val="20"/>
          <w:u w:val="single"/>
        </w:rPr>
      </w:pPr>
      <w:r>
        <w:rPr>
          <w:rFonts w:ascii="Calibri" w:eastAsia="Calibri" w:hAnsi="Calibri" w:cs="Calibri"/>
          <w:sz w:val="20"/>
          <w:szCs w:val="20"/>
          <w:u w:val="single"/>
        </w:rPr>
        <w:t>A2.4: Excluded studies</w:t>
      </w:r>
    </w:p>
    <w:tbl>
      <w:tblPr>
        <w:tblStyle w:val="a2"/>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10064"/>
      </w:tblGrid>
      <w:tr w:rsidR="00744659" w14:paraId="6EDF2274" w14:textId="77777777">
        <w:trPr>
          <w:trHeight w:val="71"/>
        </w:trPr>
        <w:tc>
          <w:tcPr>
            <w:tcW w:w="11623" w:type="dxa"/>
            <w:gridSpan w:val="2"/>
            <w:shd w:val="clear" w:color="auto" w:fill="000000"/>
            <w:tcMar>
              <w:top w:w="100" w:type="dxa"/>
              <w:left w:w="100" w:type="dxa"/>
              <w:bottom w:w="100" w:type="dxa"/>
              <w:right w:w="100" w:type="dxa"/>
            </w:tcMar>
          </w:tcPr>
          <w:p w14:paraId="6EDF2273" w14:textId="77777777" w:rsidR="00744659" w:rsidRDefault="002C38C9">
            <w:pPr>
              <w:spacing w:line="360" w:lineRule="auto"/>
              <w:rPr>
                <w:b/>
                <w:color w:val="FFFFFF"/>
                <w:sz w:val="20"/>
                <w:szCs w:val="20"/>
              </w:rPr>
            </w:pPr>
            <w:r>
              <w:rPr>
                <w:b/>
                <w:color w:val="FFFFFF"/>
                <w:sz w:val="20"/>
                <w:szCs w:val="20"/>
              </w:rPr>
              <w:t>Excluded studies</w:t>
            </w:r>
          </w:p>
        </w:tc>
      </w:tr>
      <w:tr w:rsidR="00744659" w14:paraId="6EDF2277" w14:textId="77777777">
        <w:trPr>
          <w:trHeight w:val="179"/>
        </w:trPr>
        <w:tc>
          <w:tcPr>
            <w:tcW w:w="1559" w:type="dxa"/>
            <w:shd w:val="clear" w:color="auto" w:fill="D9D9D9"/>
            <w:tcMar>
              <w:top w:w="100" w:type="dxa"/>
              <w:left w:w="100" w:type="dxa"/>
              <w:bottom w:w="100" w:type="dxa"/>
              <w:right w:w="100" w:type="dxa"/>
            </w:tcMar>
          </w:tcPr>
          <w:p w14:paraId="6EDF2275" w14:textId="77777777" w:rsidR="00744659" w:rsidRDefault="002C38C9">
            <w:pPr>
              <w:spacing w:line="360" w:lineRule="auto"/>
              <w:rPr>
                <w:b/>
                <w:sz w:val="20"/>
                <w:szCs w:val="20"/>
              </w:rPr>
            </w:pPr>
            <w:r>
              <w:rPr>
                <w:b/>
                <w:sz w:val="20"/>
                <w:szCs w:val="20"/>
              </w:rPr>
              <w:t>Study</w:t>
            </w:r>
          </w:p>
        </w:tc>
        <w:tc>
          <w:tcPr>
            <w:tcW w:w="10064" w:type="dxa"/>
            <w:shd w:val="clear" w:color="auto" w:fill="D9D9D9"/>
            <w:tcMar>
              <w:top w:w="100" w:type="dxa"/>
              <w:left w:w="100" w:type="dxa"/>
              <w:bottom w:w="100" w:type="dxa"/>
              <w:right w:w="100" w:type="dxa"/>
            </w:tcMar>
          </w:tcPr>
          <w:p w14:paraId="6EDF2276" w14:textId="77777777" w:rsidR="00744659" w:rsidRDefault="002C38C9">
            <w:pPr>
              <w:spacing w:line="360" w:lineRule="auto"/>
              <w:rPr>
                <w:b/>
                <w:sz w:val="20"/>
                <w:szCs w:val="20"/>
              </w:rPr>
            </w:pPr>
            <w:r>
              <w:rPr>
                <w:b/>
                <w:sz w:val="20"/>
                <w:szCs w:val="20"/>
              </w:rPr>
              <w:t xml:space="preserve">Reasons for exclusion </w:t>
            </w:r>
          </w:p>
        </w:tc>
      </w:tr>
      <w:tr w:rsidR="00744659" w:rsidRPr="00C53C14" w14:paraId="6EDF227A" w14:textId="77777777">
        <w:trPr>
          <w:trHeight w:val="458"/>
        </w:trPr>
        <w:tc>
          <w:tcPr>
            <w:tcW w:w="1559" w:type="dxa"/>
            <w:tcMar>
              <w:top w:w="100" w:type="dxa"/>
              <w:left w:w="100" w:type="dxa"/>
              <w:bottom w:w="100" w:type="dxa"/>
              <w:right w:w="100" w:type="dxa"/>
            </w:tcMar>
          </w:tcPr>
          <w:p w14:paraId="6EDF2278" w14:textId="77777777" w:rsidR="00744659" w:rsidRDefault="002C38C9">
            <w:pPr>
              <w:spacing w:line="360" w:lineRule="auto"/>
              <w:rPr>
                <w:i/>
                <w:sz w:val="20"/>
                <w:szCs w:val="20"/>
              </w:rPr>
            </w:pPr>
            <w:r>
              <w:rPr>
                <w:i/>
                <w:sz w:val="20"/>
                <w:szCs w:val="20"/>
              </w:rPr>
              <w:t>Lacroix (2012)</w:t>
            </w:r>
          </w:p>
        </w:tc>
        <w:tc>
          <w:tcPr>
            <w:tcW w:w="10064" w:type="dxa"/>
            <w:tcMar>
              <w:top w:w="100" w:type="dxa"/>
              <w:left w:w="100" w:type="dxa"/>
              <w:bottom w:w="100" w:type="dxa"/>
              <w:right w:w="100" w:type="dxa"/>
            </w:tcMar>
          </w:tcPr>
          <w:p w14:paraId="6EDF2279" w14:textId="77777777" w:rsidR="00744659" w:rsidRPr="00C53C14" w:rsidRDefault="002C38C9">
            <w:pPr>
              <w:spacing w:line="360" w:lineRule="auto"/>
              <w:rPr>
                <w:sz w:val="20"/>
                <w:szCs w:val="20"/>
                <w:lang w:val="en-US"/>
              </w:rPr>
            </w:pPr>
            <w:r w:rsidRPr="00C53C14">
              <w:rPr>
                <w:sz w:val="20"/>
                <w:szCs w:val="20"/>
                <w:lang w:val="en-US"/>
              </w:rPr>
              <w:t>This was a subanalysis and consisted of the same studydata as Lacroix (2007). However, the subanalyses are included in the section “Children with sepsis” and “Children with cancer and cardiac and/or pulmonary comorbidities”.</w:t>
            </w:r>
          </w:p>
        </w:tc>
      </w:tr>
      <w:tr w:rsidR="00744659" w:rsidRPr="00C53C14" w14:paraId="6EDF227D" w14:textId="77777777">
        <w:trPr>
          <w:trHeight w:val="458"/>
        </w:trPr>
        <w:tc>
          <w:tcPr>
            <w:tcW w:w="1559" w:type="dxa"/>
            <w:tcMar>
              <w:top w:w="100" w:type="dxa"/>
              <w:left w:w="100" w:type="dxa"/>
              <w:bottom w:w="100" w:type="dxa"/>
              <w:right w:w="100" w:type="dxa"/>
            </w:tcMar>
          </w:tcPr>
          <w:p w14:paraId="6EDF227B" w14:textId="77777777" w:rsidR="00744659" w:rsidRDefault="002C38C9">
            <w:pPr>
              <w:spacing w:line="360" w:lineRule="auto"/>
              <w:rPr>
                <w:i/>
                <w:sz w:val="20"/>
                <w:szCs w:val="20"/>
              </w:rPr>
            </w:pPr>
            <w:r>
              <w:rPr>
                <w:i/>
                <w:sz w:val="20"/>
                <w:szCs w:val="20"/>
              </w:rPr>
              <w:t>Olupot-Olupot (2014)</w:t>
            </w:r>
          </w:p>
        </w:tc>
        <w:tc>
          <w:tcPr>
            <w:tcW w:w="10064" w:type="dxa"/>
            <w:tcMar>
              <w:top w:w="100" w:type="dxa"/>
              <w:left w:w="100" w:type="dxa"/>
              <w:bottom w:w="100" w:type="dxa"/>
              <w:right w:w="100" w:type="dxa"/>
            </w:tcMar>
          </w:tcPr>
          <w:p w14:paraId="6EDF227C" w14:textId="77777777" w:rsidR="00744659" w:rsidRPr="00C53C14" w:rsidRDefault="002C38C9">
            <w:pPr>
              <w:spacing w:line="360" w:lineRule="auto"/>
              <w:rPr>
                <w:sz w:val="20"/>
                <w:szCs w:val="20"/>
                <w:lang w:val="en-US"/>
              </w:rPr>
            </w:pPr>
            <w:r w:rsidRPr="00C53C14">
              <w:rPr>
                <w:sz w:val="20"/>
                <w:szCs w:val="20"/>
                <w:lang w:val="en-US"/>
              </w:rPr>
              <w:t>Not the right comparison (RBC volume instead of RBC thresholds). However, included in the section “Low or high-volume transfusions in children with cancer”.</w:t>
            </w:r>
          </w:p>
        </w:tc>
      </w:tr>
      <w:tr w:rsidR="00744659" w:rsidRPr="00C53C14" w14:paraId="6EDF2280" w14:textId="77777777">
        <w:trPr>
          <w:trHeight w:val="458"/>
        </w:trPr>
        <w:tc>
          <w:tcPr>
            <w:tcW w:w="1559" w:type="dxa"/>
            <w:tcMar>
              <w:top w:w="100" w:type="dxa"/>
              <w:left w:w="100" w:type="dxa"/>
              <w:bottom w:w="100" w:type="dxa"/>
              <w:right w:w="100" w:type="dxa"/>
            </w:tcMar>
          </w:tcPr>
          <w:p w14:paraId="6EDF227E" w14:textId="77777777" w:rsidR="00744659" w:rsidRDefault="002C38C9">
            <w:pPr>
              <w:spacing w:line="360" w:lineRule="auto"/>
              <w:rPr>
                <w:i/>
                <w:sz w:val="20"/>
                <w:szCs w:val="20"/>
              </w:rPr>
            </w:pPr>
            <w:r>
              <w:rPr>
                <w:i/>
                <w:sz w:val="20"/>
                <w:szCs w:val="20"/>
              </w:rPr>
              <w:lastRenderedPageBreak/>
              <w:t>Cholette (2011)</w:t>
            </w:r>
          </w:p>
        </w:tc>
        <w:tc>
          <w:tcPr>
            <w:tcW w:w="10064" w:type="dxa"/>
            <w:tcMar>
              <w:top w:w="100" w:type="dxa"/>
              <w:left w:w="100" w:type="dxa"/>
              <w:bottom w:w="100" w:type="dxa"/>
              <w:right w:w="100" w:type="dxa"/>
            </w:tcMar>
          </w:tcPr>
          <w:p w14:paraId="6EDF227F" w14:textId="77777777" w:rsidR="00744659" w:rsidRPr="00C53C14" w:rsidRDefault="002C38C9">
            <w:pPr>
              <w:spacing w:line="360" w:lineRule="auto"/>
              <w:rPr>
                <w:sz w:val="20"/>
                <w:szCs w:val="20"/>
                <w:lang w:val="en-US"/>
              </w:rPr>
            </w:pPr>
            <w:r w:rsidRPr="00C53C14">
              <w:rPr>
                <w:sz w:val="20"/>
                <w:szCs w:val="20"/>
                <w:lang w:val="en-US"/>
              </w:rPr>
              <w:t>This study included children with cardiac comorbidities and thus was included in the section “Children with cancer and cardiac and/or pulmonary comorbidities”.</w:t>
            </w:r>
          </w:p>
        </w:tc>
      </w:tr>
      <w:tr w:rsidR="00744659" w14:paraId="6EDF2283" w14:textId="77777777">
        <w:trPr>
          <w:trHeight w:val="458"/>
        </w:trPr>
        <w:tc>
          <w:tcPr>
            <w:tcW w:w="1559" w:type="dxa"/>
            <w:tcMar>
              <w:top w:w="100" w:type="dxa"/>
              <w:left w:w="100" w:type="dxa"/>
              <w:bottom w:w="100" w:type="dxa"/>
              <w:right w:w="100" w:type="dxa"/>
            </w:tcMar>
          </w:tcPr>
          <w:p w14:paraId="6EDF2281" w14:textId="77777777" w:rsidR="00744659" w:rsidRDefault="002C38C9">
            <w:pPr>
              <w:spacing w:line="360" w:lineRule="auto"/>
              <w:rPr>
                <w:i/>
                <w:sz w:val="20"/>
                <w:szCs w:val="20"/>
              </w:rPr>
            </w:pPr>
            <w:r>
              <w:rPr>
                <w:i/>
                <w:sz w:val="20"/>
                <w:szCs w:val="20"/>
              </w:rPr>
              <w:t>Hébert &amp; Carson (2014)</w:t>
            </w:r>
          </w:p>
        </w:tc>
        <w:tc>
          <w:tcPr>
            <w:tcW w:w="10064" w:type="dxa"/>
            <w:tcMar>
              <w:top w:w="100" w:type="dxa"/>
              <w:left w:w="100" w:type="dxa"/>
              <w:bottom w:w="100" w:type="dxa"/>
              <w:right w:w="100" w:type="dxa"/>
            </w:tcMar>
          </w:tcPr>
          <w:p w14:paraId="6EDF2282" w14:textId="77777777" w:rsidR="00744659" w:rsidRDefault="002C38C9">
            <w:pPr>
              <w:spacing w:line="360" w:lineRule="auto"/>
              <w:rPr>
                <w:sz w:val="20"/>
                <w:szCs w:val="20"/>
              </w:rPr>
            </w:pPr>
            <w:r>
              <w:rPr>
                <w:sz w:val="20"/>
                <w:szCs w:val="20"/>
              </w:rPr>
              <w:t>This was an editorial.</w:t>
            </w:r>
          </w:p>
        </w:tc>
      </w:tr>
      <w:tr w:rsidR="00744659" w:rsidRPr="00C53C14" w14:paraId="6EDF2286" w14:textId="77777777">
        <w:trPr>
          <w:trHeight w:val="458"/>
        </w:trPr>
        <w:tc>
          <w:tcPr>
            <w:tcW w:w="1559" w:type="dxa"/>
            <w:tcMar>
              <w:top w:w="100" w:type="dxa"/>
              <w:left w:w="100" w:type="dxa"/>
              <w:bottom w:w="100" w:type="dxa"/>
              <w:right w:w="100" w:type="dxa"/>
            </w:tcMar>
          </w:tcPr>
          <w:p w14:paraId="6EDF2284" w14:textId="77777777" w:rsidR="00744659" w:rsidRDefault="002C38C9">
            <w:pPr>
              <w:spacing w:line="360" w:lineRule="auto"/>
              <w:rPr>
                <w:i/>
                <w:sz w:val="20"/>
                <w:szCs w:val="20"/>
              </w:rPr>
            </w:pPr>
            <w:r>
              <w:rPr>
                <w:i/>
                <w:sz w:val="20"/>
                <w:szCs w:val="20"/>
              </w:rPr>
              <w:t>Hajjar (2010)</w:t>
            </w:r>
          </w:p>
        </w:tc>
        <w:tc>
          <w:tcPr>
            <w:tcW w:w="10064" w:type="dxa"/>
            <w:tcMar>
              <w:top w:w="100" w:type="dxa"/>
              <w:left w:w="100" w:type="dxa"/>
              <w:bottom w:w="100" w:type="dxa"/>
              <w:right w:w="100" w:type="dxa"/>
            </w:tcMar>
          </w:tcPr>
          <w:p w14:paraId="6EDF2285" w14:textId="77777777" w:rsidR="00744659" w:rsidRPr="00C53C14" w:rsidRDefault="002C38C9">
            <w:pPr>
              <w:spacing w:line="360" w:lineRule="auto"/>
              <w:rPr>
                <w:sz w:val="20"/>
                <w:szCs w:val="20"/>
                <w:lang w:val="en-US"/>
              </w:rPr>
            </w:pPr>
            <w:r w:rsidRPr="00C53C14">
              <w:rPr>
                <w:sz w:val="20"/>
                <w:szCs w:val="20"/>
                <w:lang w:val="en-US"/>
              </w:rPr>
              <w:t>This study included adults with cardiac comorbidities and thus was included in the section “Children with cancer and cardiac and/or pulmonary comorbidities”.</w:t>
            </w:r>
          </w:p>
        </w:tc>
      </w:tr>
    </w:tbl>
    <w:p w14:paraId="6EDF2287" w14:textId="77777777" w:rsidR="00744659" w:rsidRPr="00C53C14" w:rsidRDefault="00744659">
      <w:pPr>
        <w:spacing w:line="360" w:lineRule="auto"/>
        <w:rPr>
          <w:rFonts w:ascii="Calibri" w:eastAsia="Calibri" w:hAnsi="Calibri" w:cs="Calibri"/>
          <w:b/>
          <w:sz w:val="20"/>
          <w:szCs w:val="20"/>
          <w:lang w:val="en-US"/>
        </w:rPr>
      </w:pPr>
    </w:p>
    <w:p w14:paraId="6EDF2288"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289"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B1.1: Hb of 1.2 mmol/L versus Hb greater than 1.2 mmol/L</w:t>
      </w:r>
    </w:p>
    <w:tbl>
      <w:tblPr>
        <w:tblStyle w:val="a3"/>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06"/>
        <w:gridCol w:w="2835"/>
        <w:gridCol w:w="2410"/>
      </w:tblGrid>
      <w:tr w:rsidR="00744659" w14:paraId="6EDF228D"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8" w:space="0" w:color="FFFFFF"/>
            </w:tcBorders>
          </w:tcPr>
          <w:p w14:paraId="6EDF228A" w14:textId="77777777" w:rsidR="00744659" w:rsidRDefault="002C38C9">
            <w:pPr>
              <w:spacing w:line="360" w:lineRule="auto"/>
              <w:rPr>
                <w:sz w:val="20"/>
                <w:szCs w:val="20"/>
              </w:rPr>
            </w:pPr>
            <w:r>
              <w:rPr>
                <w:sz w:val="20"/>
                <w:szCs w:val="20"/>
              </w:rPr>
              <w:t>Conclusion of evidence</w:t>
            </w:r>
          </w:p>
        </w:tc>
        <w:tc>
          <w:tcPr>
            <w:tcW w:w="2835" w:type="dxa"/>
            <w:tcBorders>
              <w:top w:val="single" w:sz="8" w:space="0" w:color="FFFFFF"/>
            </w:tcBorders>
          </w:tcPr>
          <w:p w14:paraId="6EDF228B"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28C"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28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8E"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293"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290" w14:textId="77777777" w:rsidR="00744659" w:rsidRDefault="002C38C9">
            <w:pPr>
              <w:spacing w:line="360" w:lineRule="auto"/>
              <w:rPr>
                <w:sz w:val="20"/>
                <w:szCs w:val="20"/>
              </w:rPr>
            </w:pPr>
            <w:r>
              <w:rPr>
                <w:b w:val="0"/>
                <w:sz w:val="20"/>
                <w:szCs w:val="20"/>
              </w:rPr>
              <w:t>No studies</w:t>
            </w:r>
          </w:p>
        </w:tc>
        <w:tc>
          <w:tcPr>
            <w:tcW w:w="2835" w:type="dxa"/>
            <w:shd w:val="clear" w:color="auto" w:fill="auto"/>
          </w:tcPr>
          <w:p w14:paraId="6EDF2291"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292"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295"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94"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299"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296" w14:textId="77777777" w:rsidR="00744659" w:rsidRDefault="002C38C9">
            <w:pPr>
              <w:spacing w:line="360" w:lineRule="auto"/>
              <w:rPr>
                <w:sz w:val="20"/>
                <w:szCs w:val="20"/>
              </w:rPr>
            </w:pPr>
            <w:r>
              <w:rPr>
                <w:b w:val="0"/>
                <w:sz w:val="20"/>
                <w:szCs w:val="20"/>
              </w:rPr>
              <w:t>No studies</w:t>
            </w:r>
          </w:p>
        </w:tc>
        <w:tc>
          <w:tcPr>
            <w:tcW w:w="2835" w:type="dxa"/>
            <w:shd w:val="clear" w:color="auto" w:fill="auto"/>
          </w:tcPr>
          <w:p w14:paraId="6EDF2297"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298"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29B"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9A"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29D"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29C" w14:textId="77777777" w:rsidR="00744659" w:rsidRDefault="002C38C9">
            <w:pPr>
              <w:spacing w:line="360" w:lineRule="auto"/>
              <w:rPr>
                <w:i/>
                <w:sz w:val="20"/>
                <w:szCs w:val="20"/>
              </w:rPr>
            </w:pPr>
            <w:r>
              <w:rPr>
                <w:b w:val="0"/>
                <w:sz w:val="20"/>
                <w:szCs w:val="20"/>
                <w:u w:val="single"/>
              </w:rPr>
              <w:t>Mortality</w:t>
            </w:r>
          </w:p>
        </w:tc>
      </w:tr>
      <w:tr w:rsidR="00744659" w14:paraId="6EDF22A2"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29E" w14:textId="77777777" w:rsidR="00744659" w:rsidRPr="00C53C14" w:rsidRDefault="002C38C9">
            <w:pPr>
              <w:spacing w:line="360" w:lineRule="auto"/>
              <w:rPr>
                <w:sz w:val="20"/>
                <w:szCs w:val="20"/>
                <w:lang w:val="en-US"/>
              </w:rPr>
            </w:pPr>
            <w:r w:rsidRPr="00C53C14">
              <w:rPr>
                <w:b w:val="0"/>
                <w:sz w:val="20"/>
                <w:szCs w:val="20"/>
                <w:lang w:val="en-US"/>
              </w:rPr>
              <w:t>Significantly higher mortality in the group with an Hb of 1.2 mmol/L vs. greater than 1.2 mmol/L.</w:t>
            </w:r>
          </w:p>
        </w:tc>
        <w:tc>
          <w:tcPr>
            <w:tcW w:w="2835" w:type="dxa"/>
            <w:shd w:val="clear" w:color="auto" w:fill="auto"/>
          </w:tcPr>
          <w:p w14:paraId="6EDF229F"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rPr>
            </w:pPr>
            <w:r>
              <w:rPr>
                <w:b/>
                <w:sz w:val="20"/>
                <w:szCs w:val="20"/>
                <w:u w:val="single"/>
              </w:rPr>
              <w:t>RR 6.64 (95% CI 4.76 - 9.27)</w:t>
            </w:r>
          </w:p>
          <w:p w14:paraId="6EDF22A0"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b/>
                <w:sz w:val="20"/>
                <w:szCs w:val="20"/>
              </w:rPr>
            </w:pPr>
          </w:p>
        </w:tc>
        <w:tc>
          <w:tcPr>
            <w:tcW w:w="2410" w:type="dxa"/>
            <w:shd w:val="clear" w:color="auto" w:fill="auto"/>
          </w:tcPr>
          <w:p w14:paraId="6EDF22A1"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 xml:space="preserve">Very low** </w:t>
            </w:r>
            <w:r>
              <w:rPr>
                <w:sz w:val="20"/>
                <w:szCs w:val="20"/>
              </w:rPr>
              <w:t>/</w:t>
            </w:r>
            <w:r>
              <w:rPr>
                <w:i/>
                <w:sz w:val="20"/>
                <w:szCs w:val="20"/>
              </w:rPr>
              <w:t xml:space="preserve"> </w:t>
            </w:r>
            <w:r>
              <w:rPr>
                <w:sz w:val="20"/>
                <w:szCs w:val="20"/>
              </w:rPr>
              <w:t>Carson 2002</w:t>
            </w:r>
          </w:p>
        </w:tc>
      </w:tr>
    </w:tbl>
    <w:p w14:paraId="6EDF22A3"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concerned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2A4" w14:textId="77777777" w:rsidR="00744659" w:rsidRPr="00C53C14" w:rsidRDefault="00744659">
      <w:pPr>
        <w:spacing w:line="360" w:lineRule="auto"/>
        <w:rPr>
          <w:rFonts w:ascii="Calibri" w:eastAsia="Calibri" w:hAnsi="Calibri" w:cs="Calibri"/>
          <w:sz w:val="20"/>
          <w:szCs w:val="20"/>
          <w:u w:val="single"/>
          <w:lang w:val="en-US"/>
        </w:rPr>
      </w:pPr>
    </w:p>
    <w:p w14:paraId="6EDF22A5"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B1.2: Hb of 1.9 mmol/L versus Hb greater than 1.9 mmol/L</w:t>
      </w:r>
    </w:p>
    <w:tbl>
      <w:tblPr>
        <w:tblStyle w:val="a4"/>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06"/>
        <w:gridCol w:w="2835"/>
        <w:gridCol w:w="2410"/>
      </w:tblGrid>
      <w:tr w:rsidR="00744659" w14:paraId="6EDF22A9"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8" w:space="0" w:color="FFFFFF"/>
            </w:tcBorders>
          </w:tcPr>
          <w:p w14:paraId="6EDF22A6" w14:textId="77777777" w:rsidR="00744659" w:rsidRDefault="002C38C9">
            <w:pPr>
              <w:spacing w:line="360" w:lineRule="auto"/>
              <w:rPr>
                <w:sz w:val="20"/>
                <w:szCs w:val="20"/>
              </w:rPr>
            </w:pPr>
            <w:r>
              <w:rPr>
                <w:sz w:val="20"/>
                <w:szCs w:val="20"/>
              </w:rPr>
              <w:t>Conclusion of evidence</w:t>
            </w:r>
          </w:p>
        </w:tc>
        <w:tc>
          <w:tcPr>
            <w:tcW w:w="2835" w:type="dxa"/>
            <w:tcBorders>
              <w:top w:val="single" w:sz="8" w:space="0" w:color="FFFFFF"/>
            </w:tcBorders>
          </w:tcPr>
          <w:p w14:paraId="6EDF22A7"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2A8"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2AB"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AA"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2AF"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2AC" w14:textId="77777777" w:rsidR="00744659" w:rsidRDefault="002C38C9">
            <w:pPr>
              <w:spacing w:line="360" w:lineRule="auto"/>
              <w:rPr>
                <w:sz w:val="20"/>
                <w:szCs w:val="20"/>
              </w:rPr>
            </w:pPr>
            <w:r>
              <w:rPr>
                <w:b w:val="0"/>
                <w:sz w:val="20"/>
                <w:szCs w:val="20"/>
              </w:rPr>
              <w:t>No studies</w:t>
            </w:r>
          </w:p>
        </w:tc>
        <w:tc>
          <w:tcPr>
            <w:tcW w:w="2835" w:type="dxa"/>
            <w:shd w:val="clear" w:color="auto" w:fill="auto"/>
          </w:tcPr>
          <w:p w14:paraId="6EDF22AD"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2AE"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2B1"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B0"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2B5"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2B2" w14:textId="77777777" w:rsidR="00744659" w:rsidRDefault="002C38C9">
            <w:pPr>
              <w:spacing w:line="360" w:lineRule="auto"/>
              <w:rPr>
                <w:sz w:val="20"/>
                <w:szCs w:val="20"/>
              </w:rPr>
            </w:pPr>
            <w:r>
              <w:rPr>
                <w:b w:val="0"/>
                <w:sz w:val="20"/>
                <w:szCs w:val="20"/>
              </w:rPr>
              <w:lastRenderedPageBreak/>
              <w:t>No studies</w:t>
            </w:r>
          </w:p>
        </w:tc>
        <w:tc>
          <w:tcPr>
            <w:tcW w:w="2835" w:type="dxa"/>
            <w:shd w:val="clear" w:color="auto" w:fill="auto"/>
          </w:tcPr>
          <w:p w14:paraId="6EDF22B3"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2B4"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2B7"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B6"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2B9"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2B8" w14:textId="77777777" w:rsidR="00744659" w:rsidRDefault="002C38C9">
            <w:pPr>
              <w:spacing w:line="360" w:lineRule="auto"/>
              <w:rPr>
                <w:sz w:val="20"/>
                <w:szCs w:val="20"/>
              </w:rPr>
            </w:pPr>
            <w:r>
              <w:rPr>
                <w:b w:val="0"/>
                <w:sz w:val="20"/>
                <w:szCs w:val="20"/>
                <w:u w:val="single"/>
              </w:rPr>
              <w:t>Mortality</w:t>
            </w:r>
          </w:p>
        </w:tc>
      </w:tr>
      <w:tr w:rsidR="00744659" w:rsidRPr="00C53C14" w14:paraId="6EDF22C1" w14:textId="77777777" w:rsidTr="00744659">
        <w:trPr>
          <w:cnfStyle w:val="000000100000" w:firstRow="0" w:lastRow="0" w:firstColumn="0" w:lastColumn="0" w:oddVBand="0" w:evenVBand="0" w:oddHBand="1" w:evenHBand="0" w:firstRowFirstColumn="0" w:firstRowLastColumn="0" w:lastRowFirstColumn="0" w:lastRowLastColumn="0"/>
          <w:trHeight w:val="1109"/>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2BA" w14:textId="77777777" w:rsidR="00744659" w:rsidRPr="00C53C14" w:rsidRDefault="002C38C9">
            <w:pPr>
              <w:spacing w:line="360" w:lineRule="auto"/>
              <w:rPr>
                <w:sz w:val="20"/>
                <w:szCs w:val="20"/>
                <w:lang w:val="en-US"/>
              </w:rPr>
            </w:pPr>
            <w:r w:rsidRPr="00C53C14">
              <w:rPr>
                <w:b w:val="0"/>
                <w:sz w:val="20"/>
                <w:szCs w:val="20"/>
                <w:lang w:val="en-US"/>
              </w:rPr>
              <w:t>Significantly higher mortality in the group with an Hb of 1.9 mmol/L vs. greater than 1.9 mmol/L.</w:t>
            </w:r>
          </w:p>
        </w:tc>
        <w:tc>
          <w:tcPr>
            <w:tcW w:w="2835" w:type="dxa"/>
            <w:shd w:val="clear" w:color="auto" w:fill="auto"/>
          </w:tcPr>
          <w:p w14:paraId="6EDF22BB"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lang w:val="fr-FR"/>
              </w:rPr>
            </w:pPr>
            <w:r w:rsidRPr="00C53C14">
              <w:rPr>
                <w:b/>
                <w:sz w:val="20"/>
                <w:szCs w:val="20"/>
                <w:u w:val="single"/>
                <w:lang w:val="fr-FR"/>
              </w:rPr>
              <w:t>RR 5.20 (95% CI 3.13 - 8.65)</w:t>
            </w:r>
          </w:p>
          <w:p w14:paraId="6EDF22BC"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lang w:val="fr-FR"/>
              </w:rPr>
            </w:pPr>
            <w:r w:rsidRPr="00C53C14">
              <w:rPr>
                <w:b/>
                <w:sz w:val="20"/>
                <w:szCs w:val="20"/>
                <w:u w:val="single"/>
                <w:lang w:val="fr-FR"/>
              </w:rPr>
              <w:t>RR 6.83 (95% CI 2.78 - 16.81)</w:t>
            </w:r>
          </w:p>
          <w:p w14:paraId="6EDF22BD"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fr-FR"/>
              </w:rPr>
            </w:pPr>
          </w:p>
          <w:p w14:paraId="6EDF22BE"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fr-FR"/>
              </w:rPr>
            </w:pPr>
            <w:r w:rsidRPr="00C53C14">
              <w:rPr>
                <w:i/>
                <w:sz w:val="20"/>
                <w:szCs w:val="20"/>
                <w:lang w:val="fr-FR"/>
              </w:rPr>
              <w:t xml:space="preserve">Pooled effect: </w:t>
            </w:r>
            <w:r w:rsidRPr="00C53C14">
              <w:rPr>
                <w:b/>
                <w:sz w:val="20"/>
                <w:szCs w:val="20"/>
                <w:u w:val="single"/>
                <w:lang w:val="fr-FR"/>
              </w:rPr>
              <w:t>RR 5.46 (95% CI 3.49 - 8.54)</w:t>
            </w:r>
          </w:p>
        </w:tc>
        <w:tc>
          <w:tcPr>
            <w:tcW w:w="2410" w:type="dxa"/>
            <w:shd w:val="clear" w:color="auto" w:fill="auto"/>
          </w:tcPr>
          <w:p w14:paraId="6EDF22BF"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Carson 2002</w:t>
            </w:r>
          </w:p>
          <w:p w14:paraId="6EDF22C0"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Shander 2014</w:t>
            </w:r>
          </w:p>
        </w:tc>
      </w:tr>
    </w:tbl>
    <w:p w14:paraId="6EDF22C2"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2C3" w14:textId="77777777" w:rsidR="00744659" w:rsidRPr="00C53C14" w:rsidRDefault="00744659">
      <w:pPr>
        <w:spacing w:line="360" w:lineRule="auto"/>
        <w:rPr>
          <w:rFonts w:ascii="Calibri" w:eastAsia="Calibri" w:hAnsi="Calibri" w:cs="Calibri"/>
          <w:b/>
          <w:sz w:val="20"/>
          <w:szCs w:val="20"/>
          <w:u w:val="single"/>
          <w:lang w:val="en-US"/>
        </w:rPr>
      </w:pPr>
    </w:p>
    <w:p w14:paraId="6EDF22C4"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B1.3: Hb of 2.5 mmol/L versus Hb greater than 2.5 mmol/L</w:t>
      </w:r>
    </w:p>
    <w:tbl>
      <w:tblPr>
        <w:tblStyle w:val="a5"/>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06"/>
        <w:gridCol w:w="2835"/>
        <w:gridCol w:w="2410"/>
      </w:tblGrid>
      <w:tr w:rsidR="00744659" w14:paraId="6EDF22C8"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8" w:space="0" w:color="FFFFFF"/>
            </w:tcBorders>
          </w:tcPr>
          <w:p w14:paraId="6EDF22C5" w14:textId="77777777" w:rsidR="00744659" w:rsidRDefault="002C38C9">
            <w:pPr>
              <w:spacing w:line="360" w:lineRule="auto"/>
              <w:rPr>
                <w:sz w:val="20"/>
                <w:szCs w:val="20"/>
              </w:rPr>
            </w:pPr>
            <w:r>
              <w:rPr>
                <w:sz w:val="20"/>
                <w:szCs w:val="20"/>
              </w:rPr>
              <w:t>Conclusion of evidence</w:t>
            </w:r>
          </w:p>
        </w:tc>
        <w:tc>
          <w:tcPr>
            <w:tcW w:w="2835" w:type="dxa"/>
            <w:tcBorders>
              <w:top w:val="single" w:sz="8" w:space="0" w:color="FFFFFF"/>
            </w:tcBorders>
          </w:tcPr>
          <w:p w14:paraId="6EDF22C6"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2C7"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2C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C9"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2CE"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2CB" w14:textId="77777777" w:rsidR="00744659" w:rsidRDefault="002C38C9">
            <w:pPr>
              <w:spacing w:line="360" w:lineRule="auto"/>
              <w:rPr>
                <w:sz w:val="20"/>
                <w:szCs w:val="20"/>
              </w:rPr>
            </w:pPr>
            <w:r>
              <w:rPr>
                <w:b w:val="0"/>
                <w:sz w:val="20"/>
                <w:szCs w:val="20"/>
              </w:rPr>
              <w:t>No studies</w:t>
            </w:r>
          </w:p>
        </w:tc>
        <w:tc>
          <w:tcPr>
            <w:tcW w:w="2835" w:type="dxa"/>
            <w:shd w:val="clear" w:color="auto" w:fill="auto"/>
          </w:tcPr>
          <w:p w14:paraId="6EDF22CC"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2CD"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2D0"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CF"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2D2" w14:textId="77777777" w:rsidTr="00744659">
        <w:trPr>
          <w:trHeight w:val="18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2D1" w14:textId="77777777" w:rsidR="00744659" w:rsidRDefault="002C38C9">
            <w:pPr>
              <w:spacing w:line="360" w:lineRule="auto"/>
              <w:rPr>
                <w:i/>
                <w:sz w:val="20"/>
                <w:szCs w:val="20"/>
              </w:rPr>
            </w:pPr>
            <w:r>
              <w:rPr>
                <w:b w:val="0"/>
                <w:sz w:val="20"/>
                <w:szCs w:val="20"/>
                <w:u w:val="single"/>
              </w:rPr>
              <w:t>Mortality</w:t>
            </w:r>
          </w:p>
        </w:tc>
      </w:tr>
      <w:tr w:rsidR="00744659" w14:paraId="6EDF22D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2D3" w14:textId="77777777" w:rsidR="00744659" w:rsidRPr="00C53C14" w:rsidRDefault="002C38C9">
            <w:pPr>
              <w:spacing w:line="360" w:lineRule="auto"/>
              <w:rPr>
                <w:sz w:val="20"/>
                <w:szCs w:val="20"/>
                <w:lang w:val="en-US"/>
              </w:rPr>
            </w:pPr>
            <w:r w:rsidRPr="00C53C14">
              <w:rPr>
                <w:b w:val="0"/>
                <w:sz w:val="20"/>
                <w:szCs w:val="20"/>
                <w:lang w:val="en-US"/>
              </w:rPr>
              <w:t>Significantly higher mortality in the group with an Hb of 2.5 mmol/L vs. greater than 2.5 mmol/L in 2 studies, however 1 study reported no significant difference.</w:t>
            </w:r>
          </w:p>
        </w:tc>
        <w:tc>
          <w:tcPr>
            <w:tcW w:w="2835" w:type="dxa"/>
            <w:shd w:val="clear" w:color="auto" w:fill="auto"/>
          </w:tcPr>
          <w:p w14:paraId="6EDF22D4"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lang w:val="fr-FR"/>
              </w:rPr>
            </w:pPr>
            <w:r w:rsidRPr="00C53C14">
              <w:rPr>
                <w:b/>
                <w:sz w:val="20"/>
                <w:szCs w:val="20"/>
                <w:u w:val="single"/>
                <w:lang w:val="fr-FR"/>
              </w:rPr>
              <w:t>RR 2.08 (95% CI 1.25 - 3.46)</w:t>
            </w:r>
          </w:p>
          <w:p w14:paraId="6EDF22D5"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C53C14">
              <w:rPr>
                <w:sz w:val="20"/>
                <w:szCs w:val="20"/>
                <w:lang w:val="fr-FR"/>
              </w:rPr>
              <w:t>RR 1.12 (95% CI 0.32 - 3.94)</w:t>
            </w:r>
          </w:p>
          <w:p w14:paraId="6EDF22D6"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u w:val="single"/>
                <w:lang w:val="fr-FR"/>
              </w:rPr>
            </w:pPr>
            <w:r w:rsidRPr="00C53C14">
              <w:rPr>
                <w:b/>
                <w:sz w:val="20"/>
                <w:szCs w:val="20"/>
                <w:u w:val="single"/>
                <w:lang w:val="fr-FR"/>
              </w:rPr>
              <w:t>RR 2.51 (95% CI 1.66 - 3.79)</w:t>
            </w:r>
            <w:r w:rsidRPr="00C53C14">
              <w:rPr>
                <w:sz w:val="20"/>
                <w:szCs w:val="20"/>
                <w:u w:val="single"/>
                <w:lang w:val="fr-FR"/>
              </w:rPr>
              <w:t>*</w:t>
            </w:r>
          </w:p>
        </w:tc>
        <w:tc>
          <w:tcPr>
            <w:tcW w:w="2410" w:type="dxa"/>
            <w:shd w:val="clear" w:color="auto" w:fill="auto"/>
          </w:tcPr>
          <w:p w14:paraId="6EDF22D7"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English 2002</w:t>
            </w:r>
          </w:p>
          <w:p w14:paraId="6EDF22D8"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Akech 2008</w:t>
            </w:r>
          </w:p>
          <w:p w14:paraId="6EDF22D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Very low** </w:t>
            </w:r>
            <w:r>
              <w:rPr>
                <w:sz w:val="20"/>
                <w:szCs w:val="20"/>
              </w:rPr>
              <w:t>/</w:t>
            </w:r>
            <w:r>
              <w:rPr>
                <w:i/>
                <w:sz w:val="20"/>
                <w:szCs w:val="20"/>
              </w:rPr>
              <w:t xml:space="preserve"> </w:t>
            </w:r>
            <w:r>
              <w:rPr>
                <w:sz w:val="20"/>
                <w:szCs w:val="20"/>
              </w:rPr>
              <w:t>Lackritz 1992</w:t>
            </w:r>
          </w:p>
        </w:tc>
      </w:tr>
      <w:tr w:rsidR="00744659" w:rsidRPr="00C53C14" w14:paraId="6EDF22DC"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DB"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2D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2DD" w14:textId="77777777" w:rsidR="00744659" w:rsidRDefault="002C38C9">
            <w:pPr>
              <w:spacing w:line="360" w:lineRule="auto"/>
              <w:rPr>
                <w:sz w:val="20"/>
                <w:szCs w:val="20"/>
                <w:u w:val="single"/>
              </w:rPr>
            </w:pPr>
            <w:r>
              <w:rPr>
                <w:b w:val="0"/>
                <w:sz w:val="20"/>
                <w:szCs w:val="20"/>
                <w:u w:val="single"/>
              </w:rPr>
              <w:t>Mortality</w:t>
            </w:r>
          </w:p>
        </w:tc>
      </w:tr>
      <w:tr w:rsidR="00744659" w:rsidRPr="00C53C14" w14:paraId="6EDF22E7"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2DF" w14:textId="77777777" w:rsidR="00744659" w:rsidRPr="00C53C14" w:rsidRDefault="002C38C9">
            <w:pPr>
              <w:spacing w:line="360" w:lineRule="auto"/>
              <w:rPr>
                <w:sz w:val="20"/>
                <w:szCs w:val="20"/>
                <w:lang w:val="en-US"/>
              </w:rPr>
            </w:pPr>
            <w:r w:rsidRPr="00C53C14">
              <w:rPr>
                <w:b w:val="0"/>
                <w:sz w:val="20"/>
                <w:szCs w:val="20"/>
                <w:lang w:val="en-US"/>
              </w:rPr>
              <w:t xml:space="preserve">Significantly higher mortality in the group with an Hb of 2.5 mmol/L vs. greater than 2.5 mmol/L in 1 study, however 1 study reported no significant difference. The pooled effect showed a significantly higher mortality in the </w:t>
            </w:r>
            <w:r w:rsidRPr="00C53C14">
              <w:rPr>
                <w:b w:val="0"/>
                <w:sz w:val="20"/>
                <w:szCs w:val="20"/>
                <w:lang w:val="en-US"/>
              </w:rPr>
              <w:lastRenderedPageBreak/>
              <w:t>group with an Hb of 2.5 mmol/L vs. greater than 2.5 mmol/L.</w:t>
            </w:r>
          </w:p>
        </w:tc>
        <w:tc>
          <w:tcPr>
            <w:tcW w:w="2835" w:type="dxa"/>
            <w:shd w:val="clear" w:color="auto" w:fill="auto"/>
          </w:tcPr>
          <w:p w14:paraId="6EDF22E0" w14:textId="77777777" w:rsidR="00744659" w:rsidRPr="00C53C14" w:rsidRDefault="002C38C9">
            <w:pPr>
              <w:spacing w:line="360" w:lineRule="auto"/>
              <w:cnfStyle w:val="000000000000" w:firstRow="0" w:lastRow="0" w:firstColumn="0" w:lastColumn="0" w:oddVBand="0" w:evenVBand="0" w:oddHBand="0" w:evenHBand="0" w:firstRowFirstColumn="0" w:firstRowLastColumn="0" w:lastRowFirstColumn="0" w:lastRowLastColumn="0"/>
              <w:rPr>
                <w:b/>
                <w:sz w:val="20"/>
                <w:szCs w:val="20"/>
                <w:u w:val="single"/>
                <w:lang w:val="fr-FR"/>
              </w:rPr>
            </w:pPr>
            <w:r w:rsidRPr="00C53C14">
              <w:rPr>
                <w:b/>
                <w:sz w:val="20"/>
                <w:szCs w:val="20"/>
                <w:u w:val="single"/>
                <w:lang w:val="fr-FR"/>
              </w:rPr>
              <w:lastRenderedPageBreak/>
              <w:t>RR 2.87 (95% CI 1.34 - 6.14)</w:t>
            </w:r>
          </w:p>
          <w:p w14:paraId="6EDF22E1" w14:textId="77777777" w:rsidR="00744659" w:rsidRPr="00C53C14"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fr-FR"/>
              </w:rPr>
            </w:pPr>
            <w:r w:rsidRPr="00C53C14">
              <w:rPr>
                <w:sz w:val="20"/>
                <w:szCs w:val="20"/>
                <w:lang w:val="fr-FR"/>
              </w:rPr>
              <w:t>RR 2.82 (95% CI 0.93 - 8.59)</w:t>
            </w:r>
          </w:p>
          <w:p w14:paraId="6EDF22E2" w14:textId="77777777" w:rsidR="00744659" w:rsidRPr="00C53C14" w:rsidRDefault="00744659">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fr-FR"/>
              </w:rPr>
            </w:pPr>
          </w:p>
          <w:p w14:paraId="6EDF22E3" w14:textId="77777777" w:rsidR="00744659" w:rsidRPr="00C53C14" w:rsidRDefault="002C38C9">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fr-FR"/>
              </w:rPr>
            </w:pPr>
            <w:r w:rsidRPr="00C53C14">
              <w:rPr>
                <w:i/>
                <w:sz w:val="20"/>
                <w:szCs w:val="20"/>
                <w:lang w:val="fr-FR"/>
              </w:rPr>
              <w:t xml:space="preserve">Pooled effect: </w:t>
            </w:r>
            <w:r w:rsidRPr="00C53C14">
              <w:rPr>
                <w:b/>
                <w:sz w:val="20"/>
                <w:szCs w:val="20"/>
                <w:u w:val="single"/>
                <w:lang w:val="fr-FR"/>
              </w:rPr>
              <w:t>RR 2.85 (95% CI 1.52 - 5.35)</w:t>
            </w:r>
          </w:p>
        </w:tc>
        <w:tc>
          <w:tcPr>
            <w:tcW w:w="2410" w:type="dxa"/>
            <w:shd w:val="clear" w:color="auto" w:fill="auto"/>
          </w:tcPr>
          <w:p w14:paraId="6EDF22E4" w14:textId="77777777" w:rsidR="00744659" w:rsidRPr="00C53C14"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Carson 2002</w:t>
            </w:r>
          </w:p>
          <w:p w14:paraId="6EDF22E5" w14:textId="77777777" w:rsidR="00744659" w:rsidRPr="00C53C14"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Shander 2014</w:t>
            </w:r>
          </w:p>
          <w:p w14:paraId="6EDF22E6" w14:textId="77777777" w:rsidR="00744659" w:rsidRPr="00C53C14" w:rsidRDefault="00744659">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tc>
      </w:tr>
    </w:tbl>
    <w:p w14:paraId="6EDF22E8"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Results could not be pooled due to different study populations or outcome measures. </w:t>
      </w:r>
    </w:p>
    <w:p w14:paraId="6EDF22E9"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2EA" w14:textId="77777777" w:rsidR="00744659" w:rsidRPr="00C53C14" w:rsidRDefault="00744659">
      <w:pPr>
        <w:spacing w:line="360" w:lineRule="auto"/>
        <w:rPr>
          <w:rFonts w:ascii="Calibri" w:eastAsia="Calibri" w:hAnsi="Calibri" w:cs="Calibri"/>
          <w:sz w:val="20"/>
          <w:szCs w:val="20"/>
          <w:u w:val="single"/>
          <w:lang w:val="en-US"/>
        </w:rPr>
      </w:pPr>
    </w:p>
    <w:p w14:paraId="6EDF22EB"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B1.4: Hb of 3.1 mmol/L versus Hb greater than 3.1 mmol/L</w:t>
      </w:r>
    </w:p>
    <w:tbl>
      <w:tblPr>
        <w:tblStyle w:val="a6"/>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06"/>
        <w:gridCol w:w="2835"/>
        <w:gridCol w:w="2410"/>
      </w:tblGrid>
      <w:tr w:rsidR="00744659" w14:paraId="6EDF22EF"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8" w:space="0" w:color="FFFFFF"/>
            </w:tcBorders>
          </w:tcPr>
          <w:p w14:paraId="6EDF22EC" w14:textId="77777777" w:rsidR="00744659" w:rsidRDefault="002C38C9">
            <w:pPr>
              <w:spacing w:line="360" w:lineRule="auto"/>
              <w:rPr>
                <w:sz w:val="20"/>
                <w:szCs w:val="20"/>
              </w:rPr>
            </w:pPr>
            <w:r>
              <w:rPr>
                <w:sz w:val="20"/>
                <w:szCs w:val="20"/>
              </w:rPr>
              <w:t>Conclusion of evidence</w:t>
            </w:r>
          </w:p>
        </w:tc>
        <w:tc>
          <w:tcPr>
            <w:tcW w:w="2835" w:type="dxa"/>
            <w:tcBorders>
              <w:top w:val="single" w:sz="8" w:space="0" w:color="FFFFFF"/>
            </w:tcBorders>
          </w:tcPr>
          <w:p w14:paraId="6EDF22ED"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2EE"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2F1"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F0"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2F5"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2F2" w14:textId="77777777" w:rsidR="00744659" w:rsidRDefault="002C38C9">
            <w:pPr>
              <w:spacing w:line="360" w:lineRule="auto"/>
              <w:rPr>
                <w:sz w:val="20"/>
                <w:szCs w:val="20"/>
              </w:rPr>
            </w:pPr>
            <w:r>
              <w:rPr>
                <w:b w:val="0"/>
                <w:sz w:val="20"/>
                <w:szCs w:val="20"/>
              </w:rPr>
              <w:t>No studies</w:t>
            </w:r>
          </w:p>
        </w:tc>
        <w:tc>
          <w:tcPr>
            <w:tcW w:w="2835" w:type="dxa"/>
            <w:shd w:val="clear" w:color="auto" w:fill="auto"/>
          </w:tcPr>
          <w:p w14:paraId="6EDF22F3"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2F4"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2F7"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F6"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2F9"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2F8" w14:textId="77777777" w:rsidR="00744659" w:rsidRDefault="002C38C9">
            <w:pPr>
              <w:spacing w:line="360" w:lineRule="auto"/>
              <w:rPr>
                <w:sz w:val="20"/>
                <w:szCs w:val="20"/>
              </w:rPr>
            </w:pPr>
            <w:r>
              <w:rPr>
                <w:b w:val="0"/>
                <w:sz w:val="20"/>
                <w:szCs w:val="20"/>
                <w:u w:val="single"/>
              </w:rPr>
              <w:t>Mortality</w:t>
            </w:r>
          </w:p>
        </w:tc>
      </w:tr>
      <w:tr w:rsidR="00744659" w14:paraId="6EDF22FD"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2FA" w14:textId="77777777" w:rsidR="00744659" w:rsidRPr="00C53C14" w:rsidRDefault="002C38C9">
            <w:pPr>
              <w:spacing w:line="360" w:lineRule="auto"/>
              <w:rPr>
                <w:sz w:val="20"/>
                <w:szCs w:val="20"/>
                <w:lang w:val="en-US"/>
              </w:rPr>
            </w:pPr>
            <w:r w:rsidRPr="00C53C14">
              <w:rPr>
                <w:b w:val="0"/>
                <w:sz w:val="20"/>
                <w:szCs w:val="20"/>
                <w:lang w:val="en-US"/>
              </w:rPr>
              <w:t xml:space="preserve">Significantly higher mortality in the group with an Hb of 3.1 mmol/L vs. greater than 3.1 mmol/L. </w:t>
            </w:r>
          </w:p>
        </w:tc>
        <w:tc>
          <w:tcPr>
            <w:tcW w:w="2835" w:type="dxa"/>
            <w:shd w:val="clear" w:color="auto" w:fill="auto"/>
          </w:tcPr>
          <w:p w14:paraId="6EDF22FB"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u w:val="single"/>
              </w:rPr>
            </w:pPr>
            <w:r>
              <w:rPr>
                <w:b/>
                <w:sz w:val="20"/>
                <w:szCs w:val="20"/>
                <w:u w:val="single"/>
              </w:rPr>
              <w:t>RR 1.93 (95% CI 1.36 - 2.74)</w:t>
            </w:r>
          </w:p>
        </w:tc>
        <w:tc>
          <w:tcPr>
            <w:tcW w:w="2410" w:type="dxa"/>
            <w:shd w:val="clear" w:color="auto" w:fill="auto"/>
          </w:tcPr>
          <w:p w14:paraId="6EDF22FC"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Very low** </w:t>
            </w:r>
            <w:r>
              <w:rPr>
                <w:sz w:val="20"/>
                <w:szCs w:val="20"/>
              </w:rPr>
              <w:t>/</w:t>
            </w:r>
            <w:r>
              <w:rPr>
                <w:i/>
                <w:sz w:val="20"/>
                <w:szCs w:val="20"/>
              </w:rPr>
              <w:t xml:space="preserve"> </w:t>
            </w:r>
            <w:r>
              <w:rPr>
                <w:sz w:val="20"/>
                <w:szCs w:val="20"/>
              </w:rPr>
              <w:t xml:space="preserve">Lackritz 1997 </w:t>
            </w:r>
          </w:p>
        </w:tc>
      </w:tr>
      <w:tr w:rsidR="00744659" w:rsidRPr="00C53C14" w14:paraId="6EDF22FF"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2FE"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301"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00" w14:textId="77777777" w:rsidR="00744659" w:rsidRDefault="002C38C9">
            <w:pPr>
              <w:spacing w:line="360" w:lineRule="auto"/>
              <w:rPr>
                <w:sz w:val="20"/>
                <w:szCs w:val="20"/>
              </w:rPr>
            </w:pPr>
            <w:r>
              <w:rPr>
                <w:b w:val="0"/>
                <w:sz w:val="20"/>
                <w:szCs w:val="20"/>
                <w:u w:val="single"/>
              </w:rPr>
              <w:t>Mortality</w:t>
            </w:r>
          </w:p>
        </w:tc>
      </w:tr>
      <w:tr w:rsidR="00744659" w14:paraId="6EDF2310"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02" w14:textId="77777777" w:rsidR="00744659" w:rsidRPr="00C53C14" w:rsidRDefault="002C38C9">
            <w:pPr>
              <w:spacing w:line="360" w:lineRule="auto"/>
              <w:rPr>
                <w:sz w:val="20"/>
                <w:szCs w:val="20"/>
                <w:lang w:val="en-US"/>
              </w:rPr>
            </w:pPr>
            <w:r w:rsidRPr="00C53C14">
              <w:rPr>
                <w:b w:val="0"/>
                <w:sz w:val="20"/>
                <w:szCs w:val="20"/>
                <w:lang w:val="en-US"/>
              </w:rPr>
              <w:t>Significantly higher mortality in the group with an Hb of 3.1 mmol/L vs. greater than 3.1 mmol/L.</w:t>
            </w:r>
          </w:p>
        </w:tc>
        <w:tc>
          <w:tcPr>
            <w:tcW w:w="2835" w:type="dxa"/>
            <w:shd w:val="clear" w:color="auto" w:fill="auto"/>
          </w:tcPr>
          <w:p w14:paraId="6EDF2303" w14:textId="77777777" w:rsidR="00744659" w:rsidRPr="00C53C14" w:rsidRDefault="002C38C9">
            <w:pPr>
              <w:spacing w:line="360" w:lineRule="auto"/>
              <w:cnfStyle w:val="000000000000" w:firstRow="0" w:lastRow="0" w:firstColumn="0" w:lastColumn="0" w:oddVBand="0" w:evenVBand="0" w:oddHBand="0" w:evenHBand="0" w:firstRowFirstColumn="0" w:firstRowLastColumn="0" w:lastRowFirstColumn="0" w:lastRowLastColumn="0"/>
              <w:rPr>
                <w:b/>
                <w:sz w:val="20"/>
                <w:szCs w:val="20"/>
                <w:u w:val="single"/>
                <w:lang w:val="fr-FR"/>
              </w:rPr>
            </w:pPr>
            <w:r w:rsidRPr="00C53C14">
              <w:rPr>
                <w:b/>
                <w:sz w:val="20"/>
                <w:szCs w:val="20"/>
                <w:u w:val="single"/>
                <w:lang w:val="fr-FR"/>
              </w:rPr>
              <w:t>RR 3.87 (95% CI 1.56 - 9.58)</w:t>
            </w:r>
          </w:p>
          <w:p w14:paraId="6EDF2304" w14:textId="77777777" w:rsidR="00744659" w:rsidRPr="00C53C14" w:rsidRDefault="002C38C9">
            <w:pPr>
              <w:spacing w:line="360" w:lineRule="auto"/>
              <w:cnfStyle w:val="000000000000" w:firstRow="0" w:lastRow="0" w:firstColumn="0" w:lastColumn="0" w:oddVBand="0" w:evenVBand="0" w:oddHBand="0" w:evenHBand="0" w:firstRowFirstColumn="0" w:firstRowLastColumn="0" w:lastRowFirstColumn="0" w:lastRowLastColumn="0"/>
              <w:rPr>
                <w:b/>
                <w:sz w:val="20"/>
                <w:szCs w:val="20"/>
                <w:u w:val="single"/>
                <w:lang w:val="fr-FR"/>
              </w:rPr>
            </w:pPr>
            <w:r w:rsidRPr="00C53C14">
              <w:rPr>
                <w:b/>
                <w:sz w:val="20"/>
                <w:szCs w:val="20"/>
                <w:u w:val="single"/>
                <w:lang w:val="fr-FR"/>
              </w:rPr>
              <w:t>RR 7.18 (95% CI 3.32 – 15.54)</w:t>
            </w:r>
          </w:p>
          <w:p w14:paraId="6EDF2305" w14:textId="77777777" w:rsidR="00744659" w:rsidRPr="00C53C14" w:rsidRDefault="00744659">
            <w:pPr>
              <w:spacing w:line="360" w:lineRule="auto"/>
              <w:cnfStyle w:val="000000000000" w:firstRow="0" w:lastRow="0" w:firstColumn="0" w:lastColumn="0" w:oddVBand="0" w:evenVBand="0" w:oddHBand="0" w:evenHBand="0" w:firstRowFirstColumn="0" w:firstRowLastColumn="0" w:lastRowFirstColumn="0" w:lastRowLastColumn="0"/>
              <w:rPr>
                <w:i/>
                <w:sz w:val="20"/>
                <w:szCs w:val="20"/>
                <w:lang w:val="fr-FR"/>
              </w:rPr>
            </w:pPr>
          </w:p>
          <w:p w14:paraId="6EDF2306" w14:textId="77777777" w:rsidR="00744659" w:rsidRPr="00C53C14" w:rsidRDefault="002C38C9">
            <w:pPr>
              <w:spacing w:line="360" w:lineRule="auto"/>
              <w:cnfStyle w:val="000000000000" w:firstRow="0" w:lastRow="0" w:firstColumn="0" w:lastColumn="0" w:oddVBand="0" w:evenVBand="0" w:oddHBand="0" w:evenHBand="0" w:firstRowFirstColumn="0" w:firstRowLastColumn="0" w:lastRowFirstColumn="0" w:lastRowLastColumn="0"/>
              <w:rPr>
                <w:b/>
                <w:sz w:val="20"/>
                <w:szCs w:val="20"/>
                <w:u w:val="single"/>
                <w:lang w:val="fr-FR"/>
              </w:rPr>
            </w:pPr>
            <w:r w:rsidRPr="00C53C14">
              <w:rPr>
                <w:i/>
                <w:sz w:val="20"/>
                <w:szCs w:val="20"/>
                <w:lang w:val="fr-FR"/>
              </w:rPr>
              <w:t xml:space="preserve">Pooled effect: </w:t>
            </w:r>
            <w:r w:rsidRPr="00C53C14">
              <w:rPr>
                <w:b/>
                <w:sz w:val="20"/>
                <w:szCs w:val="20"/>
                <w:u w:val="single"/>
                <w:lang w:val="fr-FR"/>
              </w:rPr>
              <w:t>RR 5.50 (95% CI 3.08 – 9.83)</w:t>
            </w:r>
          </w:p>
          <w:p w14:paraId="6EDF2307" w14:textId="77777777" w:rsidR="00744659" w:rsidRPr="00C53C14" w:rsidRDefault="00744659">
            <w:pPr>
              <w:spacing w:line="360" w:lineRule="auto"/>
              <w:cnfStyle w:val="000000000000" w:firstRow="0" w:lastRow="0" w:firstColumn="0" w:lastColumn="0" w:oddVBand="0" w:evenVBand="0" w:oddHBand="0" w:evenHBand="0" w:firstRowFirstColumn="0" w:firstRowLastColumn="0" w:lastRowFirstColumn="0" w:lastRowLastColumn="0"/>
              <w:rPr>
                <w:b/>
                <w:sz w:val="20"/>
                <w:szCs w:val="20"/>
                <w:u w:val="single"/>
                <w:lang w:val="fr-FR"/>
              </w:rPr>
            </w:pPr>
          </w:p>
          <w:p w14:paraId="6EDF2308" w14:textId="77777777" w:rsidR="00744659" w:rsidRPr="00C53C14" w:rsidRDefault="002C38C9">
            <w:pPr>
              <w:spacing w:line="36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C53C14">
              <w:rPr>
                <w:b/>
                <w:sz w:val="20"/>
                <w:szCs w:val="20"/>
                <w:u w:val="single"/>
                <w:lang w:val="en-US"/>
              </w:rPr>
              <w:t>23 of 50 deaths primarily due to anemia with Hb &lt;3.1 mmol/L</w:t>
            </w:r>
          </w:p>
        </w:tc>
        <w:tc>
          <w:tcPr>
            <w:tcW w:w="2410" w:type="dxa"/>
            <w:shd w:val="clear" w:color="auto" w:fill="auto"/>
          </w:tcPr>
          <w:p w14:paraId="6EDF2309" w14:textId="77777777" w:rsidR="00744659" w:rsidRPr="00C53C14"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C53C14">
              <w:rPr>
                <w:i/>
                <w:sz w:val="20"/>
                <w:szCs w:val="20"/>
                <w:lang w:val="en-US"/>
              </w:rPr>
              <w:t xml:space="preserve">Very low ** </w:t>
            </w:r>
            <w:r w:rsidRPr="00C53C14">
              <w:rPr>
                <w:sz w:val="20"/>
                <w:szCs w:val="20"/>
                <w:lang w:val="en-US"/>
              </w:rPr>
              <w:t>/</w:t>
            </w:r>
            <w:r w:rsidRPr="00C53C14">
              <w:rPr>
                <w:i/>
                <w:sz w:val="20"/>
                <w:szCs w:val="20"/>
                <w:lang w:val="en-US"/>
              </w:rPr>
              <w:t xml:space="preserve"> </w:t>
            </w:r>
            <w:r w:rsidRPr="00C53C14">
              <w:rPr>
                <w:sz w:val="20"/>
                <w:szCs w:val="20"/>
                <w:lang w:val="en-US"/>
              </w:rPr>
              <w:t xml:space="preserve">Shander 2014 </w:t>
            </w:r>
          </w:p>
          <w:p w14:paraId="6EDF230A" w14:textId="77777777" w:rsidR="00744659" w:rsidRPr="00C53C14"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Carson 2002</w:t>
            </w:r>
          </w:p>
          <w:p w14:paraId="6EDF230B" w14:textId="77777777" w:rsidR="00744659" w:rsidRPr="00C53C14" w:rsidRDefault="00744659">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6EDF230C" w14:textId="77777777" w:rsidR="00744659" w:rsidRPr="00C53C14" w:rsidRDefault="00744659">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6EDF230D" w14:textId="77777777" w:rsidR="00744659" w:rsidRPr="00C53C14" w:rsidRDefault="00744659">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6EDF230E" w14:textId="77777777" w:rsidR="00744659" w:rsidRPr="00C53C14" w:rsidRDefault="00744659">
            <w:pPr>
              <w:spacing w:line="360" w:lineRule="auto"/>
              <w:cnfStyle w:val="000000000000" w:firstRow="0" w:lastRow="0" w:firstColumn="0" w:lastColumn="0" w:oddVBand="0" w:evenVBand="0" w:oddHBand="0" w:evenHBand="0" w:firstRowFirstColumn="0" w:firstRowLastColumn="0" w:lastRowFirstColumn="0" w:lastRowLastColumn="0"/>
              <w:rPr>
                <w:sz w:val="20"/>
                <w:szCs w:val="20"/>
                <w:lang w:val="en-US"/>
              </w:rPr>
            </w:pPr>
          </w:p>
          <w:p w14:paraId="6EDF230F"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i/>
                <w:sz w:val="20"/>
                <w:szCs w:val="20"/>
              </w:rPr>
              <w:t xml:space="preserve">Very low ** </w:t>
            </w:r>
            <w:r>
              <w:rPr>
                <w:sz w:val="20"/>
                <w:szCs w:val="20"/>
              </w:rPr>
              <w:t>/</w:t>
            </w:r>
            <w:r>
              <w:rPr>
                <w:i/>
                <w:sz w:val="20"/>
                <w:szCs w:val="20"/>
              </w:rPr>
              <w:t xml:space="preserve"> </w:t>
            </w:r>
            <w:r>
              <w:rPr>
                <w:sz w:val="20"/>
                <w:szCs w:val="20"/>
              </w:rPr>
              <w:t>Viele 1994</w:t>
            </w:r>
          </w:p>
        </w:tc>
      </w:tr>
    </w:tbl>
    <w:p w14:paraId="6EDF2311"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312" w14:textId="77777777" w:rsidR="00744659" w:rsidRPr="00C53C14" w:rsidRDefault="00744659">
      <w:pPr>
        <w:spacing w:line="360" w:lineRule="auto"/>
        <w:rPr>
          <w:rFonts w:ascii="Calibri" w:eastAsia="Calibri" w:hAnsi="Calibri" w:cs="Calibri"/>
          <w:sz w:val="20"/>
          <w:szCs w:val="20"/>
          <w:u w:val="single"/>
          <w:lang w:val="en-US"/>
        </w:rPr>
      </w:pPr>
    </w:p>
    <w:p w14:paraId="6EDF2313"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B1.5: Hb of 3.7 mmol/L versus Hb greater than 3.7 mmol/L</w:t>
      </w:r>
    </w:p>
    <w:tbl>
      <w:tblPr>
        <w:tblStyle w:val="a7"/>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06"/>
        <w:gridCol w:w="2835"/>
        <w:gridCol w:w="2410"/>
      </w:tblGrid>
      <w:tr w:rsidR="00744659" w14:paraId="6EDF2317"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8" w:space="0" w:color="FFFFFF"/>
            </w:tcBorders>
          </w:tcPr>
          <w:p w14:paraId="6EDF2314" w14:textId="77777777" w:rsidR="00744659" w:rsidRDefault="002C38C9">
            <w:pPr>
              <w:spacing w:line="360" w:lineRule="auto"/>
              <w:rPr>
                <w:sz w:val="20"/>
                <w:szCs w:val="20"/>
              </w:rPr>
            </w:pPr>
            <w:r>
              <w:rPr>
                <w:sz w:val="20"/>
                <w:szCs w:val="20"/>
              </w:rPr>
              <w:lastRenderedPageBreak/>
              <w:t>Conclusion of evidence</w:t>
            </w:r>
          </w:p>
        </w:tc>
        <w:tc>
          <w:tcPr>
            <w:tcW w:w="2835" w:type="dxa"/>
            <w:tcBorders>
              <w:top w:val="single" w:sz="8" w:space="0" w:color="FFFFFF"/>
            </w:tcBorders>
          </w:tcPr>
          <w:p w14:paraId="6EDF2315"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316"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319"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318"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31D"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1A" w14:textId="77777777" w:rsidR="00744659" w:rsidRDefault="002C38C9">
            <w:pPr>
              <w:spacing w:line="360" w:lineRule="auto"/>
              <w:rPr>
                <w:sz w:val="20"/>
                <w:szCs w:val="20"/>
              </w:rPr>
            </w:pPr>
            <w:r>
              <w:rPr>
                <w:b w:val="0"/>
                <w:sz w:val="20"/>
                <w:szCs w:val="20"/>
              </w:rPr>
              <w:t>No studies</w:t>
            </w:r>
          </w:p>
        </w:tc>
        <w:tc>
          <w:tcPr>
            <w:tcW w:w="2835" w:type="dxa"/>
            <w:shd w:val="clear" w:color="auto" w:fill="auto"/>
          </w:tcPr>
          <w:p w14:paraId="6EDF231B"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31C"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31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31E"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323"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20" w14:textId="77777777" w:rsidR="00744659" w:rsidRDefault="002C38C9">
            <w:pPr>
              <w:spacing w:line="360" w:lineRule="auto"/>
              <w:rPr>
                <w:sz w:val="20"/>
                <w:szCs w:val="20"/>
              </w:rPr>
            </w:pPr>
            <w:r>
              <w:rPr>
                <w:b w:val="0"/>
                <w:sz w:val="20"/>
                <w:szCs w:val="20"/>
              </w:rPr>
              <w:t>No studies</w:t>
            </w:r>
          </w:p>
        </w:tc>
        <w:tc>
          <w:tcPr>
            <w:tcW w:w="2835" w:type="dxa"/>
            <w:shd w:val="clear" w:color="auto" w:fill="auto"/>
          </w:tcPr>
          <w:p w14:paraId="6EDF2321"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322"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325"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324"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327"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26" w14:textId="77777777" w:rsidR="00744659" w:rsidRDefault="002C38C9">
            <w:pPr>
              <w:spacing w:line="360" w:lineRule="auto"/>
              <w:rPr>
                <w:sz w:val="20"/>
                <w:szCs w:val="20"/>
              </w:rPr>
            </w:pPr>
            <w:r>
              <w:rPr>
                <w:b w:val="0"/>
                <w:sz w:val="20"/>
                <w:szCs w:val="20"/>
                <w:u w:val="single"/>
              </w:rPr>
              <w:t>Mortality</w:t>
            </w:r>
          </w:p>
        </w:tc>
      </w:tr>
      <w:tr w:rsidR="00744659" w:rsidRPr="00C53C14" w14:paraId="6EDF232F" w14:textId="77777777" w:rsidTr="00744659">
        <w:trPr>
          <w:cnfStyle w:val="000000100000" w:firstRow="0" w:lastRow="0" w:firstColumn="0" w:lastColumn="0" w:oddVBand="0" w:evenVBand="0" w:oddHBand="1" w:evenHBand="0" w:firstRowFirstColumn="0" w:firstRowLastColumn="0" w:lastRowFirstColumn="0" w:lastRowLastColumn="0"/>
          <w:trHeight w:val="111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28" w14:textId="77777777" w:rsidR="00744659" w:rsidRPr="00C53C14" w:rsidRDefault="002C38C9">
            <w:pPr>
              <w:spacing w:line="360" w:lineRule="auto"/>
              <w:rPr>
                <w:sz w:val="20"/>
                <w:szCs w:val="20"/>
                <w:lang w:val="en-US"/>
              </w:rPr>
            </w:pPr>
            <w:r w:rsidRPr="00C53C14">
              <w:rPr>
                <w:b w:val="0"/>
                <w:sz w:val="20"/>
                <w:szCs w:val="20"/>
                <w:lang w:val="en-US"/>
              </w:rPr>
              <w:t>Higher mortality in the group with an Hb of 3.7 mmol/L vs. an Hb greater than 3.7 mmol/L in one study. No significant effect in another study. However, the pooled effect was significant.</w:t>
            </w:r>
          </w:p>
        </w:tc>
        <w:tc>
          <w:tcPr>
            <w:tcW w:w="2835" w:type="dxa"/>
            <w:shd w:val="clear" w:color="auto" w:fill="auto"/>
          </w:tcPr>
          <w:p w14:paraId="6EDF2329"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lang w:val="fr-FR"/>
              </w:rPr>
            </w:pPr>
            <w:r w:rsidRPr="00C53C14">
              <w:rPr>
                <w:b/>
                <w:sz w:val="20"/>
                <w:szCs w:val="20"/>
                <w:u w:val="single"/>
                <w:lang w:val="fr-FR"/>
              </w:rPr>
              <w:t xml:space="preserve">RR 5.46 (95% CI 1.81 - 16.46) </w:t>
            </w:r>
          </w:p>
          <w:p w14:paraId="6EDF232A"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C53C14">
              <w:rPr>
                <w:sz w:val="20"/>
                <w:szCs w:val="20"/>
                <w:lang w:val="fr-FR"/>
              </w:rPr>
              <w:t>RR 2.87 (95% CI 0.86 - 9.53)</w:t>
            </w:r>
          </w:p>
          <w:p w14:paraId="6EDF232B"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p>
          <w:p w14:paraId="6EDF232C"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fr-FR"/>
              </w:rPr>
            </w:pPr>
            <w:r w:rsidRPr="00C53C14">
              <w:rPr>
                <w:i/>
                <w:sz w:val="20"/>
                <w:szCs w:val="20"/>
                <w:lang w:val="fr-FR"/>
              </w:rPr>
              <w:t xml:space="preserve">Pooled effect: </w:t>
            </w:r>
            <w:r w:rsidRPr="00C53C14">
              <w:rPr>
                <w:b/>
                <w:sz w:val="20"/>
                <w:szCs w:val="20"/>
                <w:u w:val="single"/>
                <w:lang w:val="fr-FR"/>
              </w:rPr>
              <w:t>RR 4.01 (95% CI 1.80 - 8.95)</w:t>
            </w:r>
          </w:p>
        </w:tc>
        <w:tc>
          <w:tcPr>
            <w:tcW w:w="2410" w:type="dxa"/>
            <w:shd w:val="clear" w:color="auto" w:fill="auto"/>
          </w:tcPr>
          <w:p w14:paraId="6EDF232D"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 xml:space="preserve">Shander 2014 </w:t>
            </w:r>
          </w:p>
          <w:p w14:paraId="6EDF232E"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Carson 2002</w:t>
            </w:r>
          </w:p>
        </w:tc>
      </w:tr>
    </w:tbl>
    <w:p w14:paraId="6EDF233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331" w14:textId="77777777" w:rsidR="00744659" w:rsidRPr="00C53C14" w:rsidRDefault="00744659">
      <w:pPr>
        <w:spacing w:line="360" w:lineRule="auto"/>
        <w:rPr>
          <w:rFonts w:ascii="Calibri" w:eastAsia="Calibri" w:hAnsi="Calibri" w:cs="Calibri"/>
          <w:sz w:val="20"/>
          <w:szCs w:val="20"/>
          <w:lang w:val="en-US"/>
        </w:rPr>
      </w:pPr>
    </w:p>
    <w:p w14:paraId="6EDF2332"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B1.6: Hb of 4.3 mmol/L versus Hb greater than 4.3</w:t>
      </w:r>
    </w:p>
    <w:tbl>
      <w:tblPr>
        <w:tblStyle w:val="a8"/>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06"/>
        <w:gridCol w:w="2835"/>
        <w:gridCol w:w="2410"/>
      </w:tblGrid>
      <w:tr w:rsidR="00744659" w14:paraId="6EDF2336"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8" w:space="0" w:color="FFFFFF"/>
            </w:tcBorders>
          </w:tcPr>
          <w:p w14:paraId="6EDF2333" w14:textId="77777777" w:rsidR="00744659" w:rsidRDefault="002C38C9">
            <w:pPr>
              <w:spacing w:line="360" w:lineRule="auto"/>
              <w:rPr>
                <w:sz w:val="20"/>
                <w:szCs w:val="20"/>
              </w:rPr>
            </w:pPr>
            <w:r>
              <w:rPr>
                <w:sz w:val="20"/>
                <w:szCs w:val="20"/>
              </w:rPr>
              <w:t>Conclusion of evidence</w:t>
            </w:r>
          </w:p>
        </w:tc>
        <w:tc>
          <w:tcPr>
            <w:tcW w:w="2835" w:type="dxa"/>
            <w:tcBorders>
              <w:top w:val="single" w:sz="8" w:space="0" w:color="FFFFFF"/>
            </w:tcBorders>
          </w:tcPr>
          <w:p w14:paraId="6EDF2334"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335"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338"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337"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33A"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39" w14:textId="77777777" w:rsidR="00744659" w:rsidRDefault="002C38C9">
            <w:pPr>
              <w:spacing w:line="360" w:lineRule="auto"/>
              <w:rPr>
                <w:sz w:val="20"/>
                <w:szCs w:val="20"/>
              </w:rPr>
            </w:pPr>
            <w:r>
              <w:rPr>
                <w:b w:val="0"/>
                <w:sz w:val="20"/>
                <w:szCs w:val="20"/>
                <w:u w:val="single"/>
              </w:rPr>
              <w:t>Mortality</w:t>
            </w:r>
          </w:p>
        </w:tc>
      </w:tr>
      <w:tr w:rsidR="00744659" w14:paraId="6EDF233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3B" w14:textId="77777777" w:rsidR="00744659" w:rsidRPr="00C53C14" w:rsidRDefault="002C38C9">
            <w:pPr>
              <w:spacing w:line="360" w:lineRule="auto"/>
              <w:rPr>
                <w:sz w:val="20"/>
                <w:szCs w:val="20"/>
                <w:lang w:val="en-US"/>
              </w:rPr>
            </w:pPr>
            <w:r w:rsidRPr="00C53C14">
              <w:rPr>
                <w:b w:val="0"/>
                <w:sz w:val="20"/>
                <w:szCs w:val="20"/>
                <w:lang w:val="en-US"/>
              </w:rPr>
              <w:t>No significant difference in the group with an Hb of 4.3 mmol/L vs. greater than 4.3 mmol/L.</w:t>
            </w:r>
          </w:p>
        </w:tc>
        <w:tc>
          <w:tcPr>
            <w:tcW w:w="2835" w:type="dxa"/>
            <w:shd w:val="clear" w:color="auto" w:fill="auto"/>
          </w:tcPr>
          <w:p w14:paraId="6EDF233C"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0.67 (95% CI 0.35 - 1.28)</w:t>
            </w:r>
          </w:p>
        </w:tc>
        <w:tc>
          <w:tcPr>
            <w:tcW w:w="2410" w:type="dxa"/>
            <w:shd w:val="clear" w:color="auto" w:fill="auto"/>
          </w:tcPr>
          <w:p w14:paraId="6EDF233D"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 xml:space="preserve">Very low </w:t>
            </w:r>
            <w:r>
              <w:rPr>
                <w:sz w:val="20"/>
                <w:szCs w:val="20"/>
              </w:rPr>
              <w:t>/</w:t>
            </w:r>
            <w:r>
              <w:rPr>
                <w:i/>
                <w:sz w:val="20"/>
                <w:szCs w:val="20"/>
              </w:rPr>
              <w:t xml:space="preserve"> </w:t>
            </w:r>
            <w:r>
              <w:rPr>
                <w:sz w:val="20"/>
                <w:szCs w:val="20"/>
              </w:rPr>
              <w:t>Lightdale 2012</w:t>
            </w:r>
          </w:p>
        </w:tc>
      </w:tr>
      <w:tr w:rsidR="00744659" w14:paraId="6EDF2340"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3F" w14:textId="77777777" w:rsidR="00744659" w:rsidRDefault="002C38C9">
            <w:pPr>
              <w:spacing w:line="360" w:lineRule="auto"/>
              <w:rPr>
                <w:sz w:val="20"/>
                <w:szCs w:val="20"/>
              </w:rPr>
            </w:pPr>
            <w:r>
              <w:rPr>
                <w:b w:val="0"/>
                <w:sz w:val="20"/>
                <w:szCs w:val="20"/>
                <w:u w:val="single"/>
              </w:rPr>
              <w:t>Transfusion-related complications</w:t>
            </w:r>
          </w:p>
        </w:tc>
      </w:tr>
      <w:tr w:rsidR="00744659" w14:paraId="6EDF234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41" w14:textId="77777777" w:rsidR="00744659" w:rsidRPr="00C53C14" w:rsidRDefault="002C38C9">
            <w:pPr>
              <w:spacing w:line="360" w:lineRule="auto"/>
              <w:rPr>
                <w:sz w:val="20"/>
                <w:szCs w:val="20"/>
                <w:lang w:val="en-US"/>
              </w:rPr>
            </w:pPr>
            <w:r w:rsidRPr="00C53C14">
              <w:rPr>
                <w:b w:val="0"/>
                <w:sz w:val="20"/>
                <w:szCs w:val="20"/>
                <w:lang w:val="en-US"/>
              </w:rPr>
              <w:t>No significant difference in the group with an Hb of 4.3 mmol/L vs. greater than 4.3 mmol/L.</w:t>
            </w:r>
          </w:p>
        </w:tc>
        <w:tc>
          <w:tcPr>
            <w:tcW w:w="2835" w:type="dxa"/>
            <w:shd w:val="clear" w:color="auto" w:fill="auto"/>
          </w:tcPr>
          <w:p w14:paraId="6EDF2342"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7.00 (95% CI 0.51 - 96.06)</w:t>
            </w:r>
          </w:p>
        </w:tc>
        <w:tc>
          <w:tcPr>
            <w:tcW w:w="2410" w:type="dxa"/>
            <w:shd w:val="clear" w:color="auto" w:fill="auto"/>
          </w:tcPr>
          <w:p w14:paraId="6EDF234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 xml:space="preserve">Low </w:t>
            </w:r>
            <w:r>
              <w:rPr>
                <w:sz w:val="20"/>
                <w:szCs w:val="20"/>
              </w:rPr>
              <w:t>/</w:t>
            </w:r>
            <w:r>
              <w:rPr>
                <w:i/>
                <w:sz w:val="20"/>
                <w:szCs w:val="20"/>
              </w:rPr>
              <w:t xml:space="preserve"> </w:t>
            </w:r>
            <w:r>
              <w:rPr>
                <w:sz w:val="20"/>
                <w:szCs w:val="20"/>
              </w:rPr>
              <w:t>Robitaille 2013</w:t>
            </w:r>
          </w:p>
        </w:tc>
      </w:tr>
      <w:tr w:rsidR="00744659" w14:paraId="6EDF2346"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45" w14:textId="77777777" w:rsidR="00744659" w:rsidRDefault="002C38C9">
            <w:pPr>
              <w:spacing w:line="360" w:lineRule="auto"/>
              <w:rPr>
                <w:sz w:val="20"/>
                <w:szCs w:val="20"/>
              </w:rPr>
            </w:pPr>
            <w:r>
              <w:rPr>
                <w:b w:val="0"/>
                <w:sz w:val="20"/>
                <w:szCs w:val="20"/>
                <w:u w:val="single"/>
              </w:rPr>
              <w:t>Hospital admission</w:t>
            </w:r>
          </w:p>
        </w:tc>
      </w:tr>
      <w:tr w:rsidR="00744659" w14:paraId="6EDF234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47" w14:textId="77777777" w:rsidR="00744659" w:rsidRPr="00C53C14" w:rsidRDefault="002C38C9">
            <w:pPr>
              <w:spacing w:line="360" w:lineRule="auto"/>
              <w:rPr>
                <w:sz w:val="20"/>
                <w:szCs w:val="20"/>
                <w:lang w:val="en-US"/>
              </w:rPr>
            </w:pPr>
            <w:r w:rsidRPr="00C53C14">
              <w:rPr>
                <w:b w:val="0"/>
                <w:sz w:val="20"/>
                <w:szCs w:val="20"/>
                <w:lang w:val="en-US"/>
              </w:rPr>
              <w:lastRenderedPageBreak/>
              <w:t>No significant difference in the group with an Hb of 4.3 mmol/L vs. greater than 4.3 mmol/L.</w:t>
            </w:r>
          </w:p>
        </w:tc>
        <w:tc>
          <w:tcPr>
            <w:tcW w:w="2835" w:type="dxa"/>
            <w:shd w:val="clear" w:color="auto" w:fill="auto"/>
          </w:tcPr>
          <w:p w14:paraId="6EDF2348"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410" w:type="dxa"/>
            <w:shd w:val="clear" w:color="auto" w:fill="auto"/>
          </w:tcPr>
          <w:p w14:paraId="6EDF234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 xml:space="preserve">Very low </w:t>
            </w:r>
            <w:r>
              <w:rPr>
                <w:sz w:val="20"/>
                <w:szCs w:val="20"/>
              </w:rPr>
              <w:t>/</w:t>
            </w:r>
            <w:r>
              <w:rPr>
                <w:i/>
                <w:sz w:val="20"/>
                <w:szCs w:val="20"/>
              </w:rPr>
              <w:t xml:space="preserve"> </w:t>
            </w:r>
            <w:r>
              <w:rPr>
                <w:sz w:val="20"/>
                <w:szCs w:val="20"/>
              </w:rPr>
              <w:t>Lightdale 2012</w:t>
            </w:r>
          </w:p>
        </w:tc>
      </w:tr>
      <w:tr w:rsidR="00744659" w14:paraId="6EDF234C"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4B" w14:textId="77777777" w:rsidR="00744659" w:rsidRDefault="002C38C9">
            <w:pPr>
              <w:spacing w:line="360" w:lineRule="auto"/>
              <w:rPr>
                <w:sz w:val="20"/>
                <w:szCs w:val="20"/>
              </w:rPr>
            </w:pPr>
            <w:r>
              <w:rPr>
                <w:b w:val="0"/>
                <w:sz w:val="20"/>
                <w:szCs w:val="20"/>
                <w:u w:val="single"/>
              </w:rPr>
              <w:t>Costs</w:t>
            </w:r>
          </w:p>
        </w:tc>
      </w:tr>
      <w:tr w:rsidR="00744659" w14:paraId="6EDF2350" w14:textId="77777777" w:rsidTr="00744659">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4D" w14:textId="77777777" w:rsidR="00744659" w:rsidRPr="00C53C14" w:rsidRDefault="002C38C9">
            <w:pPr>
              <w:spacing w:line="360" w:lineRule="auto"/>
              <w:rPr>
                <w:sz w:val="20"/>
                <w:szCs w:val="20"/>
                <w:lang w:val="en-US"/>
              </w:rPr>
            </w:pPr>
            <w:r w:rsidRPr="00C53C14">
              <w:rPr>
                <w:b w:val="0"/>
                <w:sz w:val="20"/>
                <w:szCs w:val="20"/>
                <w:lang w:val="en-US"/>
              </w:rPr>
              <w:t>Significantly lower costs in the group with an Hb of 4.3 mmol/L vs. greater than 4.3 mmol/L.</w:t>
            </w:r>
          </w:p>
        </w:tc>
        <w:tc>
          <w:tcPr>
            <w:tcW w:w="2835" w:type="dxa"/>
            <w:shd w:val="clear" w:color="auto" w:fill="auto"/>
          </w:tcPr>
          <w:p w14:paraId="6EDF234E"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lang w:val="en-US"/>
              </w:rPr>
            </w:pPr>
            <w:r w:rsidRPr="00C53C14">
              <w:rPr>
                <w:b/>
                <w:sz w:val="20"/>
                <w:szCs w:val="20"/>
                <w:u w:val="single"/>
                <w:lang w:val="en-US"/>
              </w:rPr>
              <w:t>P=0.004 (no effect measure reported)</w:t>
            </w:r>
          </w:p>
        </w:tc>
        <w:tc>
          <w:tcPr>
            <w:tcW w:w="2410" w:type="dxa"/>
            <w:shd w:val="clear" w:color="auto" w:fill="auto"/>
          </w:tcPr>
          <w:p w14:paraId="6EDF234F"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 xml:space="preserve">Very low </w:t>
            </w:r>
            <w:r>
              <w:rPr>
                <w:sz w:val="20"/>
                <w:szCs w:val="20"/>
              </w:rPr>
              <w:t>/</w:t>
            </w:r>
            <w:r>
              <w:rPr>
                <w:i/>
                <w:sz w:val="20"/>
                <w:szCs w:val="20"/>
              </w:rPr>
              <w:t xml:space="preserve"> </w:t>
            </w:r>
            <w:r>
              <w:rPr>
                <w:sz w:val="20"/>
                <w:szCs w:val="20"/>
              </w:rPr>
              <w:t>Lightdale 2012</w:t>
            </w:r>
          </w:p>
        </w:tc>
      </w:tr>
      <w:tr w:rsidR="00744659" w:rsidRPr="00C53C14" w14:paraId="6EDF2352"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351"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35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53" w14:textId="77777777" w:rsidR="00744659" w:rsidRDefault="002C38C9">
            <w:pPr>
              <w:spacing w:line="360" w:lineRule="auto"/>
              <w:rPr>
                <w:sz w:val="20"/>
                <w:szCs w:val="20"/>
              </w:rPr>
            </w:pPr>
            <w:r>
              <w:rPr>
                <w:b w:val="0"/>
                <w:sz w:val="20"/>
                <w:szCs w:val="20"/>
                <w:u w:val="single"/>
              </w:rPr>
              <w:t>Mortality</w:t>
            </w:r>
          </w:p>
        </w:tc>
      </w:tr>
      <w:tr w:rsidR="00744659" w14:paraId="6EDF2359"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55" w14:textId="77777777" w:rsidR="00744659" w:rsidRPr="00C53C14" w:rsidRDefault="002C38C9">
            <w:pPr>
              <w:spacing w:line="360" w:lineRule="auto"/>
              <w:rPr>
                <w:sz w:val="20"/>
                <w:szCs w:val="20"/>
                <w:lang w:val="en-US"/>
              </w:rPr>
            </w:pPr>
            <w:r w:rsidRPr="00C53C14">
              <w:rPr>
                <w:b w:val="0"/>
                <w:sz w:val="20"/>
                <w:szCs w:val="20"/>
                <w:lang w:val="en-US"/>
              </w:rPr>
              <w:t>No significant differences in the group with an Hb of 4.3 mmol/L vs. greater than 4.3 mmol/L.</w:t>
            </w:r>
          </w:p>
        </w:tc>
        <w:tc>
          <w:tcPr>
            <w:tcW w:w="2835" w:type="dxa"/>
            <w:shd w:val="clear" w:color="auto" w:fill="auto"/>
          </w:tcPr>
          <w:p w14:paraId="6EDF2356"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RR 0.99 (95% CI 0.48 - 2.04) </w:t>
            </w:r>
          </w:p>
        </w:tc>
        <w:tc>
          <w:tcPr>
            <w:tcW w:w="2410" w:type="dxa"/>
            <w:shd w:val="clear" w:color="auto" w:fill="auto"/>
          </w:tcPr>
          <w:p w14:paraId="6EDF2357"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i/>
                <w:sz w:val="20"/>
                <w:szCs w:val="20"/>
              </w:rPr>
              <w:t xml:space="preserve">Low** </w:t>
            </w:r>
            <w:r>
              <w:rPr>
                <w:sz w:val="20"/>
                <w:szCs w:val="20"/>
              </w:rPr>
              <w:t>/ Lacroix 2007</w:t>
            </w:r>
          </w:p>
          <w:p w14:paraId="6EDF2358" w14:textId="77777777" w:rsidR="00744659" w:rsidRDefault="0074465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744659" w14:paraId="6EDF235B"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5A" w14:textId="77777777" w:rsidR="00744659" w:rsidRDefault="002C38C9">
            <w:pPr>
              <w:spacing w:line="360" w:lineRule="auto"/>
              <w:rPr>
                <w:sz w:val="20"/>
                <w:szCs w:val="20"/>
                <w:u w:val="single"/>
              </w:rPr>
            </w:pPr>
            <w:r>
              <w:rPr>
                <w:b w:val="0"/>
                <w:sz w:val="20"/>
                <w:szCs w:val="20"/>
                <w:u w:val="single"/>
              </w:rPr>
              <w:t>Morbidity</w:t>
            </w:r>
          </w:p>
        </w:tc>
      </w:tr>
      <w:tr w:rsidR="00744659" w14:paraId="6EDF2360"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5C" w14:textId="77777777" w:rsidR="00744659" w:rsidRPr="00C53C14" w:rsidRDefault="002C38C9">
            <w:pPr>
              <w:spacing w:line="360" w:lineRule="auto"/>
              <w:rPr>
                <w:sz w:val="20"/>
                <w:szCs w:val="20"/>
                <w:u w:val="single"/>
                <w:lang w:val="en-US"/>
              </w:rPr>
            </w:pPr>
            <w:r w:rsidRPr="00C53C14">
              <w:rPr>
                <w:b w:val="0"/>
                <w:sz w:val="20"/>
                <w:szCs w:val="20"/>
                <w:lang w:val="en-US"/>
              </w:rPr>
              <w:t>No significant differences in the group with an Hb of 4.3 mmol/L vs. greater than 4.3 mmol/L.</w:t>
            </w:r>
          </w:p>
        </w:tc>
        <w:tc>
          <w:tcPr>
            <w:tcW w:w="2835" w:type="dxa"/>
            <w:shd w:val="clear" w:color="auto" w:fill="auto"/>
          </w:tcPr>
          <w:p w14:paraId="6EDF235D"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RR 0.97 (95% CI 0.63 - 1.47)</w:t>
            </w:r>
          </w:p>
        </w:tc>
        <w:tc>
          <w:tcPr>
            <w:tcW w:w="2410" w:type="dxa"/>
            <w:shd w:val="clear" w:color="auto" w:fill="auto"/>
          </w:tcPr>
          <w:p w14:paraId="6EDF235E"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i/>
                <w:sz w:val="20"/>
                <w:szCs w:val="20"/>
              </w:rPr>
              <w:t xml:space="preserve">Low** </w:t>
            </w:r>
            <w:r>
              <w:rPr>
                <w:sz w:val="20"/>
                <w:szCs w:val="20"/>
              </w:rPr>
              <w:t>/ Lacroix 2007</w:t>
            </w:r>
          </w:p>
          <w:p w14:paraId="6EDF235F" w14:textId="77777777" w:rsidR="00744659" w:rsidRDefault="0074465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744659" w14:paraId="6EDF2362"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61" w14:textId="77777777" w:rsidR="00744659" w:rsidRDefault="002C38C9">
            <w:pPr>
              <w:spacing w:line="360" w:lineRule="auto"/>
              <w:rPr>
                <w:sz w:val="20"/>
                <w:szCs w:val="20"/>
                <w:u w:val="single"/>
              </w:rPr>
            </w:pPr>
            <w:r>
              <w:rPr>
                <w:b w:val="0"/>
                <w:sz w:val="20"/>
                <w:szCs w:val="20"/>
                <w:u w:val="single"/>
              </w:rPr>
              <w:t>Hospital admission</w:t>
            </w:r>
          </w:p>
        </w:tc>
      </w:tr>
      <w:tr w:rsidR="00744659" w14:paraId="6EDF2367"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63" w14:textId="77777777" w:rsidR="00744659" w:rsidRPr="00C53C14" w:rsidRDefault="002C38C9">
            <w:pPr>
              <w:spacing w:line="360" w:lineRule="auto"/>
              <w:rPr>
                <w:sz w:val="20"/>
                <w:szCs w:val="20"/>
                <w:u w:val="single"/>
                <w:lang w:val="en-US"/>
              </w:rPr>
            </w:pPr>
            <w:r w:rsidRPr="00C53C14">
              <w:rPr>
                <w:b w:val="0"/>
                <w:sz w:val="20"/>
                <w:szCs w:val="20"/>
                <w:lang w:val="en-US"/>
              </w:rPr>
              <w:t>No significant differences in the group with an Hb of 4.3 mmol/L vs. greater than 4.3 mmol/L.</w:t>
            </w:r>
          </w:p>
        </w:tc>
        <w:tc>
          <w:tcPr>
            <w:tcW w:w="2835" w:type="dxa"/>
            <w:shd w:val="clear" w:color="auto" w:fill="auto"/>
          </w:tcPr>
          <w:p w14:paraId="6EDF2364"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MD -0.46 (95% CI -0.70 - 1.70)</w:t>
            </w:r>
          </w:p>
        </w:tc>
        <w:tc>
          <w:tcPr>
            <w:tcW w:w="2410" w:type="dxa"/>
            <w:shd w:val="clear" w:color="auto" w:fill="auto"/>
          </w:tcPr>
          <w:p w14:paraId="6EDF2365"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i/>
                <w:sz w:val="20"/>
                <w:szCs w:val="20"/>
              </w:rPr>
              <w:t xml:space="preserve">Low** </w:t>
            </w:r>
            <w:r>
              <w:rPr>
                <w:sz w:val="20"/>
                <w:szCs w:val="20"/>
              </w:rPr>
              <w:t>/ Lacroix 2007</w:t>
            </w:r>
          </w:p>
          <w:p w14:paraId="6EDF2366" w14:textId="77777777" w:rsidR="00744659" w:rsidRDefault="0074465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744659" w:rsidRPr="00C53C14" w14:paraId="6EDF2369"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368"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36B"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6A" w14:textId="77777777" w:rsidR="00744659" w:rsidRDefault="002C38C9">
            <w:pPr>
              <w:spacing w:line="360" w:lineRule="auto"/>
              <w:rPr>
                <w:sz w:val="20"/>
                <w:szCs w:val="20"/>
              </w:rPr>
            </w:pPr>
            <w:r>
              <w:rPr>
                <w:b w:val="0"/>
                <w:sz w:val="20"/>
                <w:szCs w:val="20"/>
                <w:u w:val="single"/>
              </w:rPr>
              <w:t>Mortality</w:t>
            </w:r>
          </w:p>
        </w:tc>
      </w:tr>
      <w:tr w:rsidR="00744659" w:rsidRPr="00C53C14" w14:paraId="6EDF2376"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6C" w14:textId="77777777" w:rsidR="00744659" w:rsidRPr="00C53C14" w:rsidRDefault="002C38C9">
            <w:pPr>
              <w:spacing w:line="360" w:lineRule="auto"/>
              <w:rPr>
                <w:sz w:val="20"/>
                <w:szCs w:val="20"/>
                <w:lang w:val="en-US"/>
              </w:rPr>
            </w:pPr>
            <w:r w:rsidRPr="00C53C14">
              <w:rPr>
                <w:b w:val="0"/>
                <w:sz w:val="20"/>
                <w:szCs w:val="20"/>
                <w:lang w:val="en-US"/>
              </w:rPr>
              <w:t>One study reported significantly less mortality in the group with an Hb of 4.3 mmol/L. 1 study reported significantly more mortality in the group with an Hb of 4.3 mmol/L. Others reported no significant differences in group with an Hb of 4.3 mmol/L vs. greater than 4.3 mmol/L.</w:t>
            </w:r>
          </w:p>
        </w:tc>
        <w:tc>
          <w:tcPr>
            <w:tcW w:w="2835" w:type="dxa"/>
            <w:shd w:val="clear" w:color="auto" w:fill="auto"/>
          </w:tcPr>
          <w:p w14:paraId="6EDF236D"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lang w:val="fr-FR"/>
              </w:rPr>
            </w:pPr>
            <w:r w:rsidRPr="00C53C14">
              <w:rPr>
                <w:b/>
                <w:sz w:val="20"/>
                <w:szCs w:val="20"/>
                <w:u w:val="single"/>
                <w:lang w:val="fr-FR"/>
              </w:rPr>
              <w:t>RR 0.75 (95% CI 0.59 - 0.96)</w:t>
            </w:r>
          </w:p>
          <w:p w14:paraId="6EDF236E"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C53C14">
              <w:rPr>
                <w:sz w:val="20"/>
                <w:szCs w:val="20"/>
                <w:lang w:val="fr-FR"/>
              </w:rPr>
              <w:t>RR 0.79 (95% CI 0.63 - 1.00)</w:t>
            </w:r>
          </w:p>
          <w:p w14:paraId="6EDF236F"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C53C14">
              <w:rPr>
                <w:b/>
                <w:sz w:val="20"/>
                <w:szCs w:val="20"/>
                <w:u w:val="single"/>
                <w:lang w:val="fr-FR"/>
              </w:rPr>
              <w:t>RR 19.30 (95% CI 1.09 - 342.66)</w:t>
            </w:r>
          </w:p>
          <w:p w14:paraId="6EDF2370"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3.44 (95% CI 0.59 - 20.04)*</w:t>
            </w:r>
          </w:p>
        </w:tc>
        <w:tc>
          <w:tcPr>
            <w:tcW w:w="2410" w:type="dxa"/>
            <w:shd w:val="clear" w:color="auto" w:fill="auto"/>
          </w:tcPr>
          <w:p w14:paraId="6EDF2371"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Low** </w:t>
            </w:r>
            <w:r w:rsidRPr="00C53C14">
              <w:rPr>
                <w:sz w:val="20"/>
                <w:szCs w:val="20"/>
                <w:lang w:val="en-US"/>
              </w:rPr>
              <w:t>/ Carson 2012</w:t>
            </w:r>
          </w:p>
          <w:p w14:paraId="6EDF2372"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Hébert 1999</w:t>
            </w:r>
          </w:p>
          <w:p w14:paraId="6EDF2373"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Carson 2002</w:t>
            </w:r>
          </w:p>
          <w:p w14:paraId="6EDF2374"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i/>
                <w:sz w:val="20"/>
                <w:szCs w:val="20"/>
                <w:lang w:val="en-US"/>
              </w:rPr>
            </w:pPr>
          </w:p>
          <w:p w14:paraId="6EDF2375"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Shander 2014</w:t>
            </w:r>
          </w:p>
        </w:tc>
      </w:tr>
      <w:tr w:rsidR="00744659" w14:paraId="6EDF2378"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77" w14:textId="77777777" w:rsidR="00744659" w:rsidRDefault="002C38C9">
            <w:pPr>
              <w:spacing w:line="360" w:lineRule="auto"/>
              <w:rPr>
                <w:sz w:val="20"/>
                <w:szCs w:val="20"/>
                <w:u w:val="single"/>
              </w:rPr>
            </w:pPr>
            <w:r>
              <w:rPr>
                <w:b w:val="0"/>
                <w:sz w:val="20"/>
                <w:szCs w:val="20"/>
                <w:u w:val="single"/>
              </w:rPr>
              <w:t>Quality of life</w:t>
            </w:r>
          </w:p>
        </w:tc>
      </w:tr>
      <w:tr w:rsidR="00744659" w14:paraId="6EDF237C" w14:textId="77777777" w:rsidTr="00744659">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79" w14:textId="77777777" w:rsidR="00744659" w:rsidRPr="00C53C14" w:rsidRDefault="002C38C9">
            <w:pPr>
              <w:spacing w:line="360" w:lineRule="auto"/>
              <w:rPr>
                <w:sz w:val="20"/>
                <w:szCs w:val="20"/>
                <w:u w:val="single"/>
                <w:lang w:val="en-US"/>
              </w:rPr>
            </w:pPr>
            <w:r w:rsidRPr="00C53C14">
              <w:rPr>
                <w:b w:val="0"/>
                <w:sz w:val="20"/>
                <w:szCs w:val="20"/>
                <w:lang w:val="en-US"/>
              </w:rPr>
              <w:t>No significant differences in the group with an Hb of 4.3 mmol/L vs. greater than 4.3 mmol/L.</w:t>
            </w:r>
          </w:p>
        </w:tc>
        <w:tc>
          <w:tcPr>
            <w:tcW w:w="2835" w:type="dxa"/>
            <w:shd w:val="clear" w:color="auto" w:fill="auto"/>
          </w:tcPr>
          <w:p w14:paraId="6EDF237A"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410" w:type="dxa"/>
            <w:shd w:val="clear" w:color="auto" w:fill="auto"/>
          </w:tcPr>
          <w:p w14:paraId="6EDF237B"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Carson 2012</w:t>
            </w:r>
          </w:p>
        </w:tc>
      </w:tr>
      <w:tr w:rsidR="00744659" w14:paraId="6EDF237E"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7D" w14:textId="77777777" w:rsidR="00744659" w:rsidRDefault="002C38C9">
            <w:pPr>
              <w:spacing w:line="360" w:lineRule="auto"/>
              <w:rPr>
                <w:sz w:val="20"/>
                <w:szCs w:val="20"/>
                <w:u w:val="single"/>
              </w:rPr>
            </w:pPr>
            <w:r>
              <w:rPr>
                <w:b w:val="0"/>
                <w:sz w:val="20"/>
                <w:szCs w:val="20"/>
                <w:u w:val="single"/>
              </w:rPr>
              <w:t>Morbidity</w:t>
            </w:r>
          </w:p>
        </w:tc>
      </w:tr>
      <w:tr w:rsidR="00744659" w:rsidRPr="00C53C14" w14:paraId="6EDF238C"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7F" w14:textId="77777777" w:rsidR="00744659" w:rsidRPr="00C53C14" w:rsidRDefault="002C38C9">
            <w:pPr>
              <w:spacing w:line="360" w:lineRule="auto"/>
              <w:rPr>
                <w:sz w:val="20"/>
                <w:szCs w:val="20"/>
                <w:lang w:val="en-US"/>
              </w:rPr>
            </w:pPr>
            <w:r w:rsidRPr="00C53C14">
              <w:rPr>
                <w:b w:val="0"/>
                <w:sz w:val="20"/>
                <w:szCs w:val="20"/>
                <w:lang w:val="en-US"/>
              </w:rPr>
              <w:lastRenderedPageBreak/>
              <w:t>Significantly less infections in the group with an Hb of 4.3 mmol/L vs. greater than 4.3 mmol/L.</w:t>
            </w:r>
          </w:p>
          <w:p w14:paraId="6EDF2380" w14:textId="77777777" w:rsidR="00744659" w:rsidRPr="00C53C14" w:rsidRDefault="00744659">
            <w:pPr>
              <w:spacing w:line="360" w:lineRule="auto"/>
              <w:rPr>
                <w:sz w:val="20"/>
                <w:szCs w:val="20"/>
                <w:lang w:val="en-US"/>
              </w:rPr>
            </w:pPr>
          </w:p>
          <w:p w14:paraId="6EDF2381" w14:textId="77777777" w:rsidR="00744659" w:rsidRPr="00C53C14" w:rsidRDefault="002C38C9">
            <w:pPr>
              <w:spacing w:line="360" w:lineRule="auto"/>
              <w:rPr>
                <w:sz w:val="20"/>
                <w:szCs w:val="20"/>
                <w:lang w:val="en-US"/>
              </w:rPr>
            </w:pPr>
            <w:r w:rsidRPr="00C53C14">
              <w:rPr>
                <w:b w:val="0"/>
                <w:sz w:val="20"/>
                <w:szCs w:val="20"/>
                <w:lang w:val="en-US"/>
              </w:rPr>
              <w:t>No significant differences regarding other morbidities in the group with an Hb of 4.3 mmol/L vs. greater than 4.3 mmol/L.</w:t>
            </w:r>
          </w:p>
        </w:tc>
        <w:tc>
          <w:tcPr>
            <w:tcW w:w="2835" w:type="dxa"/>
            <w:shd w:val="clear" w:color="auto" w:fill="auto"/>
          </w:tcPr>
          <w:p w14:paraId="6EDF2382"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lang w:val="fr-FR"/>
              </w:rPr>
            </w:pPr>
            <w:r w:rsidRPr="00C53C14">
              <w:rPr>
                <w:b/>
                <w:sz w:val="20"/>
                <w:szCs w:val="20"/>
                <w:u w:val="single"/>
                <w:lang w:val="fr-FR"/>
              </w:rPr>
              <w:t>RR 0.81 (95% CI 0.67 - 0.98)</w:t>
            </w:r>
          </w:p>
          <w:p w14:paraId="6EDF2383"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C53C14">
              <w:rPr>
                <w:b/>
                <w:sz w:val="20"/>
                <w:szCs w:val="20"/>
                <w:u w:val="single"/>
                <w:lang w:val="fr-FR"/>
              </w:rPr>
              <w:t>RR 0.83 (95% CI 0.72 - 0.96)</w:t>
            </w:r>
            <w:r w:rsidRPr="00C53C14">
              <w:rPr>
                <w:sz w:val="20"/>
                <w:szCs w:val="20"/>
                <w:lang w:val="fr-FR"/>
              </w:rPr>
              <w:t>*</w:t>
            </w:r>
          </w:p>
          <w:p w14:paraId="6EDF2384"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lang w:val="fr-FR"/>
              </w:rPr>
            </w:pPr>
          </w:p>
          <w:p w14:paraId="6EDF2385"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lang w:val="fr-FR"/>
              </w:rPr>
            </w:pPr>
            <w:r w:rsidRPr="00C53C14">
              <w:rPr>
                <w:sz w:val="20"/>
                <w:szCs w:val="20"/>
                <w:lang w:val="fr-FR"/>
              </w:rPr>
              <w:t>RR 1.23 (95% CI 0.67 - 2.26)</w:t>
            </w:r>
          </w:p>
          <w:p w14:paraId="6EDF2386"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lang w:val="fr-FR"/>
              </w:rPr>
            </w:pPr>
          </w:p>
        </w:tc>
        <w:tc>
          <w:tcPr>
            <w:tcW w:w="2410" w:type="dxa"/>
            <w:shd w:val="clear" w:color="auto" w:fill="auto"/>
          </w:tcPr>
          <w:p w14:paraId="6EDF2387"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Low** </w:t>
            </w:r>
            <w:r w:rsidRPr="00C53C14">
              <w:rPr>
                <w:sz w:val="20"/>
                <w:szCs w:val="20"/>
                <w:lang w:val="en-US"/>
              </w:rPr>
              <w:t>/ Carson 2012</w:t>
            </w:r>
          </w:p>
          <w:p w14:paraId="6EDF2388"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Low** </w:t>
            </w:r>
            <w:r w:rsidRPr="00C53C14">
              <w:rPr>
                <w:sz w:val="20"/>
                <w:szCs w:val="20"/>
                <w:lang w:val="en-US"/>
              </w:rPr>
              <w:t>/ Rohde 2014</w:t>
            </w:r>
          </w:p>
          <w:p w14:paraId="6EDF2389"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38A"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Hébert 1999</w:t>
            </w:r>
          </w:p>
          <w:p w14:paraId="6EDF238B"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744659" w14:paraId="6EDF238E"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38D" w14:textId="77777777" w:rsidR="00744659" w:rsidRDefault="002C38C9">
            <w:pPr>
              <w:spacing w:line="360" w:lineRule="auto"/>
              <w:rPr>
                <w:sz w:val="20"/>
                <w:szCs w:val="20"/>
                <w:u w:val="single"/>
              </w:rPr>
            </w:pPr>
            <w:r>
              <w:rPr>
                <w:b w:val="0"/>
                <w:sz w:val="20"/>
                <w:szCs w:val="20"/>
                <w:u w:val="single"/>
              </w:rPr>
              <w:t>Hospital admission</w:t>
            </w:r>
          </w:p>
        </w:tc>
      </w:tr>
      <w:tr w:rsidR="00744659" w:rsidRPr="00C53C14" w14:paraId="6EDF2394" w14:textId="77777777" w:rsidTr="00744659">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38F" w14:textId="77777777" w:rsidR="00744659" w:rsidRPr="00C53C14" w:rsidRDefault="002C38C9">
            <w:pPr>
              <w:spacing w:line="360" w:lineRule="auto"/>
              <w:rPr>
                <w:sz w:val="20"/>
                <w:szCs w:val="20"/>
                <w:u w:val="single"/>
                <w:lang w:val="en-US"/>
              </w:rPr>
            </w:pPr>
            <w:r w:rsidRPr="00C53C14">
              <w:rPr>
                <w:b w:val="0"/>
                <w:sz w:val="20"/>
                <w:szCs w:val="20"/>
                <w:lang w:val="en-US"/>
              </w:rPr>
              <w:t>No significant differences in the group with an Hb of 4.3 mmol/L vs. greater than 4.3 mmol/L.</w:t>
            </w:r>
          </w:p>
        </w:tc>
        <w:tc>
          <w:tcPr>
            <w:tcW w:w="2835" w:type="dxa"/>
            <w:shd w:val="clear" w:color="auto" w:fill="auto"/>
          </w:tcPr>
          <w:p w14:paraId="6EDF2390"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MD -0.70 (95% CI -3.37 - 1.97)</w:t>
            </w:r>
          </w:p>
          <w:p w14:paraId="6EDF2391"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MD 0.11 (95% CI -0.16 - 0.13)</w:t>
            </w:r>
          </w:p>
        </w:tc>
        <w:tc>
          <w:tcPr>
            <w:tcW w:w="2410" w:type="dxa"/>
            <w:shd w:val="clear" w:color="auto" w:fill="auto"/>
          </w:tcPr>
          <w:p w14:paraId="6EDF2392"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Very low** </w:t>
            </w:r>
            <w:r w:rsidRPr="00C53C14">
              <w:rPr>
                <w:sz w:val="20"/>
                <w:szCs w:val="20"/>
                <w:lang w:val="en-US"/>
              </w:rPr>
              <w:t>/</w:t>
            </w:r>
            <w:r w:rsidRPr="00C53C14">
              <w:rPr>
                <w:i/>
                <w:sz w:val="20"/>
                <w:szCs w:val="20"/>
                <w:lang w:val="en-US"/>
              </w:rPr>
              <w:t xml:space="preserve"> </w:t>
            </w:r>
            <w:r w:rsidRPr="00C53C14">
              <w:rPr>
                <w:sz w:val="20"/>
                <w:szCs w:val="20"/>
                <w:lang w:val="en-US"/>
              </w:rPr>
              <w:t>Hébert 1999</w:t>
            </w:r>
          </w:p>
          <w:p w14:paraId="6EDF2393"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Low** </w:t>
            </w:r>
            <w:r w:rsidRPr="00C53C14">
              <w:rPr>
                <w:sz w:val="20"/>
                <w:szCs w:val="20"/>
                <w:lang w:val="en-US"/>
              </w:rPr>
              <w:t>/ Carson 2012</w:t>
            </w:r>
          </w:p>
        </w:tc>
      </w:tr>
    </w:tbl>
    <w:p w14:paraId="6EDF2395"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Results could not be pooled due to different study populations or outcome measures. </w:t>
      </w:r>
    </w:p>
    <w:p w14:paraId="6EDF2396"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397" w14:textId="77777777" w:rsidR="00744659" w:rsidRPr="00C53C14" w:rsidRDefault="00744659">
      <w:pPr>
        <w:spacing w:line="360" w:lineRule="auto"/>
        <w:rPr>
          <w:rFonts w:ascii="Calibri" w:eastAsia="Calibri" w:hAnsi="Calibri" w:cs="Calibri"/>
          <w:b/>
          <w:sz w:val="20"/>
          <w:szCs w:val="20"/>
          <w:lang w:val="en-US"/>
        </w:rPr>
      </w:pPr>
    </w:p>
    <w:p w14:paraId="6EDF2398" w14:textId="77777777" w:rsidR="00744659" w:rsidRDefault="002C38C9">
      <w:pPr>
        <w:spacing w:line="360" w:lineRule="auto"/>
        <w:rPr>
          <w:rFonts w:ascii="Calibri" w:eastAsia="Calibri" w:hAnsi="Calibri" w:cs="Calibri"/>
          <w:sz w:val="20"/>
          <w:szCs w:val="20"/>
        </w:rPr>
      </w:pPr>
      <w:r>
        <w:rPr>
          <w:rFonts w:ascii="Calibri" w:eastAsia="Calibri" w:hAnsi="Calibri" w:cs="Calibri"/>
          <w:b/>
          <w:sz w:val="20"/>
          <w:szCs w:val="20"/>
        </w:rPr>
        <w:t>C. Conclusions</w:t>
      </w:r>
    </w:p>
    <w:tbl>
      <w:tblPr>
        <w:tblStyle w:val="a9"/>
        <w:tblW w:w="10665" w:type="dxa"/>
        <w:tblInd w:w="-5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8835"/>
      </w:tblGrid>
      <w:tr w:rsidR="00744659" w14:paraId="6EDF239E" w14:textId="77777777">
        <w:tc>
          <w:tcPr>
            <w:tcW w:w="1830" w:type="dxa"/>
            <w:shd w:val="clear" w:color="auto" w:fill="EFEFEF"/>
            <w:tcMar>
              <w:top w:w="100" w:type="dxa"/>
              <w:left w:w="100" w:type="dxa"/>
              <w:bottom w:w="100" w:type="dxa"/>
              <w:right w:w="100" w:type="dxa"/>
            </w:tcMar>
            <w:vAlign w:val="center"/>
          </w:tcPr>
          <w:p w14:paraId="6EDF2399" w14:textId="77777777" w:rsidR="00744659" w:rsidRPr="00C53C14" w:rsidRDefault="002C38C9">
            <w:pPr>
              <w:widowControl w:val="0"/>
              <w:spacing w:line="360" w:lineRule="auto"/>
              <w:jc w:val="center"/>
              <w:rPr>
                <w:b/>
                <w:sz w:val="20"/>
                <w:szCs w:val="20"/>
                <w:vertAlign w:val="superscript"/>
                <w:lang w:val="en-US"/>
              </w:rPr>
            </w:pPr>
            <w:r w:rsidRPr="00C53C14">
              <w:rPr>
                <w:b/>
                <w:sz w:val="20"/>
                <w:szCs w:val="20"/>
                <w:lang w:val="en-US"/>
              </w:rPr>
              <w:t>VERY LOW QUALITY OF EVIDENCE (GRADE)</w:t>
            </w:r>
          </w:p>
        </w:tc>
        <w:tc>
          <w:tcPr>
            <w:tcW w:w="8835" w:type="dxa"/>
            <w:shd w:val="clear" w:color="auto" w:fill="auto"/>
            <w:tcMar>
              <w:top w:w="100" w:type="dxa"/>
              <w:left w:w="100" w:type="dxa"/>
              <w:bottom w:w="100" w:type="dxa"/>
              <w:right w:w="100" w:type="dxa"/>
            </w:tcMar>
            <w:vAlign w:val="center"/>
          </w:tcPr>
          <w:p w14:paraId="6EDF239A" w14:textId="77777777" w:rsidR="00744659" w:rsidRPr="00C53C14" w:rsidRDefault="00744659">
            <w:pPr>
              <w:spacing w:line="360" w:lineRule="auto"/>
              <w:rPr>
                <w:sz w:val="20"/>
                <w:szCs w:val="20"/>
                <w:lang w:val="en-US"/>
              </w:rPr>
            </w:pPr>
          </w:p>
          <w:p w14:paraId="6EDF239B" w14:textId="77777777" w:rsidR="00744659" w:rsidRPr="00C53C14" w:rsidRDefault="002C38C9">
            <w:pPr>
              <w:spacing w:line="360" w:lineRule="auto"/>
              <w:rPr>
                <w:i/>
                <w:sz w:val="20"/>
                <w:szCs w:val="20"/>
                <w:lang w:val="en-US"/>
              </w:rPr>
            </w:pPr>
            <w:r w:rsidRPr="00C53C14">
              <w:rPr>
                <w:sz w:val="20"/>
                <w:szCs w:val="20"/>
                <w:lang w:val="en-US"/>
              </w:rPr>
              <w:t xml:space="preserve">Significantly more mortality in the group with </w:t>
            </w:r>
            <w:r w:rsidRPr="00C53C14">
              <w:rPr>
                <w:i/>
                <w:sz w:val="20"/>
                <w:szCs w:val="20"/>
                <w:lang w:val="en-US"/>
              </w:rPr>
              <w:t>a hemoglobin (Hb) of 3.1 mmol/L versus a hemoglobin (Hb) greater than 3.1 mmol/L</w:t>
            </w:r>
            <w:r w:rsidRPr="00C53C14">
              <w:rPr>
                <w:sz w:val="20"/>
                <w:szCs w:val="20"/>
                <w:lang w:val="en-US"/>
              </w:rPr>
              <w:t xml:space="preserve"> in 4 studies. </w:t>
            </w:r>
          </w:p>
          <w:p w14:paraId="6EDF239C" w14:textId="77777777" w:rsidR="00744659" w:rsidRPr="00C53C14" w:rsidRDefault="00744659">
            <w:pPr>
              <w:spacing w:line="360" w:lineRule="auto"/>
              <w:rPr>
                <w:sz w:val="20"/>
                <w:szCs w:val="20"/>
                <w:lang w:val="en-US"/>
              </w:rPr>
            </w:pPr>
          </w:p>
          <w:p w14:paraId="6EDF239D" w14:textId="77777777" w:rsidR="00744659" w:rsidRDefault="002C38C9">
            <w:pPr>
              <w:spacing w:line="360" w:lineRule="auto"/>
              <w:rPr>
                <w:sz w:val="20"/>
                <w:szCs w:val="20"/>
              </w:rPr>
            </w:pPr>
            <w:r>
              <w:rPr>
                <w:sz w:val="20"/>
                <w:szCs w:val="20"/>
              </w:rPr>
              <w:t>Sources (</w:t>
            </w:r>
            <w:r>
              <w:rPr>
                <w:i/>
                <w:sz w:val="20"/>
                <w:szCs w:val="20"/>
              </w:rPr>
              <w:t>Lackritz, 1997; Shander, 2014; Carson, 2002; Viele &amp; Weiskopf, 1994</w:t>
            </w:r>
            <w:r>
              <w:rPr>
                <w:sz w:val="20"/>
                <w:szCs w:val="20"/>
              </w:rPr>
              <w:t>)</w:t>
            </w:r>
          </w:p>
        </w:tc>
      </w:tr>
    </w:tbl>
    <w:p w14:paraId="6EDF239F" w14:textId="77777777" w:rsidR="00744659" w:rsidRDefault="00744659">
      <w:pPr>
        <w:spacing w:line="360" w:lineRule="auto"/>
        <w:rPr>
          <w:rFonts w:ascii="Calibri" w:eastAsia="Calibri" w:hAnsi="Calibri" w:cs="Calibri"/>
          <w:b/>
          <w:sz w:val="20"/>
          <w:szCs w:val="20"/>
        </w:rPr>
      </w:pPr>
    </w:p>
    <w:tbl>
      <w:tblPr>
        <w:tblStyle w:val="aa"/>
        <w:tblW w:w="10665" w:type="dxa"/>
        <w:tblInd w:w="-5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8835"/>
      </w:tblGrid>
      <w:tr w:rsidR="00744659" w14:paraId="6EDF23A4" w14:textId="77777777">
        <w:tc>
          <w:tcPr>
            <w:tcW w:w="1830" w:type="dxa"/>
            <w:shd w:val="clear" w:color="auto" w:fill="EFEFEF"/>
            <w:tcMar>
              <w:top w:w="100" w:type="dxa"/>
              <w:left w:w="100" w:type="dxa"/>
              <w:bottom w:w="100" w:type="dxa"/>
              <w:right w:w="100" w:type="dxa"/>
            </w:tcMar>
            <w:vAlign w:val="center"/>
          </w:tcPr>
          <w:p w14:paraId="6EDF23A0" w14:textId="77777777" w:rsidR="00744659" w:rsidRPr="00C53C14" w:rsidRDefault="002C38C9">
            <w:pPr>
              <w:widowControl w:val="0"/>
              <w:spacing w:line="360" w:lineRule="auto"/>
              <w:jc w:val="center"/>
              <w:rPr>
                <w:b/>
                <w:sz w:val="20"/>
                <w:szCs w:val="20"/>
                <w:lang w:val="en-US"/>
              </w:rPr>
            </w:pPr>
            <w:r w:rsidRPr="00C53C14">
              <w:rPr>
                <w:b/>
                <w:sz w:val="20"/>
                <w:szCs w:val="20"/>
                <w:lang w:val="en-US"/>
              </w:rPr>
              <w:t>VERY LOW QUALITY OF EVIDENCE (GRADE)</w:t>
            </w:r>
          </w:p>
        </w:tc>
        <w:tc>
          <w:tcPr>
            <w:tcW w:w="8835" w:type="dxa"/>
            <w:shd w:val="clear" w:color="auto" w:fill="auto"/>
            <w:tcMar>
              <w:top w:w="100" w:type="dxa"/>
              <w:left w:w="100" w:type="dxa"/>
              <w:bottom w:w="100" w:type="dxa"/>
              <w:right w:w="100" w:type="dxa"/>
            </w:tcMar>
          </w:tcPr>
          <w:p w14:paraId="6EDF23A1" w14:textId="77777777" w:rsidR="00744659" w:rsidRPr="00C53C14" w:rsidRDefault="002C38C9">
            <w:pPr>
              <w:spacing w:line="360" w:lineRule="auto"/>
              <w:rPr>
                <w:sz w:val="20"/>
                <w:szCs w:val="20"/>
                <w:lang w:val="en-US"/>
              </w:rPr>
            </w:pPr>
            <w:r w:rsidRPr="00C53C14">
              <w:rPr>
                <w:sz w:val="20"/>
                <w:szCs w:val="20"/>
                <w:lang w:val="en-US"/>
              </w:rPr>
              <w:br/>
              <w:t>Significantly more mortality in the group with</w:t>
            </w:r>
            <w:r w:rsidRPr="00C53C14">
              <w:rPr>
                <w:i/>
                <w:sz w:val="20"/>
                <w:szCs w:val="20"/>
                <w:lang w:val="en-US"/>
              </w:rPr>
              <w:t xml:space="preserve"> a hemoglobin (Hb) of 3.7 mmol/L versus a hemoglobin (Hb) greater than 3.7 mmol/L</w:t>
            </w:r>
            <w:r w:rsidRPr="00C53C14">
              <w:rPr>
                <w:sz w:val="20"/>
                <w:szCs w:val="20"/>
                <w:lang w:val="en-US"/>
              </w:rPr>
              <w:t xml:space="preserve"> in 2 studies.</w:t>
            </w:r>
          </w:p>
          <w:p w14:paraId="6EDF23A2" w14:textId="77777777" w:rsidR="00744659" w:rsidRPr="00C53C14" w:rsidRDefault="00744659">
            <w:pPr>
              <w:spacing w:line="360" w:lineRule="auto"/>
              <w:rPr>
                <w:sz w:val="20"/>
                <w:szCs w:val="20"/>
                <w:lang w:val="en-US"/>
              </w:rPr>
            </w:pPr>
          </w:p>
          <w:p w14:paraId="6EDF23A3" w14:textId="77777777" w:rsidR="00744659" w:rsidRDefault="002C38C9">
            <w:pPr>
              <w:spacing w:line="360" w:lineRule="auto"/>
              <w:rPr>
                <w:sz w:val="20"/>
                <w:szCs w:val="20"/>
              </w:rPr>
            </w:pPr>
            <w:r>
              <w:rPr>
                <w:sz w:val="20"/>
                <w:szCs w:val="20"/>
              </w:rPr>
              <w:t>Sources (</w:t>
            </w:r>
            <w:r>
              <w:rPr>
                <w:i/>
                <w:sz w:val="20"/>
                <w:szCs w:val="20"/>
              </w:rPr>
              <w:t>Shander, 2014; Carson, 2002</w:t>
            </w:r>
            <w:r>
              <w:rPr>
                <w:sz w:val="20"/>
                <w:szCs w:val="20"/>
              </w:rPr>
              <w:t>)</w:t>
            </w:r>
          </w:p>
        </w:tc>
      </w:tr>
    </w:tbl>
    <w:p w14:paraId="6EDF23A5" w14:textId="77777777" w:rsidR="00744659" w:rsidRDefault="00744659">
      <w:pPr>
        <w:spacing w:line="360" w:lineRule="auto"/>
        <w:rPr>
          <w:rFonts w:ascii="Calibri" w:eastAsia="Calibri" w:hAnsi="Calibri" w:cs="Calibri"/>
          <w:b/>
          <w:sz w:val="20"/>
          <w:szCs w:val="20"/>
        </w:rPr>
      </w:pPr>
    </w:p>
    <w:tbl>
      <w:tblPr>
        <w:tblStyle w:val="ab"/>
        <w:tblW w:w="10665" w:type="dxa"/>
        <w:tblInd w:w="-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8820"/>
      </w:tblGrid>
      <w:tr w:rsidR="00744659" w:rsidRPr="00C53C14" w14:paraId="6EDF23AA" w14:textId="77777777">
        <w:tc>
          <w:tcPr>
            <w:tcW w:w="1845" w:type="dxa"/>
            <w:shd w:val="clear" w:color="auto" w:fill="EFEFEF"/>
            <w:tcMar>
              <w:top w:w="100" w:type="dxa"/>
              <w:left w:w="100" w:type="dxa"/>
              <w:bottom w:w="100" w:type="dxa"/>
              <w:right w:w="100" w:type="dxa"/>
            </w:tcMar>
            <w:vAlign w:val="center"/>
          </w:tcPr>
          <w:p w14:paraId="6EDF23A6" w14:textId="77777777" w:rsidR="00744659" w:rsidRPr="00C53C14" w:rsidRDefault="002C38C9">
            <w:pPr>
              <w:widowControl w:val="0"/>
              <w:spacing w:line="360" w:lineRule="auto"/>
              <w:jc w:val="center"/>
              <w:rPr>
                <w:b/>
                <w:sz w:val="20"/>
                <w:szCs w:val="20"/>
                <w:lang w:val="en-US"/>
              </w:rPr>
            </w:pPr>
            <w:r w:rsidRPr="00C53C14">
              <w:rPr>
                <w:b/>
                <w:sz w:val="20"/>
                <w:szCs w:val="20"/>
                <w:lang w:val="en-US"/>
              </w:rPr>
              <w:t>VERY LOW QUALITY OF EVIDENCE (GRADE)</w:t>
            </w:r>
          </w:p>
        </w:tc>
        <w:tc>
          <w:tcPr>
            <w:tcW w:w="8820" w:type="dxa"/>
            <w:shd w:val="clear" w:color="auto" w:fill="auto"/>
            <w:tcMar>
              <w:top w:w="100" w:type="dxa"/>
              <w:left w:w="100" w:type="dxa"/>
              <w:bottom w:w="100" w:type="dxa"/>
              <w:right w:w="100" w:type="dxa"/>
            </w:tcMar>
          </w:tcPr>
          <w:p w14:paraId="6EDF23A7" w14:textId="77777777" w:rsidR="00744659" w:rsidRPr="00C53C14" w:rsidRDefault="002C38C9">
            <w:pPr>
              <w:spacing w:line="360" w:lineRule="auto"/>
              <w:rPr>
                <w:sz w:val="20"/>
                <w:szCs w:val="20"/>
                <w:lang w:val="en-US"/>
              </w:rPr>
            </w:pPr>
            <w:r w:rsidRPr="00C53C14">
              <w:rPr>
                <w:sz w:val="20"/>
                <w:szCs w:val="20"/>
                <w:lang w:val="en-US"/>
              </w:rPr>
              <w:t xml:space="preserve">There is no increased risk for mortality, morbidity, and transfusion-related complications with </w:t>
            </w:r>
            <w:r w:rsidRPr="00C53C14">
              <w:rPr>
                <w:i/>
                <w:sz w:val="20"/>
                <w:szCs w:val="20"/>
                <w:lang w:val="en-US"/>
              </w:rPr>
              <w:t>a hemoglobin (Hb) of 4.3 mmol/L versus a hemoglobin (Hb) greater than 4.3 mmol/L</w:t>
            </w:r>
            <w:r w:rsidRPr="00C53C14">
              <w:rPr>
                <w:sz w:val="20"/>
                <w:szCs w:val="20"/>
                <w:lang w:val="en-US"/>
              </w:rPr>
              <w:t xml:space="preserve"> in 4 out of 6 studies. However, 1 study reported significantly less mortality and 1 study reported significantly more mortality. Moreover, there were two studies who reported significantly less infections with </w:t>
            </w:r>
            <w:r w:rsidRPr="00C53C14">
              <w:rPr>
                <w:i/>
                <w:sz w:val="20"/>
                <w:szCs w:val="20"/>
                <w:lang w:val="en-US"/>
              </w:rPr>
              <w:t>a hemoglobin (Hb) of 4.3 mmol/L versus a hemoglobin (Hb) greater than 4.3 mmol/L.</w:t>
            </w:r>
            <w:r w:rsidRPr="00C53C14">
              <w:rPr>
                <w:sz w:val="20"/>
                <w:szCs w:val="20"/>
                <w:lang w:val="en-US"/>
              </w:rPr>
              <w:t xml:space="preserve"> In addition, there are no studies reporting any other significant potential benefit from a hemoglobin (Hb) greater than 4.3 mmol/L versus a hemoglobin (Hb) of 4.3 mmol/L (5 studies). </w:t>
            </w:r>
          </w:p>
          <w:p w14:paraId="6EDF23A8" w14:textId="77777777" w:rsidR="00744659" w:rsidRPr="00C53C14" w:rsidRDefault="00744659">
            <w:pPr>
              <w:spacing w:line="360" w:lineRule="auto"/>
              <w:rPr>
                <w:sz w:val="20"/>
                <w:szCs w:val="20"/>
                <w:lang w:val="en-US"/>
              </w:rPr>
            </w:pPr>
          </w:p>
          <w:p w14:paraId="6EDF23A9" w14:textId="77777777" w:rsidR="00744659" w:rsidRPr="00C53C14" w:rsidRDefault="002C38C9">
            <w:pPr>
              <w:spacing w:line="360" w:lineRule="auto"/>
              <w:rPr>
                <w:i/>
                <w:sz w:val="20"/>
                <w:szCs w:val="20"/>
                <w:lang w:val="fr-FR"/>
              </w:rPr>
            </w:pPr>
            <w:r w:rsidRPr="00C53C14">
              <w:rPr>
                <w:sz w:val="20"/>
                <w:szCs w:val="20"/>
                <w:lang w:val="fr-FR"/>
              </w:rPr>
              <w:lastRenderedPageBreak/>
              <w:t>Sources (</w:t>
            </w:r>
            <w:r w:rsidRPr="00C53C14">
              <w:rPr>
                <w:i/>
                <w:sz w:val="20"/>
                <w:szCs w:val="20"/>
                <w:lang w:val="fr-FR"/>
              </w:rPr>
              <w:t>Lightdale, 2012; Robitaille, 2013; Lacroix, 2012; Carson, 2002; Carson, 2012; Hébert, 1999; Rohde, 2014; Shander, 2014</w:t>
            </w:r>
            <w:r w:rsidRPr="00C53C14">
              <w:rPr>
                <w:sz w:val="20"/>
                <w:szCs w:val="20"/>
                <w:lang w:val="fr-FR"/>
              </w:rPr>
              <w:t>)</w:t>
            </w:r>
          </w:p>
        </w:tc>
      </w:tr>
    </w:tbl>
    <w:p w14:paraId="6EDF23AB" w14:textId="77777777" w:rsidR="00744659" w:rsidRPr="00C53C14" w:rsidRDefault="00744659">
      <w:pPr>
        <w:spacing w:line="360" w:lineRule="auto"/>
        <w:rPr>
          <w:rFonts w:ascii="Calibri" w:eastAsia="Calibri" w:hAnsi="Calibri" w:cs="Calibri"/>
          <w:sz w:val="18"/>
          <w:szCs w:val="18"/>
          <w:lang w:val="fr-FR"/>
        </w:rPr>
        <w:sectPr w:rsidR="00744659" w:rsidRPr="00C53C14">
          <w:pgSz w:w="11909" w:h="16834"/>
          <w:pgMar w:top="1440" w:right="1440" w:bottom="1440" w:left="1440" w:header="720" w:footer="720" w:gutter="0"/>
          <w:pgNumType w:start="1"/>
          <w:cols w:space="708"/>
        </w:sectPr>
      </w:pPr>
    </w:p>
    <w:p w14:paraId="6EDF23AC"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1.2 PROPHYLACTIC RED BLOOD CELL TRANSFUSION IN NEONATES WITH CANCER</w:t>
      </w:r>
    </w:p>
    <w:p w14:paraId="6EDF23AD"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A. Discussion of the literature</w:t>
      </w:r>
    </w:p>
    <w:p w14:paraId="6EDF23AE"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A1: Discussion of the evidence</w:t>
      </w:r>
    </w:p>
    <w:p w14:paraId="6EDF23AF"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A1.1: Evidence in pediatric oncology</w:t>
      </w:r>
    </w:p>
    <w:p w14:paraId="6EDF23B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No pediatric oncology studies were included.</w:t>
      </w:r>
    </w:p>
    <w:p w14:paraId="6EDF23B1" w14:textId="77777777" w:rsidR="00744659" w:rsidRPr="00C53C14" w:rsidRDefault="00744659">
      <w:pPr>
        <w:spacing w:line="360" w:lineRule="auto"/>
        <w:rPr>
          <w:rFonts w:ascii="Calibri" w:eastAsia="Calibri" w:hAnsi="Calibri" w:cs="Calibri"/>
          <w:sz w:val="20"/>
          <w:szCs w:val="20"/>
          <w:lang w:val="en-US"/>
        </w:rPr>
      </w:pPr>
    </w:p>
    <w:p w14:paraId="6EDF23B2"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A1.2: Recommendations and evidence derived from guidelines</w:t>
      </w:r>
    </w:p>
    <w:p w14:paraId="6EDF23B3" w14:textId="10C50523"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sz w:val="20"/>
          <w:szCs w:val="20"/>
          <w:lang w:val="en-US"/>
        </w:rPr>
        <w:t xml:space="preserve">Four out of seven guidelines included recommendations </w:t>
      </w:r>
      <w:r w:rsidRPr="00C53C14">
        <w:rPr>
          <w:rFonts w:ascii="Calibri" w:eastAsia="Calibri" w:hAnsi="Calibri" w:cs="Calibri"/>
          <w:sz w:val="20"/>
          <w:szCs w:val="20"/>
          <w:u w:val="single"/>
          <w:lang w:val="en-US"/>
        </w:rPr>
        <w:t>for neonates</w:t>
      </w:r>
      <w:r w:rsidRPr="00C53C14">
        <w:rPr>
          <w:rFonts w:ascii="Calibri" w:eastAsia="Calibri" w:hAnsi="Calibri" w:cs="Calibri"/>
          <w:sz w:val="20"/>
          <w:szCs w:val="20"/>
          <w:lang w:val="en-US"/>
        </w:rPr>
        <w:t>. The Dutch Association of Medical Specialists (2</w:t>
      </w:r>
      <w:r w:rsidR="00B477AC">
        <w:rPr>
          <w:rFonts w:ascii="Calibri" w:eastAsia="Calibri" w:hAnsi="Calibri" w:cs="Calibri"/>
          <w:sz w:val="20"/>
          <w:szCs w:val="20"/>
          <w:lang w:val="en-US"/>
        </w:rPr>
        <w:t>2</w:t>
      </w:r>
      <w:r w:rsidRPr="00C53C14">
        <w:rPr>
          <w:rFonts w:ascii="Calibri" w:eastAsia="Calibri" w:hAnsi="Calibri" w:cs="Calibri"/>
          <w:sz w:val="20"/>
          <w:szCs w:val="20"/>
          <w:lang w:val="en-US"/>
        </w:rPr>
        <w:t>) has recommended a hemoglobin (Hb) threshold of 6.5 mmol/L in neonates less than 1 week old, between 2-3 weeks old an Hb threshold of 5.5 mmol/L and an Hb threshold of 4.5 mmol/L in neonates older than 3 weeks (49-53). JPAC (2013) (</w:t>
      </w:r>
      <w:r w:rsidR="00B477AC">
        <w:rPr>
          <w:rFonts w:ascii="Calibri" w:eastAsia="Calibri" w:hAnsi="Calibri" w:cs="Calibri"/>
          <w:sz w:val="20"/>
          <w:szCs w:val="20"/>
          <w:lang w:val="en-US"/>
        </w:rPr>
        <w:t>41</w:t>
      </w:r>
      <w:r w:rsidRPr="00C53C14">
        <w:rPr>
          <w:rFonts w:ascii="Calibri" w:eastAsia="Calibri" w:hAnsi="Calibri" w:cs="Calibri"/>
          <w:sz w:val="20"/>
          <w:szCs w:val="20"/>
          <w:lang w:val="en-US"/>
        </w:rPr>
        <w:t>) has based their recommendations on the British Committee for Standards in Haematology (BCSH) (2016) (4</w:t>
      </w:r>
      <w:r w:rsidR="006773C5">
        <w:rPr>
          <w:rFonts w:ascii="Calibri" w:eastAsia="Calibri" w:hAnsi="Calibri" w:cs="Calibri"/>
          <w:sz w:val="20"/>
          <w:szCs w:val="20"/>
          <w:lang w:val="en-US"/>
        </w:rPr>
        <w:t>4</w:t>
      </w:r>
      <w:r w:rsidRPr="00C53C14">
        <w:rPr>
          <w:rFonts w:ascii="Calibri" w:eastAsia="Calibri" w:hAnsi="Calibri" w:cs="Calibri"/>
          <w:sz w:val="20"/>
          <w:szCs w:val="20"/>
          <w:lang w:val="en-US"/>
        </w:rPr>
        <w:t xml:space="preserve">) and has recommended Hb threshold of 6.2 mmol/L in neonates less than 1 week old. For neonates older than 2 weeks it is recommended to maintain the Hb between 4.7 and 5.3 mmol/L depending on their clinical situation (50-54). </w:t>
      </w:r>
    </w:p>
    <w:p w14:paraId="6EDF23B4" w14:textId="77777777" w:rsidR="00744659" w:rsidRPr="00C53C14" w:rsidRDefault="00744659">
      <w:pPr>
        <w:spacing w:line="360" w:lineRule="auto"/>
        <w:rPr>
          <w:rFonts w:ascii="Calibri" w:eastAsia="Calibri" w:hAnsi="Calibri" w:cs="Calibri"/>
          <w:i/>
          <w:sz w:val="20"/>
          <w:szCs w:val="20"/>
          <w:lang w:val="en-US"/>
        </w:rPr>
      </w:pPr>
    </w:p>
    <w:p w14:paraId="6EDF23B5"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3B6"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A2.1: Neonates with cancer</w:t>
      </w:r>
    </w:p>
    <w:p w14:paraId="6EDF23B7"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There were no primary pediatric oncology studies included from the systematic literature search. </w:t>
      </w:r>
    </w:p>
    <w:p w14:paraId="6EDF23B8" w14:textId="77777777" w:rsidR="00744659" w:rsidRPr="00C53C14" w:rsidRDefault="00744659">
      <w:pPr>
        <w:spacing w:line="360" w:lineRule="auto"/>
        <w:rPr>
          <w:rFonts w:ascii="Calibri" w:eastAsia="Calibri" w:hAnsi="Calibri" w:cs="Calibri"/>
          <w:sz w:val="20"/>
          <w:szCs w:val="20"/>
          <w:lang w:val="en-US"/>
        </w:rPr>
      </w:pPr>
    </w:p>
    <w:p w14:paraId="6EDF23B9"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A2.2: Neonates in general</w:t>
      </w:r>
    </w:p>
    <w:p w14:paraId="6EDF23BA"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There were six studies included from the additional literature review (49-53, 55, 56). </w:t>
      </w:r>
    </w:p>
    <w:p w14:paraId="6EDF23BB" w14:textId="77777777" w:rsidR="00744659" w:rsidRPr="00C53C14" w:rsidRDefault="00744659">
      <w:pPr>
        <w:spacing w:line="360" w:lineRule="auto"/>
        <w:rPr>
          <w:rFonts w:ascii="Calibri" w:eastAsia="Calibri" w:hAnsi="Calibri" w:cs="Calibri"/>
          <w:sz w:val="20"/>
          <w:szCs w:val="20"/>
          <w:lang w:val="en-US"/>
        </w:rPr>
      </w:pPr>
    </w:p>
    <w:p w14:paraId="6EDF23BC"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 characteristics of the included studies are stated in the evidence table below. The studies differ from each other in patient population (gestational age and birth weight) and in methodology. </w:t>
      </w:r>
    </w:p>
    <w:p w14:paraId="6EDF23BD" w14:textId="77777777" w:rsidR="00744659" w:rsidRPr="00C53C14" w:rsidRDefault="00744659">
      <w:pPr>
        <w:spacing w:line="360" w:lineRule="auto"/>
        <w:rPr>
          <w:rFonts w:ascii="Calibri" w:eastAsia="Calibri" w:hAnsi="Calibri" w:cs="Calibri"/>
          <w:b/>
          <w:sz w:val="20"/>
          <w:szCs w:val="20"/>
          <w:lang w:val="en-US"/>
        </w:rPr>
      </w:pPr>
    </w:p>
    <w:p w14:paraId="6EDF23BE"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Table 1.</w:t>
      </w:r>
      <w:r w:rsidRPr="00C53C14">
        <w:rPr>
          <w:rFonts w:ascii="Calibri" w:eastAsia="Calibri" w:hAnsi="Calibri" w:cs="Calibri"/>
          <w:sz w:val="20"/>
          <w:szCs w:val="20"/>
          <w:lang w:val="en-US"/>
        </w:rPr>
        <w:t xml:space="preserve"> Characteristics of the included studies regarding neonates with cancer.</w:t>
      </w:r>
    </w:p>
    <w:tbl>
      <w:tblPr>
        <w:tblStyle w:val="ac"/>
        <w:tblW w:w="11624"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6"/>
        <w:gridCol w:w="1560"/>
        <w:gridCol w:w="3543"/>
        <w:gridCol w:w="4111"/>
        <w:gridCol w:w="1134"/>
      </w:tblGrid>
      <w:tr w:rsidR="00744659" w14:paraId="6EDF23C0" w14:textId="77777777">
        <w:trPr>
          <w:trHeight w:val="71"/>
        </w:trPr>
        <w:tc>
          <w:tcPr>
            <w:tcW w:w="11624" w:type="dxa"/>
            <w:gridSpan w:val="5"/>
            <w:shd w:val="clear" w:color="auto" w:fill="000000"/>
            <w:tcMar>
              <w:top w:w="100" w:type="dxa"/>
              <w:left w:w="100" w:type="dxa"/>
              <w:bottom w:w="100" w:type="dxa"/>
              <w:right w:w="100" w:type="dxa"/>
            </w:tcMar>
          </w:tcPr>
          <w:p w14:paraId="6EDF23BF" w14:textId="77777777" w:rsidR="00744659" w:rsidRDefault="002C38C9">
            <w:pPr>
              <w:spacing w:line="360" w:lineRule="auto"/>
              <w:rPr>
                <w:b/>
                <w:color w:val="FFFFFF"/>
                <w:sz w:val="20"/>
                <w:szCs w:val="20"/>
              </w:rPr>
            </w:pPr>
            <w:r>
              <w:rPr>
                <w:b/>
                <w:color w:val="FFFFFF"/>
                <w:sz w:val="20"/>
                <w:szCs w:val="20"/>
              </w:rPr>
              <w:t>Included studies</w:t>
            </w:r>
          </w:p>
        </w:tc>
      </w:tr>
      <w:tr w:rsidR="00744659" w14:paraId="6EDF23C6" w14:textId="77777777">
        <w:trPr>
          <w:trHeight w:val="360"/>
        </w:trPr>
        <w:tc>
          <w:tcPr>
            <w:tcW w:w="1276" w:type="dxa"/>
            <w:shd w:val="clear" w:color="auto" w:fill="D9D9D9"/>
            <w:tcMar>
              <w:top w:w="100" w:type="dxa"/>
              <w:left w:w="100" w:type="dxa"/>
              <w:bottom w:w="100" w:type="dxa"/>
              <w:right w:w="100" w:type="dxa"/>
            </w:tcMar>
          </w:tcPr>
          <w:p w14:paraId="6EDF23C1" w14:textId="77777777" w:rsidR="00744659" w:rsidRDefault="002C38C9">
            <w:pPr>
              <w:spacing w:line="360" w:lineRule="auto"/>
              <w:rPr>
                <w:b/>
                <w:sz w:val="20"/>
                <w:szCs w:val="20"/>
              </w:rPr>
            </w:pPr>
            <w:r>
              <w:rPr>
                <w:b/>
                <w:sz w:val="20"/>
                <w:szCs w:val="20"/>
              </w:rPr>
              <w:t>Study</w:t>
            </w:r>
          </w:p>
        </w:tc>
        <w:tc>
          <w:tcPr>
            <w:tcW w:w="1560" w:type="dxa"/>
            <w:shd w:val="clear" w:color="auto" w:fill="D9D9D9"/>
            <w:tcMar>
              <w:top w:w="100" w:type="dxa"/>
              <w:left w:w="100" w:type="dxa"/>
              <w:bottom w:w="100" w:type="dxa"/>
              <w:right w:w="100" w:type="dxa"/>
            </w:tcMar>
          </w:tcPr>
          <w:p w14:paraId="6EDF23C2" w14:textId="77777777" w:rsidR="00744659" w:rsidRDefault="002C38C9">
            <w:pPr>
              <w:spacing w:line="360" w:lineRule="auto"/>
              <w:rPr>
                <w:b/>
                <w:sz w:val="20"/>
                <w:szCs w:val="20"/>
              </w:rPr>
            </w:pPr>
            <w:r>
              <w:rPr>
                <w:b/>
                <w:sz w:val="20"/>
                <w:szCs w:val="20"/>
              </w:rPr>
              <w:t>Population</w:t>
            </w:r>
          </w:p>
        </w:tc>
        <w:tc>
          <w:tcPr>
            <w:tcW w:w="3543" w:type="dxa"/>
            <w:shd w:val="clear" w:color="auto" w:fill="D9D9D9"/>
            <w:tcMar>
              <w:top w:w="100" w:type="dxa"/>
              <w:left w:w="100" w:type="dxa"/>
              <w:bottom w:w="100" w:type="dxa"/>
              <w:right w:w="100" w:type="dxa"/>
            </w:tcMar>
          </w:tcPr>
          <w:p w14:paraId="6EDF23C3" w14:textId="77777777" w:rsidR="00744659" w:rsidRDefault="002C38C9">
            <w:pPr>
              <w:spacing w:line="360" w:lineRule="auto"/>
              <w:rPr>
                <w:b/>
                <w:sz w:val="20"/>
                <w:szCs w:val="20"/>
              </w:rPr>
            </w:pPr>
            <w:r>
              <w:rPr>
                <w:b/>
                <w:sz w:val="20"/>
                <w:szCs w:val="20"/>
              </w:rPr>
              <w:t>Liberal threshold</w:t>
            </w:r>
          </w:p>
        </w:tc>
        <w:tc>
          <w:tcPr>
            <w:tcW w:w="4111" w:type="dxa"/>
            <w:shd w:val="clear" w:color="auto" w:fill="D9D9D9"/>
            <w:tcMar>
              <w:top w:w="100" w:type="dxa"/>
              <w:left w:w="100" w:type="dxa"/>
              <w:bottom w:w="100" w:type="dxa"/>
              <w:right w:w="100" w:type="dxa"/>
            </w:tcMar>
          </w:tcPr>
          <w:p w14:paraId="6EDF23C4" w14:textId="77777777" w:rsidR="00744659" w:rsidRDefault="002C38C9">
            <w:pPr>
              <w:spacing w:line="360" w:lineRule="auto"/>
              <w:rPr>
                <w:b/>
                <w:sz w:val="20"/>
                <w:szCs w:val="20"/>
              </w:rPr>
            </w:pPr>
            <w:r>
              <w:rPr>
                <w:b/>
                <w:sz w:val="20"/>
                <w:szCs w:val="20"/>
              </w:rPr>
              <w:t>Restrictive threshold</w:t>
            </w:r>
          </w:p>
        </w:tc>
        <w:tc>
          <w:tcPr>
            <w:tcW w:w="1134" w:type="dxa"/>
            <w:shd w:val="clear" w:color="auto" w:fill="D9D9D9"/>
            <w:tcMar>
              <w:top w:w="100" w:type="dxa"/>
              <w:left w:w="100" w:type="dxa"/>
              <w:bottom w:w="100" w:type="dxa"/>
              <w:right w:w="100" w:type="dxa"/>
            </w:tcMar>
          </w:tcPr>
          <w:p w14:paraId="6EDF23C5" w14:textId="77777777" w:rsidR="00744659" w:rsidRDefault="002C38C9">
            <w:pPr>
              <w:spacing w:line="360" w:lineRule="auto"/>
              <w:rPr>
                <w:b/>
                <w:sz w:val="20"/>
                <w:szCs w:val="20"/>
              </w:rPr>
            </w:pPr>
            <w:r>
              <w:rPr>
                <w:b/>
                <w:sz w:val="20"/>
                <w:szCs w:val="20"/>
              </w:rPr>
              <w:t xml:space="preserve">Outcomes </w:t>
            </w:r>
          </w:p>
        </w:tc>
      </w:tr>
      <w:tr w:rsidR="00744659" w14:paraId="6EDF23D3" w14:textId="77777777">
        <w:trPr>
          <w:trHeight w:val="360"/>
        </w:trPr>
        <w:tc>
          <w:tcPr>
            <w:tcW w:w="1276" w:type="dxa"/>
            <w:tcMar>
              <w:top w:w="100" w:type="dxa"/>
              <w:left w:w="100" w:type="dxa"/>
              <w:bottom w:w="100" w:type="dxa"/>
              <w:right w:w="100" w:type="dxa"/>
            </w:tcMar>
          </w:tcPr>
          <w:p w14:paraId="6EDF23C7" w14:textId="77777777" w:rsidR="00744659" w:rsidRDefault="002C38C9">
            <w:pPr>
              <w:spacing w:line="360" w:lineRule="auto"/>
              <w:rPr>
                <w:i/>
                <w:sz w:val="20"/>
                <w:szCs w:val="20"/>
              </w:rPr>
            </w:pPr>
            <w:r>
              <w:rPr>
                <w:sz w:val="20"/>
                <w:szCs w:val="20"/>
              </w:rPr>
              <w:t>Bell (2005)</w:t>
            </w:r>
            <w:r>
              <w:rPr>
                <w:sz w:val="20"/>
                <w:szCs w:val="20"/>
              </w:rPr>
              <w:br/>
            </w:r>
            <w:r>
              <w:rPr>
                <w:i/>
                <w:sz w:val="20"/>
                <w:szCs w:val="20"/>
              </w:rPr>
              <w:t>RCT</w:t>
            </w:r>
          </w:p>
        </w:tc>
        <w:tc>
          <w:tcPr>
            <w:tcW w:w="1560" w:type="dxa"/>
            <w:tcMar>
              <w:top w:w="100" w:type="dxa"/>
              <w:left w:w="100" w:type="dxa"/>
              <w:bottom w:w="100" w:type="dxa"/>
              <w:right w:w="100" w:type="dxa"/>
            </w:tcMar>
          </w:tcPr>
          <w:p w14:paraId="6EDF23C8" w14:textId="77777777" w:rsidR="00744659" w:rsidRPr="00C53C14" w:rsidRDefault="002C38C9">
            <w:pPr>
              <w:spacing w:line="360" w:lineRule="auto"/>
              <w:rPr>
                <w:sz w:val="20"/>
                <w:szCs w:val="20"/>
                <w:lang w:val="en-US"/>
              </w:rPr>
            </w:pPr>
            <w:r w:rsidRPr="00C53C14">
              <w:rPr>
                <w:sz w:val="20"/>
                <w:szCs w:val="20"/>
                <w:lang w:val="en-US"/>
              </w:rPr>
              <w:t xml:space="preserve">103 neonates with very low birth weight </w:t>
            </w:r>
            <w:r w:rsidRPr="00C53C14">
              <w:rPr>
                <w:sz w:val="20"/>
                <w:szCs w:val="20"/>
                <w:lang w:val="en-US"/>
              </w:rPr>
              <w:lastRenderedPageBreak/>
              <w:t>(500 to 1300 grams)</w:t>
            </w:r>
          </w:p>
        </w:tc>
        <w:tc>
          <w:tcPr>
            <w:tcW w:w="3543" w:type="dxa"/>
            <w:tcMar>
              <w:top w:w="100" w:type="dxa"/>
              <w:left w:w="100" w:type="dxa"/>
              <w:bottom w:w="100" w:type="dxa"/>
              <w:right w:w="100" w:type="dxa"/>
            </w:tcMar>
          </w:tcPr>
          <w:p w14:paraId="6EDF23C9" w14:textId="77777777" w:rsidR="00744659" w:rsidRPr="00C53C14" w:rsidRDefault="002C38C9">
            <w:pPr>
              <w:widowControl w:val="0"/>
              <w:spacing w:line="360" w:lineRule="auto"/>
              <w:rPr>
                <w:sz w:val="20"/>
                <w:szCs w:val="20"/>
                <w:lang w:val="en-US"/>
              </w:rPr>
            </w:pPr>
            <w:r w:rsidRPr="00C53C14">
              <w:rPr>
                <w:sz w:val="20"/>
                <w:szCs w:val="20"/>
                <w:lang w:val="en-US"/>
              </w:rPr>
              <w:lastRenderedPageBreak/>
              <w:t>- Neonates on ventilation 8.4 mmol/L</w:t>
            </w:r>
          </w:p>
          <w:p w14:paraId="6EDF23CA" w14:textId="77777777" w:rsidR="00744659" w:rsidRPr="00C53C14" w:rsidRDefault="002C38C9">
            <w:pPr>
              <w:widowControl w:val="0"/>
              <w:spacing w:line="360" w:lineRule="auto"/>
              <w:rPr>
                <w:sz w:val="20"/>
                <w:szCs w:val="20"/>
                <w:lang w:val="en-US"/>
              </w:rPr>
            </w:pPr>
            <w:r w:rsidRPr="00C53C14">
              <w:rPr>
                <w:sz w:val="20"/>
                <w:szCs w:val="20"/>
                <w:lang w:val="en-US"/>
              </w:rPr>
              <w:t xml:space="preserve">- Neonates on oxygen/CPAP 6.9 mmol/L </w:t>
            </w:r>
          </w:p>
          <w:p w14:paraId="6EDF23CB"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5.4 mmol/L</w:t>
            </w:r>
          </w:p>
        </w:tc>
        <w:tc>
          <w:tcPr>
            <w:tcW w:w="4111" w:type="dxa"/>
            <w:tcMar>
              <w:top w:w="100" w:type="dxa"/>
              <w:left w:w="100" w:type="dxa"/>
              <w:bottom w:w="100" w:type="dxa"/>
              <w:right w:w="100" w:type="dxa"/>
            </w:tcMar>
          </w:tcPr>
          <w:p w14:paraId="6EDF23CC" w14:textId="77777777" w:rsidR="00744659" w:rsidRPr="00C53C14" w:rsidRDefault="002C38C9">
            <w:pPr>
              <w:widowControl w:val="0"/>
              <w:spacing w:line="360" w:lineRule="auto"/>
              <w:rPr>
                <w:sz w:val="20"/>
                <w:szCs w:val="20"/>
                <w:lang w:val="en-US"/>
              </w:rPr>
            </w:pPr>
            <w:r w:rsidRPr="00C53C14">
              <w:rPr>
                <w:sz w:val="20"/>
                <w:szCs w:val="20"/>
                <w:lang w:val="en-US"/>
              </w:rPr>
              <w:t>- Neonates on ventilation 6.2 mmol/L</w:t>
            </w:r>
          </w:p>
          <w:p w14:paraId="6EDF23CD" w14:textId="77777777" w:rsidR="00744659" w:rsidRPr="00C53C14" w:rsidRDefault="002C38C9">
            <w:pPr>
              <w:widowControl w:val="0"/>
              <w:spacing w:line="360" w:lineRule="auto"/>
              <w:rPr>
                <w:sz w:val="20"/>
                <w:szCs w:val="20"/>
                <w:lang w:val="en-US"/>
              </w:rPr>
            </w:pPr>
            <w:r w:rsidRPr="00C53C14">
              <w:rPr>
                <w:sz w:val="20"/>
                <w:szCs w:val="20"/>
                <w:lang w:val="en-US"/>
              </w:rPr>
              <w:t>- Neonates on oxygen/CPAP 5.0 mmol/L</w:t>
            </w:r>
          </w:p>
          <w:p w14:paraId="6EDF23CE"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4.4 mmol/L</w:t>
            </w:r>
          </w:p>
        </w:tc>
        <w:tc>
          <w:tcPr>
            <w:tcW w:w="1134" w:type="dxa"/>
            <w:tcMar>
              <w:top w:w="100" w:type="dxa"/>
              <w:left w:w="100" w:type="dxa"/>
              <w:bottom w:w="100" w:type="dxa"/>
              <w:right w:w="100" w:type="dxa"/>
            </w:tcMar>
          </w:tcPr>
          <w:p w14:paraId="6EDF23CF" w14:textId="77777777" w:rsidR="00744659" w:rsidRDefault="002C38C9">
            <w:pPr>
              <w:spacing w:line="360" w:lineRule="auto"/>
              <w:rPr>
                <w:sz w:val="20"/>
                <w:szCs w:val="20"/>
              </w:rPr>
            </w:pPr>
            <w:r>
              <w:rPr>
                <w:sz w:val="20"/>
                <w:szCs w:val="20"/>
              </w:rPr>
              <w:t>- Mortality</w:t>
            </w:r>
          </w:p>
          <w:p w14:paraId="6EDF23D0" w14:textId="77777777" w:rsidR="00744659" w:rsidRDefault="002C38C9">
            <w:pPr>
              <w:spacing w:line="360" w:lineRule="auto"/>
              <w:rPr>
                <w:sz w:val="20"/>
                <w:szCs w:val="20"/>
              </w:rPr>
            </w:pPr>
            <w:r>
              <w:rPr>
                <w:sz w:val="20"/>
                <w:szCs w:val="20"/>
              </w:rPr>
              <w:t>- Morbidity</w:t>
            </w:r>
          </w:p>
          <w:p w14:paraId="6EDF23D1" w14:textId="77777777" w:rsidR="00744659" w:rsidRDefault="002C38C9">
            <w:pPr>
              <w:spacing w:line="360" w:lineRule="auto"/>
              <w:rPr>
                <w:sz w:val="20"/>
                <w:szCs w:val="20"/>
              </w:rPr>
            </w:pPr>
            <w:r>
              <w:rPr>
                <w:sz w:val="20"/>
                <w:szCs w:val="20"/>
              </w:rPr>
              <w:t>- Costs</w:t>
            </w:r>
          </w:p>
          <w:p w14:paraId="6EDF23D2" w14:textId="77777777" w:rsidR="00744659" w:rsidRDefault="00744659">
            <w:pPr>
              <w:spacing w:line="360" w:lineRule="auto"/>
              <w:rPr>
                <w:sz w:val="20"/>
                <w:szCs w:val="20"/>
              </w:rPr>
            </w:pPr>
          </w:p>
        </w:tc>
      </w:tr>
      <w:tr w:rsidR="00744659" w14:paraId="6EDF23DC" w14:textId="77777777">
        <w:trPr>
          <w:trHeight w:val="360"/>
        </w:trPr>
        <w:tc>
          <w:tcPr>
            <w:tcW w:w="1276" w:type="dxa"/>
            <w:shd w:val="clear" w:color="auto" w:fill="auto"/>
            <w:tcMar>
              <w:top w:w="100" w:type="dxa"/>
              <w:left w:w="100" w:type="dxa"/>
              <w:bottom w:w="100" w:type="dxa"/>
              <w:right w:w="100" w:type="dxa"/>
            </w:tcMar>
          </w:tcPr>
          <w:p w14:paraId="6EDF23D4" w14:textId="77777777" w:rsidR="00744659" w:rsidRDefault="002C38C9">
            <w:pPr>
              <w:spacing w:line="360" w:lineRule="auto"/>
              <w:rPr>
                <w:sz w:val="20"/>
                <w:szCs w:val="20"/>
              </w:rPr>
            </w:pPr>
            <w:r>
              <w:rPr>
                <w:sz w:val="20"/>
                <w:szCs w:val="20"/>
              </w:rPr>
              <w:t>Brooks (1999)</w:t>
            </w:r>
          </w:p>
          <w:p w14:paraId="6EDF23D5" w14:textId="77777777" w:rsidR="00744659" w:rsidRDefault="002C38C9">
            <w:pPr>
              <w:spacing w:line="360" w:lineRule="auto"/>
              <w:rPr>
                <w:i/>
                <w:sz w:val="20"/>
                <w:szCs w:val="20"/>
              </w:rPr>
            </w:pPr>
            <w:r>
              <w:rPr>
                <w:i/>
                <w:sz w:val="20"/>
                <w:szCs w:val="20"/>
              </w:rPr>
              <w:t>RCT</w:t>
            </w:r>
          </w:p>
        </w:tc>
        <w:tc>
          <w:tcPr>
            <w:tcW w:w="1560" w:type="dxa"/>
            <w:tcMar>
              <w:top w:w="100" w:type="dxa"/>
              <w:left w:w="100" w:type="dxa"/>
              <w:bottom w:w="100" w:type="dxa"/>
              <w:right w:w="100" w:type="dxa"/>
            </w:tcMar>
          </w:tcPr>
          <w:p w14:paraId="6EDF23D6" w14:textId="77777777" w:rsidR="00744659" w:rsidRPr="00C53C14" w:rsidRDefault="002C38C9">
            <w:pPr>
              <w:spacing w:line="360" w:lineRule="auto"/>
              <w:rPr>
                <w:sz w:val="20"/>
                <w:szCs w:val="20"/>
                <w:lang w:val="en-US"/>
              </w:rPr>
            </w:pPr>
            <w:r w:rsidRPr="00C53C14">
              <w:rPr>
                <w:sz w:val="20"/>
                <w:szCs w:val="20"/>
                <w:lang w:val="en-US"/>
              </w:rPr>
              <w:t>50 neonates with very low birthweight (&lt;1250 grams)</w:t>
            </w:r>
          </w:p>
        </w:tc>
        <w:tc>
          <w:tcPr>
            <w:tcW w:w="3543" w:type="dxa"/>
            <w:tcMar>
              <w:top w:w="100" w:type="dxa"/>
              <w:left w:w="100" w:type="dxa"/>
              <w:bottom w:w="100" w:type="dxa"/>
              <w:right w:w="100" w:type="dxa"/>
            </w:tcMar>
          </w:tcPr>
          <w:p w14:paraId="6EDF23D7" w14:textId="77777777" w:rsidR="00744659" w:rsidRDefault="002C38C9">
            <w:pPr>
              <w:widowControl w:val="0"/>
              <w:spacing w:line="360" w:lineRule="auto"/>
              <w:rPr>
                <w:sz w:val="20"/>
                <w:szCs w:val="20"/>
              </w:rPr>
            </w:pPr>
            <w:r>
              <w:rPr>
                <w:sz w:val="20"/>
                <w:szCs w:val="20"/>
              </w:rPr>
              <w:t>- Hematocrit of 0.40 L/L</w:t>
            </w:r>
          </w:p>
        </w:tc>
        <w:tc>
          <w:tcPr>
            <w:tcW w:w="4111" w:type="dxa"/>
            <w:tcMar>
              <w:top w:w="100" w:type="dxa"/>
              <w:left w:w="100" w:type="dxa"/>
              <w:bottom w:w="100" w:type="dxa"/>
              <w:right w:w="100" w:type="dxa"/>
            </w:tcMar>
          </w:tcPr>
          <w:p w14:paraId="6EDF23D8" w14:textId="77777777" w:rsidR="00744659" w:rsidRPr="00C53C14" w:rsidRDefault="002C38C9">
            <w:pPr>
              <w:widowControl w:val="0"/>
              <w:spacing w:line="360" w:lineRule="auto"/>
              <w:rPr>
                <w:sz w:val="20"/>
                <w:szCs w:val="20"/>
                <w:lang w:val="en-US"/>
              </w:rPr>
            </w:pPr>
            <w:r w:rsidRPr="00C53C14">
              <w:rPr>
                <w:sz w:val="20"/>
                <w:szCs w:val="20"/>
                <w:lang w:val="en-US"/>
              </w:rPr>
              <w:t>- Asymptomatic: Hematocrit of 0.20 L/L + reticulocyte count 0.1x10e9/L</w:t>
            </w:r>
          </w:p>
          <w:p w14:paraId="6EDF23D9" w14:textId="77777777" w:rsidR="00744659" w:rsidRPr="00C53C14" w:rsidRDefault="002C38C9">
            <w:pPr>
              <w:widowControl w:val="0"/>
              <w:spacing w:line="360" w:lineRule="auto"/>
              <w:rPr>
                <w:sz w:val="20"/>
                <w:szCs w:val="20"/>
                <w:lang w:val="en-US"/>
              </w:rPr>
            </w:pPr>
            <w:r w:rsidRPr="00C53C14">
              <w:rPr>
                <w:sz w:val="20"/>
                <w:szCs w:val="20"/>
                <w:lang w:val="en-US"/>
              </w:rPr>
              <w:t>- Symptomatic: Hematocrit of 0.30 L/L</w:t>
            </w:r>
          </w:p>
        </w:tc>
        <w:tc>
          <w:tcPr>
            <w:tcW w:w="1134" w:type="dxa"/>
            <w:tcMar>
              <w:top w:w="100" w:type="dxa"/>
              <w:left w:w="100" w:type="dxa"/>
              <w:bottom w:w="100" w:type="dxa"/>
              <w:right w:w="100" w:type="dxa"/>
            </w:tcMar>
          </w:tcPr>
          <w:p w14:paraId="6EDF23DA" w14:textId="77777777" w:rsidR="00744659" w:rsidRDefault="002C38C9">
            <w:pPr>
              <w:spacing w:line="360" w:lineRule="auto"/>
              <w:rPr>
                <w:sz w:val="20"/>
                <w:szCs w:val="20"/>
              </w:rPr>
            </w:pPr>
            <w:r>
              <w:rPr>
                <w:sz w:val="20"/>
                <w:szCs w:val="20"/>
              </w:rPr>
              <w:t>- Mortality</w:t>
            </w:r>
          </w:p>
          <w:p w14:paraId="6EDF23DB" w14:textId="77777777" w:rsidR="00744659" w:rsidRDefault="002C38C9">
            <w:pPr>
              <w:spacing w:line="360" w:lineRule="auto"/>
              <w:rPr>
                <w:sz w:val="20"/>
                <w:szCs w:val="20"/>
              </w:rPr>
            </w:pPr>
            <w:r>
              <w:rPr>
                <w:sz w:val="20"/>
                <w:szCs w:val="20"/>
              </w:rPr>
              <w:t>- Morbidity</w:t>
            </w:r>
          </w:p>
        </w:tc>
      </w:tr>
      <w:tr w:rsidR="00744659" w14:paraId="6EDF23E9" w14:textId="77777777">
        <w:trPr>
          <w:trHeight w:val="360"/>
        </w:trPr>
        <w:tc>
          <w:tcPr>
            <w:tcW w:w="1276" w:type="dxa"/>
            <w:tcMar>
              <w:top w:w="100" w:type="dxa"/>
              <w:left w:w="100" w:type="dxa"/>
              <w:bottom w:w="100" w:type="dxa"/>
              <w:right w:w="100" w:type="dxa"/>
            </w:tcMar>
          </w:tcPr>
          <w:p w14:paraId="6EDF23DD" w14:textId="77777777" w:rsidR="00744659" w:rsidRDefault="002C38C9">
            <w:pPr>
              <w:spacing w:line="360" w:lineRule="auto"/>
              <w:rPr>
                <w:sz w:val="20"/>
                <w:szCs w:val="20"/>
              </w:rPr>
            </w:pPr>
            <w:r>
              <w:rPr>
                <w:sz w:val="20"/>
                <w:szCs w:val="20"/>
              </w:rPr>
              <w:t>Chen (2009)</w:t>
            </w:r>
          </w:p>
          <w:p w14:paraId="6EDF23DE" w14:textId="77777777" w:rsidR="00744659" w:rsidRDefault="002C38C9">
            <w:pPr>
              <w:spacing w:line="360" w:lineRule="auto"/>
              <w:rPr>
                <w:i/>
                <w:sz w:val="20"/>
                <w:szCs w:val="20"/>
              </w:rPr>
            </w:pPr>
            <w:r>
              <w:rPr>
                <w:i/>
                <w:sz w:val="20"/>
                <w:szCs w:val="20"/>
              </w:rPr>
              <w:t>RCT</w:t>
            </w:r>
          </w:p>
        </w:tc>
        <w:tc>
          <w:tcPr>
            <w:tcW w:w="1560" w:type="dxa"/>
            <w:tcMar>
              <w:top w:w="100" w:type="dxa"/>
              <w:left w:w="100" w:type="dxa"/>
              <w:bottom w:w="100" w:type="dxa"/>
              <w:right w:w="100" w:type="dxa"/>
            </w:tcMar>
          </w:tcPr>
          <w:p w14:paraId="6EDF23DF" w14:textId="77777777" w:rsidR="00744659" w:rsidRPr="00C53C14" w:rsidRDefault="002C38C9">
            <w:pPr>
              <w:widowControl w:val="0"/>
              <w:spacing w:line="360" w:lineRule="auto"/>
              <w:rPr>
                <w:sz w:val="20"/>
                <w:szCs w:val="20"/>
                <w:lang w:val="en-US"/>
              </w:rPr>
            </w:pPr>
            <w:r w:rsidRPr="00C53C14">
              <w:rPr>
                <w:sz w:val="20"/>
                <w:szCs w:val="20"/>
                <w:lang w:val="en-US"/>
              </w:rPr>
              <w:t xml:space="preserve">36 neonates with very low birth weight (&lt;1500 grams) </w:t>
            </w:r>
          </w:p>
        </w:tc>
        <w:tc>
          <w:tcPr>
            <w:tcW w:w="3543" w:type="dxa"/>
            <w:tcMar>
              <w:top w:w="100" w:type="dxa"/>
              <w:left w:w="100" w:type="dxa"/>
              <w:bottom w:w="100" w:type="dxa"/>
              <w:right w:w="100" w:type="dxa"/>
            </w:tcMar>
          </w:tcPr>
          <w:p w14:paraId="6EDF23E0" w14:textId="77777777" w:rsidR="00744659" w:rsidRPr="00C53C14" w:rsidRDefault="002C38C9">
            <w:pPr>
              <w:widowControl w:val="0"/>
              <w:spacing w:line="360" w:lineRule="auto"/>
              <w:rPr>
                <w:sz w:val="20"/>
                <w:szCs w:val="20"/>
                <w:lang w:val="en-US"/>
              </w:rPr>
            </w:pPr>
            <w:r w:rsidRPr="00C53C14">
              <w:rPr>
                <w:sz w:val="20"/>
                <w:szCs w:val="20"/>
                <w:lang w:val="en-US"/>
              </w:rPr>
              <w:t>- Neonates on ventilation 9.1 mmol/L</w:t>
            </w:r>
          </w:p>
          <w:p w14:paraId="6EDF23E1" w14:textId="77777777" w:rsidR="00744659" w:rsidRPr="00C53C14" w:rsidRDefault="002C38C9">
            <w:pPr>
              <w:widowControl w:val="0"/>
              <w:spacing w:line="360" w:lineRule="auto"/>
              <w:rPr>
                <w:sz w:val="20"/>
                <w:szCs w:val="20"/>
                <w:lang w:val="en-US"/>
              </w:rPr>
            </w:pPr>
            <w:r w:rsidRPr="00C53C14">
              <w:rPr>
                <w:sz w:val="20"/>
                <w:szCs w:val="20"/>
                <w:lang w:val="en-US"/>
              </w:rPr>
              <w:t xml:space="preserve">- Neonates on CPAP 8.3 mmol/L </w:t>
            </w:r>
          </w:p>
          <w:p w14:paraId="6EDF23E2"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6.2 mmol/L</w:t>
            </w:r>
          </w:p>
        </w:tc>
        <w:tc>
          <w:tcPr>
            <w:tcW w:w="4111" w:type="dxa"/>
            <w:tcMar>
              <w:top w:w="100" w:type="dxa"/>
              <w:left w:w="100" w:type="dxa"/>
              <w:bottom w:w="100" w:type="dxa"/>
              <w:right w:w="100" w:type="dxa"/>
            </w:tcMar>
          </w:tcPr>
          <w:p w14:paraId="6EDF23E3" w14:textId="77777777" w:rsidR="00744659" w:rsidRPr="00C53C14" w:rsidRDefault="002C38C9">
            <w:pPr>
              <w:widowControl w:val="0"/>
              <w:spacing w:line="360" w:lineRule="auto"/>
              <w:rPr>
                <w:sz w:val="20"/>
                <w:szCs w:val="20"/>
                <w:lang w:val="en-US"/>
              </w:rPr>
            </w:pPr>
            <w:r w:rsidRPr="00C53C14">
              <w:rPr>
                <w:sz w:val="20"/>
                <w:szCs w:val="20"/>
                <w:lang w:val="en-US"/>
              </w:rPr>
              <w:t>- Neonates on ventilation 7.2 mmol/L</w:t>
            </w:r>
          </w:p>
          <w:p w14:paraId="6EDF23E4" w14:textId="77777777" w:rsidR="00744659" w:rsidRPr="00C53C14" w:rsidRDefault="002C38C9">
            <w:pPr>
              <w:widowControl w:val="0"/>
              <w:spacing w:line="360" w:lineRule="auto"/>
              <w:rPr>
                <w:sz w:val="20"/>
                <w:szCs w:val="20"/>
                <w:lang w:val="en-US"/>
              </w:rPr>
            </w:pPr>
            <w:r w:rsidRPr="00C53C14">
              <w:rPr>
                <w:sz w:val="20"/>
                <w:szCs w:val="20"/>
                <w:lang w:val="en-US"/>
              </w:rPr>
              <w:t>- Neonates on CPAP 6.2 mmol/L</w:t>
            </w:r>
          </w:p>
          <w:p w14:paraId="6EDF23E5"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4.5 mmol/L</w:t>
            </w:r>
          </w:p>
        </w:tc>
        <w:tc>
          <w:tcPr>
            <w:tcW w:w="1134" w:type="dxa"/>
            <w:tcMar>
              <w:top w:w="100" w:type="dxa"/>
              <w:left w:w="100" w:type="dxa"/>
              <w:bottom w:w="100" w:type="dxa"/>
              <w:right w:w="100" w:type="dxa"/>
            </w:tcMar>
          </w:tcPr>
          <w:p w14:paraId="6EDF23E6" w14:textId="77777777" w:rsidR="00744659" w:rsidRDefault="002C38C9">
            <w:pPr>
              <w:spacing w:line="360" w:lineRule="auto"/>
              <w:rPr>
                <w:sz w:val="20"/>
                <w:szCs w:val="20"/>
              </w:rPr>
            </w:pPr>
            <w:r>
              <w:rPr>
                <w:sz w:val="20"/>
                <w:szCs w:val="20"/>
              </w:rPr>
              <w:t>- Mortality</w:t>
            </w:r>
          </w:p>
          <w:p w14:paraId="6EDF23E7" w14:textId="77777777" w:rsidR="00744659" w:rsidRDefault="002C38C9">
            <w:pPr>
              <w:spacing w:line="360" w:lineRule="auto"/>
              <w:rPr>
                <w:sz w:val="20"/>
                <w:szCs w:val="20"/>
              </w:rPr>
            </w:pPr>
            <w:r>
              <w:rPr>
                <w:sz w:val="20"/>
                <w:szCs w:val="20"/>
              </w:rPr>
              <w:t>- Morbidity</w:t>
            </w:r>
          </w:p>
          <w:p w14:paraId="6EDF23E8" w14:textId="77777777" w:rsidR="00744659" w:rsidRDefault="002C38C9">
            <w:pPr>
              <w:spacing w:line="360" w:lineRule="auto"/>
              <w:rPr>
                <w:sz w:val="20"/>
                <w:szCs w:val="20"/>
              </w:rPr>
            </w:pPr>
            <w:r>
              <w:rPr>
                <w:sz w:val="20"/>
                <w:szCs w:val="20"/>
              </w:rPr>
              <w:t>- Costs</w:t>
            </w:r>
          </w:p>
        </w:tc>
      </w:tr>
      <w:tr w:rsidR="00744659" w14:paraId="6EDF23F7" w14:textId="77777777">
        <w:trPr>
          <w:trHeight w:val="360"/>
        </w:trPr>
        <w:tc>
          <w:tcPr>
            <w:tcW w:w="1276" w:type="dxa"/>
            <w:tcMar>
              <w:top w:w="100" w:type="dxa"/>
              <w:left w:w="100" w:type="dxa"/>
              <w:bottom w:w="100" w:type="dxa"/>
              <w:right w:w="100" w:type="dxa"/>
            </w:tcMar>
          </w:tcPr>
          <w:p w14:paraId="6EDF23EA" w14:textId="77777777" w:rsidR="00744659" w:rsidRDefault="002C38C9">
            <w:pPr>
              <w:spacing w:line="360" w:lineRule="auto"/>
              <w:rPr>
                <w:sz w:val="20"/>
                <w:szCs w:val="20"/>
              </w:rPr>
            </w:pPr>
            <w:r>
              <w:rPr>
                <w:sz w:val="20"/>
                <w:szCs w:val="20"/>
              </w:rPr>
              <w:t>Connelly (1999)</w:t>
            </w:r>
          </w:p>
          <w:p w14:paraId="6EDF23EB" w14:textId="77777777" w:rsidR="00744659" w:rsidRDefault="002C38C9">
            <w:pPr>
              <w:spacing w:line="360" w:lineRule="auto"/>
              <w:rPr>
                <w:i/>
                <w:sz w:val="20"/>
                <w:szCs w:val="20"/>
              </w:rPr>
            </w:pPr>
            <w:r>
              <w:rPr>
                <w:i/>
                <w:sz w:val="20"/>
                <w:szCs w:val="20"/>
              </w:rPr>
              <w:t>Prospective study</w:t>
            </w:r>
          </w:p>
        </w:tc>
        <w:tc>
          <w:tcPr>
            <w:tcW w:w="1560" w:type="dxa"/>
            <w:tcMar>
              <w:top w:w="100" w:type="dxa"/>
              <w:left w:w="100" w:type="dxa"/>
              <w:bottom w:w="100" w:type="dxa"/>
              <w:right w:w="100" w:type="dxa"/>
            </w:tcMar>
          </w:tcPr>
          <w:p w14:paraId="6EDF23EC" w14:textId="77777777" w:rsidR="00744659" w:rsidRPr="00C53C14" w:rsidRDefault="002C38C9">
            <w:pPr>
              <w:spacing w:line="360" w:lineRule="auto"/>
              <w:rPr>
                <w:sz w:val="20"/>
                <w:szCs w:val="20"/>
                <w:lang w:val="en-US"/>
              </w:rPr>
            </w:pPr>
            <w:r w:rsidRPr="00C53C14">
              <w:rPr>
                <w:sz w:val="20"/>
                <w:szCs w:val="20"/>
                <w:lang w:val="en-US"/>
              </w:rPr>
              <w:t>24 neonates with very low birth weight (&lt;1500 grams)</w:t>
            </w:r>
          </w:p>
        </w:tc>
        <w:tc>
          <w:tcPr>
            <w:tcW w:w="3543" w:type="dxa"/>
            <w:tcMar>
              <w:top w:w="100" w:type="dxa"/>
              <w:left w:w="100" w:type="dxa"/>
              <w:bottom w:w="100" w:type="dxa"/>
              <w:right w:w="100" w:type="dxa"/>
            </w:tcMar>
          </w:tcPr>
          <w:p w14:paraId="6EDF23ED" w14:textId="77777777" w:rsidR="00744659" w:rsidRPr="00C53C14" w:rsidRDefault="002C38C9">
            <w:pPr>
              <w:widowControl w:val="0"/>
              <w:spacing w:line="360" w:lineRule="auto"/>
              <w:rPr>
                <w:sz w:val="20"/>
                <w:szCs w:val="20"/>
                <w:lang w:val="en-US"/>
              </w:rPr>
            </w:pPr>
            <w:r w:rsidRPr="00C53C14">
              <w:rPr>
                <w:sz w:val="20"/>
                <w:szCs w:val="20"/>
                <w:lang w:val="en-US"/>
              </w:rPr>
              <w:t>- First week of life 8.1 mmol/L</w:t>
            </w:r>
          </w:p>
          <w:p w14:paraId="6EDF23EE" w14:textId="77777777" w:rsidR="00744659" w:rsidRPr="00C53C14" w:rsidRDefault="002C38C9">
            <w:pPr>
              <w:widowControl w:val="0"/>
              <w:spacing w:line="360" w:lineRule="auto"/>
              <w:rPr>
                <w:sz w:val="20"/>
                <w:szCs w:val="20"/>
                <w:lang w:val="en-US"/>
              </w:rPr>
            </w:pPr>
            <w:r w:rsidRPr="00C53C14">
              <w:rPr>
                <w:sz w:val="20"/>
                <w:szCs w:val="20"/>
                <w:lang w:val="en-US"/>
              </w:rPr>
              <w:t>- Second week of life with respiratory support 6.8 mmol/L</w:t>
            </w:r>
          </w:p>
          <w:p w14:paraId="6EDF23EF" w14:textId="77777777" w:rsidR="00744659" w:rsidRPr="00C53C14" w:rsidRDefault="002C38C9">
            <w:pPr>
              <w:widowControl w:val="0"/>
              <w:spacing w:line="360" w:lineRule="auto"/>
              <w:rPr>
                <w:sz w:val="20"/>
                <w:szCs w:val="20"/>
                <w:lang w:val="en-US"/>
              </w:rPr>
            </w:pPr>
            <w:r w:rsidRPr="00C53C14">
              <w:rPr>
                <w:sz w:val="20"/>
                <w:szCs w:val="20"/>
                <w:lang w:val="en-US"/>
              </w:rPr>
              <w:t>- Third week of life 5.0 mmol/L</w:t>
            </w:r>
          </w:p>
        </w:tc>
        <w:tc>
          <w:tcPr>
            <w:tcW w:w="4111" w:type="dxa"/>
            <w:tcMar>
              <w:top w:w="100" w:type="dxa"/>
              <w:left w:w="100" w:type="dxa"/>
              <w:bottom w:w="100" w:type="dxa"/>
              <w:right w:w="100" w:type="dxa"/>
            </w:tcMar>
          </w:tcPr>
          <w:p w14:paraId="6EDF23F0" w14:textId="77777777" w:rsidR="00744659" w:rsidRPr="00C53C14" w:rsidRDefault="002C38C9">
            <w:pPr>
              <w:widowControl w:val="0"/>
              <w:spacing w:line="360" w:lineRule="auto"/>
              <w:rPr>
                <w:sz w:val="20"/>
                <w:szCs w:val="20"/>
                <w:lang w:val="en-US"/>
              </w:rPr>
            </w:pPr>
            <w:r w:rsidRPr="00C53C14">
              <w:rPr>
                <w:sz w:val="20"/>
                <w:szCs w:val="20"/>
                <w:lang w:val="en-US"/>
              </w:rPr>
              <w:t>- First week of life 6.8 mmol/L</w:t>
            </w:r>
          </w:p>
          <w:p w14:paraId="6EDF23F1" w14:textId="77777777" w:rsidR="00744659" w:rsidRPr="00C53C14" w:rsidRDefault="002C38C9">
            <w:pPr>
              <w:widowControl w:val="0"/>
              <w:spacing w:line="360" w:lineRule="auto"/>
              <w:rPr>
                <w:sz w:val="20"/>
                <w:szCs w:val="20"/>
                <w:lang w:val="en-US"/>
              </w:rPr>
            </w:pPr>
            <w:r w:rsidRPr="00C53C14">
              <w:rPr>
                <w:sz w:val="20"/>
                <w:szCs w:val="20"/>
                <w:lang w:val="en-US"/>
              </w:rPr>
              <w:t>- Second week of life with respiratory support 5.6 mmol/L</w:t>
            </w:r>
          </w:p>
          <w:p w14:paraId="6EDF23F2" w14:textId="77777777" w:rsidR="00744659" w:rsidRPr="00C53C14" w:rsidRDefault="002C38C9">
            <w:pPr>
              <w:widowControl w:val="0"/>
              <w:spacing w:line="360" w:lineRule="auto"/>
              <w:rPr>
                <w:sz w:val="20"/>
                <w:szCs w:val="20"/>
                <w:lang w:val="en-US"/>
              </w:rPr>
            </w:pPr>
            <w:r w:rsidRPr="00C53C14">
              <w:rPr>
                <w:sz w:val="20"/>
                <w:szCs w:val="20"/>
                <w:lang w:val="en-US"/>
              </w:rPr>
              <w:t>- Third week of life 5.0 mmol/L</w:t>
            </w:r>
          </w:p>
        </w:tc>
        <w:tc>
          <w:tcPr>
            <w:tcW w:w="1134" w:type="dxa"/>
            <w:tcMar>
              <w:top w:w="100" w:type="dxa"/>
              <w:left w:w="100" w:type="dxa"/>
              <w:bottom w:w="100" w:type="dxa"/>
              <w:right w:w="100" w:type="dxa"/>
            </w:tcMar>
          </w:tcPr>
          <w:p w14:paraId="6EDF23F3" w14:textId="77777777" w:rsidR="00744659" w:rsidRDefault="002C38C9">
            <w:pPr>
              <w:spacing w:line="360" w:lineRule="auto"/>
              <w:rPr>
                <w:sz w:val="20"/>
                <w:szCs w:val="20"/>
              </w:rPr>
            </w:pPr>
            <w:r>
              <w:rPr>
                <w:sz w:val="20"/>
                <w:szCs w:val="20"/>
              </w:rPr>
              <w:t>- Mortality</w:t>
            </w:r>
          </w:p>
          <w:p w14:paraId="6EDF23F4" w14:textId="77777777" w:rsidR="00744659" w:rsidRDefault="002C38C9">
            <w:pPr>
              <w:spacing w:line="360" w:lineRule="auto"/>
              <w:rPr>
                <w:sz w:val="20"/>
                <w:szCs w:val="20"/>
              </w:rPr>
            </w:pPr>
            <w:r>
              <w:rPr>
                <w:sz w:val="20"/>
                <w:szCs w:val="20"/>
              </w:rPr>
              <w:t>- Morbidity</w:t>
            </w:r>
          </w:p>
          <w:p w14:paraId="6EDF23F5" w14:textId="77777777" w:rsidR="00744659" w:rsidRDefault="002C38C9">
            <w:pPr>
              <w:spacing w:line="360" w:lineRule="auto"/>
              <w:rPr>
                <w:sz w:val="20"/>
                <w:szCs w:val="20"/>
              </w:rPr>
            </w:pPr>
            <w:r>
              <w:rPr>
                <w:sz w:val="20"/>
                <w:szCs w:val="20"/>
              </w:rPr>
              <w:t>- Costs</w:t>
            </w:r>
          </w:p>
          <w:p w14:paraId="6EDF23F6" w14:textId="77777777" w:rsidR="00744659" w:rsidRDefault="00744659">
            <w:pPr>
              <w:spacing w:line="360" w:lineRule="auto"/>
              <w:rPr>
                <w:sz w:val="20"/>
                <w:szCs w:val="20"/>
              </w:rPr>
            </w:pPr>
          </w:p>
        </w:tc>
      </w:tr>
      <w:tr w:rsidR="00744659" w14:paraId="6EDF23FE" w14:textId="77777777">
        <w:trPr>
          <w:trHeight w:val="360"/>
        </w:trPr>
        <w:tc>
          <w:tcPr>
            <w:tcW w:w="1276" w:type="dxa"/>
            <w:shd w:val="clear" w:color="auto" w:fill="auto"/>
            <w:tcMar>
              <w:top w:w="100" w:type="dxa"/>
              <w:left w:w="100" w:type="dxa"/>
              <w:bottom w:w="100" w:type="dxa"/>
              <w:right w:w="100" w:type="dxa"/>
            </w:tcMar>
          </w:tcPr>
          <w:p w14:paraId="6EDF23F8" w14:textId="77777777" w:rsidR="00744659" w:rsidRDefault="002C38C9">
            <w:pPr>
              <w:spacing w:line="360" w:lineRule="auto"/>
              <w:rPr>
                <w:sz w:val="20"/>
                <w:szCs w:val="20"/>
              </w:rPr>
            </w:pPr>
            <w:r>
              <w:rPr>
                <w:sz w:val="20"/>
                <w:szCs w:val="20"/>
              </w:rPr>
              <w:t>Mukhopadhyay (2004)</w:t>
            </w:r>
          </w:p>
          <w:p w14:paraId="6EDF23F9" w14:textId="77777777" w:rsidR="00744659" w:rsidRDefault="002C38C9">
            <w:pPr>
              <w:spacing w:line="360" w:lineRule="auto"/>
              <w:rPr>
                <w:i/>
                <w:sz w:val="20"/>
                <w:szCs w:val="20"/>
              </w:rPr>
            </w:pPr>
            <w:r>
              <w:rPr>
                <w:i/>
                <w:sz w:val="20"/>
                <w:szCs w:val="20"/>
              </w:rPr>
              <w:t>RCT</w:t>
            </w:r>
          </w:p>
        </w:tc>
        <w:tc>
          <w:tcPr>
            <w:tcW w:w="1560" w:type="dxa"/>
            <w:tcMar>
              <w:top w:w="100" w:type="dxa"/>
              <w:left w:w="100" w:type="dxa"/>
              <w:bottom w:w="100" w:type="dxa"/>
              <w:right w:w="100" w:type="dxa"/>
            </w:tcMar>
          </w:tcPr>
          <w:p w14:paraId="6EDF23FA" w14:textId="77777777" w:rsidR="00744659" w:rsidRPr="00C53C14" w:rsidRDefault="002C38C9">
            <w:pPr>
              <w:spacing w:line="360" w:lineRule="auto"/>
              <w:rPr>
                <w:sz w:val="20"/>
                <w:szCs w:val="20"/>
                <w:lang w:val="en-US"/>
              </w:rPr>
            </w:pPr>
            <w:r w:rsidRPr="00C53C14">
              <w:rPr>
                <w:sz w:val="20"/>
                <w:szCs w:val="20"/>
                <w:lang w:val="en-US"/>
              </w:rPr>
              <w:t>38 preterm neonates weighing between 1000 and 1800 grams</w:t>
            </w:r>
          </w:p>
        </w:tc>
        <w:tc>
          <w:tcPr>
            <w:tcW w:w="3543" w:type="dxa"/>
            <w:tcMar>
              <w:top w:w="100" w:type="dxa"/>
              <w:left w:w="100" w:type="dxa"/>
              <w:bottom w:w="100" w:type="dxa"/>
              <w:right w:w="100" w:type="dxa"/>
            </w:tcMar>
          </w:tcPr>
          <w:p w14:paraId="6EDF23FB" w14:textId="77777777" w:rsidR="00744659" w:rsidRPr="00C53C14" w:rsidRDefault="002C38C9">
            <w:pPr>
              <w:widowControl w:val="0"/>
              <w:spacing w:line="360" w:lineRule="auto"/>
              <w:rPr>
                <w:sz w:val="20"/>
                <w:szCs w:val="20"/>
                <w:lang w:val="en-US"/>
              </w:rPr>
            </w:pPr>
            <w:r w:rsidRPr="00C53C14">
              <w:rPr>
                <w:sz w:val="20"/>
                <w:szCs w:val="20"/>
                <w:lang w:val="en-US"/>
              </w:rPr>
              <w:t>- Hematocrit threshold of 0.40 L/L</w:t>
            </w:r>
          </w:p>
        </w:tc>
        <w:tc>
          <w:tcPr>
            <w:tcW w:w="4111" w:type="dxa"/>
            <w:tcMar>
              <w:top w:w="100" w:type="dxa"/>
              <w:left w:w="100" w:type="dxa"/>
              <w:bottom w:w="100" w:type="dxa"/>
              <w:right w:w="100" w:type="dxa"/>
            </w:tcMar>
          </w:tcPr>
          <w:p w14:paraId="6EDF23FC" w14:textId="77777777" w:rsidR="00744659" w:rsidRPr="00C53C14" w:rsidRDefault="002C38C9">
            <w:pPr>
              <w:widowControl w:val="0"/>
              <w:spacing w:line="360" w:lineRule="auto"/>
              <w:rPr>
                <w:sz w:val="20"/>
                <w:szCs w:val="20"/>
                <w:lang w:val="en-US"/>
              </w:rPr>
            </w:pPr>
            <w:r w:rsidRPr="00C53C14">
              <w:rPr>
                <w:sz w:val="20"/>
                <w:szCs w:val="20"/>
                <w:lang w:val="en-US"/>
              </w:rPr>
              <w:t>- Hematocrit threshold of 0.30 L/L</w:t>
            </w:r>
          </w:p>
        </w:tc>
        <w:tc>
          <w:tcPr>
            <w:tcW w:w="1134" w:type="dxa"/>
            <w:tcMar>
              <w:top w:w="100" w:type="dxa"/>
              <w:left w:w="100" w:type="dxa"/>
              <w:bottom w:w="100" w:type="dxa"/>
              <w:right w:w="100" w:type="dxa"/>
            </w:tcMar>
          </w:tcPr>
          <w:p w14:paraId="6EDF23FD" w14:textId="77777777" w:rsidR="00744659" w:rsidRDefault="002C38C9">
            <w:pPr>
              <w:spacing w:line="360" w:lineRule="auto"/>
              <w:rPr>
                <w:sz w:val="20"/>
                <w:szCs w:val="20"/>
              </w:rPr>
            </w:pPr>
            <w:r>
              <w:rPr>
                <w:sz w:val="20"/>
                <w:szCs w:val="20"/>
              </w:rPr>
              <w:t>- Mortality</w:t>
            </w:r>
          </w:p>
        </w:tc>
      </w:tr>
      <w:tr w:rsidR="00744659" w14:paraId="6EDF2413" w14:textId="77777777">
        <w:trPr>
          <w:trHeight w:val="360"/>
        </w:trPr>
        <w:tc>
          <w:tcPr>
            <w:tcW w:w="1276" w:type="dxa"/>
            <w:tcMar>
              <w:top w:w="100" w:type="dxa"/>
              <w:left w:w="100" w:type="dxa"/>
              <w:bottom w:w="100" w:type="dxa"/>
              <w:right w:w="100" w:type="dxa"/>
            </w:tcMar>
          </w:tcPr>
          <w:p w14:paraId="6EDF23FF" w14:textId="77777777" w:rsidR="00744659" w:rsidRDefault="002C38C9">
            <w:pPr>
              <w:spacing w:line="360" w:lineRule="auto"/>
              <w:rPr>
                <w:sz w:val="20"/>
                <w:szCs w:val="20"/>
              </w:rPr>
            </w:pPr>
            <w:r>
              <w:rPr>
                <w:sz w:val="20"/>
                <w:szCs w:val="20"/>
              </w:rPr>
              <w:t>Whyte &amp; Kirpalani (2006)</w:t>
            </w:r>
          </w:p>
          <w:p w14:paraId="6EDF2400" w14:textId="77777777" w:rsidR="00744659" w:rsidRDefault="002C38C9">
            <w:pPr>
              <w:spacing w:line="360" w:lineRule="auto"/>
              <w:rPr>
                <w:i/>
                <w:sz w:val="20"/>
                <w:szCs w:val="20"/>
              </w:rPr>
            </w:pPr>
            <w:r>
              <w:rPr>
                <w:i/>
                <w:sz w:val="20"/>
                <w:szCs w:val="20"/>
              </w:rPr>
              <w:t>RCT</w:t>
            </w:r>
          </w:p>
        </w:tc>
        <w:tc>
          <w:tcPr>
            <w:tcW w:w="1560" w:type="dxa"/>
            <w:tcMar>
              <w:top w:w="100" w:type="dxa"/>
              <w:left w:w="100" w:type="dxa"/>
              <w:bottom w:w="100" w:type="dxa"/>
              <w:right w:w="100" w:type="dxa"/>
            </w:tcMar>
          </w:tcPr>
          <w:p w14:paraId="6EDF2401" w14:textId="77777777" w:rsidR="00744659" w:rsidRPr="00C53C14" w:rsidRDefault="002C38C9">
            <w:pPr>
              <w:spacing w:line="360" w:lineRule="auto"/>
              <w:rPr>
                <w:sz w:val="20"/>
                <w:szCs w:val="20"/>
                <w:lang w:val="en-US"/>
              </w:rPr>
            </w:pPr>
            <w:r w:rsidRPr="00C53C14">
              <w:rPr>
                <w:sz w:val="20"/>
                <w:szCs w:val="20"/>
                <w:lang w:val="en-US"/>
              </w:rPr>
              <w:t>451 neonates with very low birth weight (&lt;1000 gram)</w:t>
            </w:r>
          </w:p>
        </w:tc>
        <w:tc>
          <w:tcPr>
            <w:tcW w:w="3543" w:type="dxa"/>
            <w:tcMar>
              <w:top w:w="100" w:type="dxa"/>
              <w:left w:w="100" w:type="dxa"/>
              <w:bottom w:w="100" w:type="dxa"/>
              <w:right w:w="100" w:type="dxa"/>
            </w:tcMar>
          </w:tcPr>
          <w:p w14:paraId="6EDF2402"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in week 1 7.5 mmol/L</w:t>
            </w:r>
          </w:p>
          <w:p w14:paraId="6EDF2403"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in week 2 6.2 mmol/L</w:t>
            </w:r>
          </w:p>
          <w:p w14:paraId="6EDF2404" w14:textId="77777777" w:rsidR="00744659" w:rsidRPr="00C53C14" w:rsidRDefault="002C38C9">
            <w:pPr>
              <w:widowControl w:val="0"/>
              <w:spacing w:line="360" w:lineRule="auto"/>
              <w:rPr>
                <w:sz w:val="20"/>
                <w:szCs w:val="20"/>
                <w:lang w:val="en-US"/>
              </w:rPr>
            </w:pPr>
            <w:r w:rsidRPr="00C53C14">
              <w:rPr>
                <w:sz w:val="20"/>
                <w:szCs w:val="20"/>
                <w:lang w:val="en-US"/>
              </w:rPr>
              <w:t xml:space="preserve">- Neonates without respiratory support in week 3 5.3 mmol/L </w:t>
            </w:r>
          </w:p>
          <w:p w14:paraId="6EDF2405" w14:textId="77777777" w:rsidR="00744659" w:rsidRPr="00C53C14" w:rsidRDefault="00744659">
            <w:pPr>
              <w:widowControl w:val="0"/>
              <w:spacing w:line="360" w:lineRule="auto"/>
              <w:rPr>
                <w:sz w:val="20"/>
                <w:szCs w:val="20"/>
                <w:lang w:val="en-US"/>
              </w:rPr>
            </w:pPr>
          </w:p>
          <w:p w14:paraId="6EDF2406" w14:textId="77777777" w:rsidR="00744659" w:rsidRPr="00C53C14" w:rsidRDefault="002C38C9">
            <w:pPr>
              <w:widowControl w:val="0"/>
              <w:spacing w:line="360" w:lineRule="auto"/>
              <w:rPr>
                <w:sz w:val="20"/>
                <w:szCs w:val="20"/>
                <w:lang w:val="en-US"/>
              </w:rPr>
            </w:pPr>
            <w:r w:rsidRPr="00C53C14">
              <w:rPr>
                <w:sz w:val="20"/>
                <w:szCs w:val="20"/>
                <w:lang w:val="en-US"/>
              </w:rPr>
              <w:t>- Neonates on respiratory support in week 1 8.4 mmol/L</w:t>
            </w:r>
          </w:p>
          <w:p w14:paraId="6EDF2407" w14:textId="77777777" w:rsidR="00744659" w:rsidRPr="00C53C14" w:rsidRDefault="002C38C9">
            <w:pPr>
              <w:widowControl w:val="0"/>
              <w:spacing w:line="360" w:lineRule="auto"/>
              <w:rPr>
                <w:sz w:val="20"/>
                <w:szCs w:val="20"/>
                <w:lang w:val="en-US"/>
              </w:rPr>
            </w:pPr>
            <w:r w:rsidRPr="00C53C14">
              <w:rPr>
                <w:sz w:val="20"/>
                <w:szCs w:val="20"/>
                <w:lang w:val="en-US"/>
              </w:rPr>
              <w:t>- Neonates on respiratory support in week 2 7.5 mmol/L</w:t>
            </w:r>
          </w:p>
          <w:p w14:paraId="6EDF2408" w14:textId="77777777" w:rsidR="00744659" w:rsidRPr="00C53C14" w:rsidRDefault="002C38C9">
            <w:pPr>
              <w:widowControl w:val="0"/>
              <w:spacing w:line="360" w:lineRule="auto"/>
              <w:rPr>
                <w:sz w:val="20"/>
                <w:szCs w:val="20"/>
                <w:lang w:val="en-US"/>
              </w:rPr>
            </w:pPr>
            <w:r w:rsidRPr="00C53C14">
              <w:rPr>
                <w:sz w:val="20"/>
                <w:szCs w:val="20"/>
                <w:lang w:val="en-US"/>
              </w:rPr>
              <w:t>- Neonates on respiratory support in week 3 6.2 mmol/L</w:t>
            </w:r>
          </w:p>
        </w:tc>
        <w:tc>
          <w:tcPr>
            <w:tcW w:w="4111" w:type="dxa"/>
            <w:tcMar>
              <w:top w:w="100" w:type="dxa"/>
              <w:left w:w="100" w:type="dxa"/>
              <w:bottom w:w="100" w:type="dxa"/>
              <w:right w:w="100" w:type="dxa"/>
            </w:tcMar>
          </w:tcPr>
          <w:p w14:paraId="6EDF2409"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in week 1 6.2 mmol/L</w:t>
            </w:r>
          </w:p>
          <w:p w14:paraId="6EDF240A"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in week 2 5.3 mmol/L</w:t>
            </w:r>
          </w:p>
          <w:p w14:paraId="6EDF240B"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in week 3 4.7 mmol/L</w:t>
            </w:r>
          </w:p>
          <w:p w14:paraId="6EDF240C" w14:textId="77777777" w:rsidR="00744659" w:rsidRPr="00C53C14" w:rsidRDefault="00744659">
            <w:pPr>
              <w:widowControl w:val="0"/>
              <w:spacing w:line="360" w:lineRule="auto"/>
              <w:rPr>
                <w:sz w:val="20"/>
                <w:szCs w:val="20"/>
                <w:lang w:val="en-US"/>
              </w:rPr>
            </w:pPr>
          </w:p>
          <w:p w14:paraId="6EDF240D" w14:textId="77777777" w:rsidR="00744659" w:rsidRPr="00C53C14" w:rsidRDefault="002C38C9">
            <w:pPr>
              <w:widowControl w:val="0"/>
              <w:spacing w:line="360" w:lineRule="auto"/>
              <w:rPr>
                <w:sz w:val="20"/>
                <w:szCs w:val="20"/>
                <w:lang w:val="en-US"/>
              </w:rPr>
            </w:pPr>
            <w:r w:rsidRPr="00C53C14">
              <w:rPr>
                <w:sz w:val="20"/>
                <w:szCs w:val="20"/>
                <w:lang w:val="en-US"/>
              </w:rPr>
              <w:t>- Neonates on respiratory support in week 1 7.1 mmol/L</w:t>
            </w:r>
          </w:p>
          <w:p w14:paraId="6EDF240E" w14:textId="77777777" w:rsidR="00744659" w:rsidRPr="00C53C14" w:rsidRDefault="002C38C9">
            <w:pPr>
              <w:widowControl w:val="0"/>
              <w:spacing w:line="360" w:lineRule="auto"/>
              <w:rPr>
                <w:sz w:val="20"/>
                <w:szCs w:val="20"/>
                <w:lang w:val="en-US"/>
              </w:rPr>
            </w:pPr>
            <w:r w:rsidRPr="00C53C14">
              <w:rPr>
                <w:sz w:val="20"/>
                <w:szCs w:val="20"/>
                <w:lang w:val="en-US"/>
              </w:rPr>
              <w:t>- Neonates on respiratory support in week 2 6.2 mmol/L</w:t>
            </w:r>
          </w:p>
          <w:p w14:paraId="6EDF240F" w14:textId="77777777" w:rsidR="00744659" w:rsidRPr="00C53C14" w:rsidRDefault="002C38C9">
            <w:pPr>
              <w:widowControl w:val="0"/>
              <w:spacing w:line="360" w:lineRule="auto"/>
              <w:rPr>
                <w:sz w:val="20"/>
                <w:szCs w:val="20"/>
                <w:lang w:val="en-US"/>
              </w:rPr>
            </w:pPr>
            <w:r w:rsidRPr="00C53C14">
              <w:rPr>
                <w:sz w:val="20"/>
                <w:szCs w:val="20"/>
                <w:lang w:val="en-US"/>
              </w:rPr>
              <w:t>- Neonates on respiratory support in week 3 5.3 mmol/L</w:t>
            </w:r>
          </w:p>
        </w:tc>
        <w:tc>
          <w:tcPr>
            <w:tcW w:w="1134" w:type="dxa"/>
            <w:tcMar>
              <w:top w:w="100" w:type="dxa"/>
              <w:left w:w="100" w:type="dxa"/>
              <w:bottom w:w="100" w:type="dxa"/>
              <w:right w:w="100" w:type="dxa"/>
            </w:tcMar>
          </w:tcPr>
          <w:p w14:paraId="6EDF2410" w14:textId="77777777" w:rsidR="00744659" w:rsidRDefault="002C38C9">
            <w:pPr>
              <w:spacing w:line="360" w:lineRule="auto"/>
              <w:rPr>
                <w:sz w:val="20"/>
                <w:szCs w:val="20"/>
              </w:rPr>
            </w:pPr>
            <w:r>
              <w:rPr>
                <w:sz w:val="20"/>
                <w:szCs w:val="20"/>
              </w:rPr>
              <w:t>- Mortality</w:t>
            </w:r>
          </w:p>
          <w:p w14:paraId="6EDF2411" w14:textId="77777777" w:rsidR="00744659" w:rsidRDefault="002C38C9">
            <w:pPr>
              <w:spacing w:line="360" w:lineRule="auto"/>
              <w:rPr>
                <w:sz w:val="20"/>
                <w:szCs w:val="20"/>
              </w:rPr>
            </w:pPr>
            <w:r>
              <w:rPr>
                <w:sz w:val="20"/>
                <w:szCs w:val="20"/>
              </w:rPr>
              <w:t>- Morbidity</w:t>
            </w:r>
          </w:p>
          <w:p w14:paraId="6EDF2412" w14:textId="77777777" w:rsidR="00744659" w:rsidRDefault="002C38C9">
            <w:pPr>
              <w:spacing w:line="360" w:lineRule="auto"/>
              <w:rPr>
                <w:sz w:val="20"/>
                <w:szCs w:val="20"/>
              </w:rPr>
            </w:pPr>
            <w:r>
              <w:rPr>
                <w:sz w:val="20"/>
                <w:szCs w:val="20"/>
              </w:rPr>
              <w:t>- Costs</w:t>
            </w:r>
          </w:p>
        </w:tc>
      </w:tr>
    </w:tbl>
    <w:p w14:paraId="6EDF2414" w14:textId="77777777" w:rsidR="00744659" w:rsidRDefault="00744659">
      <w:pPr>
        <w:spacing w:line="360" w:lineRule="auto"/>
        <w:rPr>
          <w:rFonts w:ascii="Calibri" w:eastAsia="Calibri" w:hAnsi="Calibri" w:cs="Calibri"/>
          <w:i/>
          <w:sz w:val="20"/>
          <w:szCs w:val="20"/>
        </w:rPr>
      </w:pPr>
    </w:p>
    <w:p w14:paraId="6EDF2415" w14:textId="77777777" w:rsidR="00744659" w:rsidRDefault="002C38C9">
      <w:pPr>
        <w:spacing w:line="360" w:lineRule="auto"/>
        <w:rPr>
          <w:rFonts w:ascii="Calibri" w:eastAsia="Calibri" w:hAnsi="Calibri" w:cs="Calibri"/>
          <w:sz w:val="20"/>
          <w:szCs w:val="20"/>
          <w:u w:val="single"/>
        </w:rPr>
      </w:pPr>
      <w:r>
        <w:rPr>
          <w:rFonts w:ascii="Calibri" w:eastAsia="Calibri" w:hAnsi="Calibri" w:cs="Calibri"/>
          <w:sz w:val="20"/>
          <w:szCs w:val="20"/>
          <w:u w:val="single"/>
        </w:rPr>
        <w:t>A2.3: Excluded studies</w:t>
      </w:r>
    </w:p>
    <w:tbl>
      <w:tblPr>
        <w:tblStyle w:val="ad"/>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10064"/>
      </w:tblGrid>
      <w:tr w:rsidR="00744659" w14:paraId="6EDF2417" w14:textId="77777777">
        <w:trPr>
          <w:trHeight w:val="71"/>
        </w:trPr>
        <w:tc>
          <w:tcPr>
            <w:tcW w:w="11623" w:type="dxa"/>
            <w:gridSpan w:val="2"/>
            <w:shd w:val="clear" w:color="auto" w:fill="000000"/>
            <w:tcMar>
              <w:top w:w="100" w:type="dxa"/>
              <w:left w:w="100" w:type="dxa"/>
              <w:bottom w:w="100" w:type="dxa"/>
              <w:right w:w="100" w:type="dxa"/>
            </w:tcMar>
          </w:tcPr>
          <w:p w14:paraId="6EDF2416" w14:textId="77777777" w:rsidR="00744659" w:rsidRDefault="002C38C9">
            <w:pPr>
              <w:spacing w:line="360" w:lineRule="auto"/>
              <w:rPr>
                <w:b/>
                <w:color w:val="FFFFFF"/>
                <w:sz w:val="20"/>
                <w:szCs w:val="20"/>
              </w:rPr>
            </w:pPr>
            <w:r>
              <w:rPr>
                <w:b/>
                <w:color w:val="FFFFFF"/>
                <w:sz w:val="20"/>
                <w:szCs w:val="20"/>
              </w:rPr>
              <w:lastRenderedPageBreak/>
              <w:t>Excluded studies</w:t>
            </w:r>
          </w:p>
        </w:tc>
      </w:tr>
      <w:tr w:rsidR="00744659" w14:paraId="6EDF241A" w14:textId="77777777">
        <w:trPr>
          <w:trHeight w:val="179"/>
        </w:trPr>
        <w:tc>
          <w:tcPr>
            <w:tcW w:w="1559" w:type="dxa"/>
            <w:shd w:val="clear" w:color="auto" w:fill="D9D9D9"/>
            <w:tcMar>
              <w:top w:w="100" w:type="dxa"/>
              <w:left w:w="100" w:type="dxa"/>
              <w:bottom w:w="100" w:type="dxa"/>
              <w:right w:w="100" w:type="dxa"/>
            </w:tcMar>
          </w:tcPr>
          <w:p w14:paraId="6EDF2418" w14:textId="77777777" w:rsidR="00744659" w:rsidRDefault="002C38C9">
            <w:pPr>
              <w:spacing w:line="360" w:lineRule="auto"/>
              <w:rPr>
                <w:b/>
                <w:sz w:val="20"/>
                <w:szCs w:val="20"/>
              </w:rPr>
            </w:pPr>
            <w:r>
              <w:rPr>
                <w:b/>
                <w:sz w:val="20"/>
                <w:szCs w:val="20"/>
              </w:rPr>
              <w:t>Study</w:t>
            </w:r>
          </w:p>
        </w:tc>
        <w:tc>
          <w:tcPr>
            <w:tcW w:w="10064" w:type="dxa"/>
            <w:shd w:val="clear" w:color="auto" w:fill="D9D9D9"/>
            <w:tcMar>
              <w:top w:w="100" w:type="dxa"/>
              <w:left w:w="100" w:type="dxa"/>
              <w:bottom w:w="100" w:type="dxa"/>
              <w:right w:w="100" w:type="dxa"/>
            </w:tcMar>
          </w:tcPr>
          <w:p w14:paraId="6EDF2419" w14:textId="77777777" w:rsidR="00744659" w:rsidRDefault="002C38C9">
            <w:pPr>
              <w:spacing w:line="360" w:lineRule="auto"/>
              <w:rPr>
                <w:b/>
                <w:sz w:val="20"/>
                <w:szCs w:val="20"/>
              </w:rPr>
            </w:pPr>
            <w:r>
              <w:rPr>
                <w:b/>
                <w:sz w:val="20"/>
                <w:szCs w:val="20"/>
              </w:rPr>
              <w:t xml:space="preserve">Reasons for exclusion </w:t>
            </w:r>
          </w:p>
        </w:tc>
      </w:tr>
      <w:tr w:rsidR="00744659" w:rsidRPr="00C53C14" w14:paraId="6EDF241D" w14:textId="77777777">
        <w:trPr>
          <w:trHeight w:val="458"/>
        </w:trPr>
        <w:tc>
          <w:tcPr>
            <w:tcW w:w="1559" w:type="dxa"/>
            <w:tcMar>
              <w:top w:w="100" w:type="dxa"/>
              <w:left w:w="100" w:type="dxa"/>
              <w:bottom w:w="100" w:type="dxa"/>
              <w:right w:w="100" w:type="dxa"/>
            </w:tcMar>
          </w:tcPr>
          <w:p w14:paraId="6EDF241B" w14:textId="77777777" w:rsidR="00744659" w:rsidRDefault="002C38C9">
            <w:pPr>
              <w:spacing w:line="360" w:lineRule="auto"/>
              <w:rPr>
                <w:i/>
                <w:sz w:val="20"/>
                <w:szCs w:val="20"/>
              </w:rPr>
            </w:pPr>
            <w:r>
              <w:rPr>
                <w:i/>
                <w:sz w:val="20"/>
                <w:szCs w:val="20"/>
              </w:rPr>
              <w:t>Whyte &amp; Kirpalani (2011)</w:t>
            </w:r>
          </w:p>
        </w:tc>
        <w:tc>
          <w:tcPr>
            <w:tcW w:w="10064" w:type="dxa"/>
            <w:tcMar>
              <w:top w:w="100" w:type="dxa"/>
              <w:left w:w="100" w:type="dxa"/>
              <w:bottom w:w="100" w:type="dxa"/>
              <w:right w:w="100" w:type="dxa"/>
            </w:tcMar>
          </w:tcPr>
          <w:p w14:paraId="6EDF241C" w14:textId="77777777" w:rsidR="00744659" w:rsidRPr="00C53C14" w:rsidRDefault="002C38C9">
            <w:pPr>
              <w:spacing w:line="360" w:lineRule="auto"/>
              <w:rPr>
                <w:sz w:val="20"/>
                <w:szCs w:val="20"/>
                <w:lang w:val="en-US"/>
              </w:rPr>
            </w:pPr>
            <w:r w:rsidRPr="00C53C14">
              <w:rPr>
                <w:sz w:val="20"/>
                <w:szCs w:val="20"/>
                <w:lang w:val="en-US"/>
              </w:rPr>
              <w:t xml:space="preserve">This was a review, including the following studies: Connelly (1999), Bell (2005), Chen (2009), and Whyte &amp; Kirpalani (2006) and were all included. </w:t>
            </w:r>
          </w:p>
        </w:tc>
      </w:tr>
      <w:tr w:rsidR="00744659" w:rsidRPr="00C53C14" w14:paraId="6EDF2420" w14:textId="77777777">
        <w:trPr>
          <w:trHeight w:val="458"/>
        </w:trPr>
        <w:tc>
          <w:tcPr>
            <w:tcW w:w="1559" w:type="dxa"/>
            <w:tcMar>
              <w:top w:w="100" w:type="dxa"/>
              <w:left w:w="100" w:type="dxa"/>
              <w:bottom w:w="100" w:type="dxa"/>
              <w:right w:w="100" w:type="dxa"/>
            </w:tcMar>
          </w:tcPr>
          <w:p w14:paraId="6EDF241E" w14:textId="77777777" w:rsidR="00744659" w:rsidRDefault="002C38C9">
            <w:pPr>
              <w:spacing w:line="360" w:lineRule="auto"/>
              <w:rPr>
                <w:i/>
                <w:sz w:val="20"/>
                <w:szCs w:val="20"/>
              </w:rPr>
            </w:pPr>
            <w:r>
              <w:rPr>
                <w:i/>
                <w:sz w:val="20"/>
                <w:szCs w:val="20"/>
              </w:rPr>
              <w:t>Venkatesh (2012)</w:t>
            </w:r>
          </w:p>
        </w:tc>
        <w:tc>
          <w:tcPr>
            <w:tcW w:w="10064" w:type="dxa"/>
            <w:tcMar>
              <w:top w:w="100" w:type="dxa"/>
              <w:left w:w="100" w:type="dxa"/>
              <w:bottom w:w="100" w:type="dxa"/>
              <w:right w:w="100" w:type="dxa"/>
            </w:tcMar>
          </w:tcPr>
          <w:p w14:paraId="6EDF241F" w14:textId="77777777" w:rsidR="00744659" w:rsidRPr="00C53C14" w:rsidRDefault="002C38C9">
            <w:pPr>
              <w:spacing w:line="360" w:lineRule="auto"/>
              <w:rPr>
                <w:sz w:val="20"/>
                <w:szCs w:val="20"/>
                <w:lang w:val="en-US"/>
              </w:rPr>
            </w:pPr>
            <w:r w:rsidRPr="00C53C14">
              <w:rPr>
                <w:sz w:val="20"/>
                <w:szCs w:val="20"/>
                <w:lang w:val="en-US"/>
              </w:rPr>
              <w:t xml:space="preserve">This was a review, including the following studies: Bell (2005), Chen (2009), Whyte &amp; Kirpalani (2006), Brooks (1999), Mukhopadhya (2004), and Ransome (1989) and were all included except Ransome (1989) considering that this article was not found. </w:t>
            </w:r>
          </w:p>
        </w:tc>
      </w:tr>
    </w:tbl>
    <w:p w14:paraId="6EDF2421" w14:textId="77777777" w:rsidR="00744659" w:rsidRPr="00C53C14" w:rsidRDefault="00744659">
      <w:pPr>
        <w:spacing w:line="360" w:lineRule="auto"/>
        <w:rPr>
          <w:rFonts w:ascii="Calibri" w:eastAsia="Calibri" w:hAnsi="Calibri" w:cs="Calibri"/>
          <w:sz w:val="20"/>
          <w:szCs w:val="20"/>
          <w:lang w:val="en-US"/>
        </w:rPr>
      </w:pPr>
    </w:p>
    <w:p w14:paraId="6EDF2422"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423"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i/>
          <w:sz w:val="20"/>
          <w:szCs w:val="20"/>
          <w:lang w:val="en-US"/>
        </w:rPr>
        <w:t>B1: Neonates in general</w:t>
      </w:r>
      <w:r w:rsidRPr="00C53C14">
        <w:rPr>
          <w:rFonts w:ascii="Calibri" w:eastAsia="Calibri" w:hAnsi="Calibri" w:cs="Calibri"/>
          <w:sz w:val="20"/>
          <w:szCs w:val="20"/>
          <w:u w:val="single"/>
          <w:lang w:val="en-US"/>
        </w:rPr>
        <w:br/>
        <w:t>B1.1: Hb of 4.3 mmol/L versus Hb greater than 4.3 mmol/L in neonates</w:t>
      </w:r>
    </w:p>
    <w:tbl>
      <w:tblPr>
        <w:tblStyle w:val="ae"/>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3964"/>
        <w:gridCol w:w="2977"/>
        <w:gridCol w:w="2410"/>
      </w:tblGrid>
      <w:tr w:rsidR="00744659" w14:paraId="6EDF2427"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8" w:space="0" w:color="FFFFFF"/>
            </w:tcBorders>
          </w:tcPr>
          <w:p w14:paraId="6EDF2424" w14:textId="77777777" w:rsidR="00744659" w:rsidRDefault="002C38C9">
            <w:pPr>
              <w:spacing w:line="360" w:lineRule="auto"/>
              <w:rPr>
                <w:sz w:val="20"/>
                <w:szCs w:val="20"/>
              </w:rPr>
            </w:pPr>
            <w:r>
              <w:rPr>
                <w:sz w:val="20"/>
                <w:szCs w:val="20"/>
              </w:rPr>
              <w:t>Conclusion of evidence</w:t>
            </w:r>
          </w:p>
        </w:tc>
        <w:tc>
          <w:tcPr>
            <w:tcW w:w="2977" w:type="dxa"/>
            <w:tcBorders>
              <w:top w:val="single" w:sz="8" w:space="0" w:color="FFFFFF"/>
            </w:tcBorders>
          </w:tcPr>
          <w:p w14:paraId="6EDF2425"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426"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429"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28"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42D"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2A"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42B"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42C"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42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2E"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431"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30" w14:textId="77777777" w:rsidR="00744659" w:rsidRDefault="002C38C9">
            <w:pPr>
              <w:spacing w:line="360" w:lineRule="auto"/>
              <w:rPr>
                <w:sz w:val="20"/>
                <w:szCs w:val="20"/>
                <w:u w:val="single"/>
              </w:rPr>
            </w:pPr>
            <w:r>
              <w:rPr>
                <w:b w:val="0"/>
                <w:sz w:val="20"/>
                <w:szCs w:val="20"/>
                <w:u w:val="single"/>
              </w:rPr>
              <w:t>Mortality</w:t>
            </w:r>
          </w:p>
        </w:tc>
      </w:tr>
      <w:tr w:rsidR="00744659" w14:paraId="6EDF2437"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32"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mortality when comparing an Hb of 4.3 mmol/L vs. greater than 4.3 mmol/L in neonates.</w:t>
            </w:r>
          </w:p>
        </w:tc>
        <w:tc>
          <w:tcPr>
            <w:tcW w:w="2977" w:type="dxa"/>
            <w:shd w:val="clear" w:color="auto" w:fill="auto"/>
          </w:tcPr>
          <w:p w14:paraId="6EDF2433"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RR 0.52 (95% CI 0.05 - 5.56)</w:t>
            </w:r>
          </w:p>
          <w:p w14:paraId="6EDF2434"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None died (not estimable)</w:t>
            </w:r>
          </w:p>
        </w:tc>
        <w:tc>
          <w:tcPr>
            <w:tcW w:w="2410" w:type="dxa"/>
            <w:shd w:val="clear" w:color="auto" w:fill="auto"/>
          </w:tcPr>
          <w:p w14:paraId="6EDF2435"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Bell 2005</w:t>
            </w:r>
          </w:p>
          <w:p w14:paraId="6EDF2436"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Brooks 1999</w:t>
            </w:r>
          </w:p>
        </w:tc>
      </w:tr>
      <w:tr w:rsidR="00744659" w14:paraId="6EDF2439"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38" w14:textId="77777777" w:rsidR="00744659" w:rsidRDefault="002C38C9">
            <w:pPr>
              <w:spacing w:line="360" w:lineRule="auto"/>
              <w:rPr>
                <w:sz w:val="20"/>
                <w:szCs w:val="20"/>
                <w:u w:val="single"/>
              </w:rPr>
            </w:pPr>
            <w:r>
              <w:rPr>
                <w:b w:val="0"/>
                <w:sz w:val="20"/>
                <w:szCs w:val="20"/>
                <w:u w:val="single"/>
              </w:rPr>
              <w:t>Morbidity</w:t>
            </w:r>
          </w:p>
        </w:tc>
      </w:tr>
      <w:tr w:rsidR="00744659" w14:paraId="6EDF2440"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3A"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4.3 mmol/L vs. greater than 4.3 mmol/L in neonates.</w:t>
            </w:r>
          </w:p>
        </w:tc>
        <w:tc>
          <w:tcPr>
            <w:tcW w:w="2977" w:type="dxa"/>
            <w:shd w:val="clear" w:color="auto" w:fill="auto"/>
          </w:tcPr>
          <w:p w14:paraId="6EDF243B"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p w14:paraId="6EDF243C"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410" w:type="dxa"/>
            <w:shd w:val="clear" w:color="auto" w:fill="auto"/>
          </w:tcPr>
          <w:p w14:paraId="6EDF243D"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Bell 2005</w:t>
            </w:r>
          </w:p>
          <w:p w14:paraId="6EDF243E"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p w14:paraId="6EDF243F"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Brooks 1999</w:t>
            </w:r>
          </w:p>
        </w:tc>
      </w:tr>
      <w:tr w:rsidR="00744659" w14:paraId="6EDF2442"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41" w14:textId="77777777" w:rsidR="00744659" w:rsidRDefault="002C38C9">
            <w:pPr>
              <w:spacing w:line="360" w:lineRule="auto"/>
              <w:rPr>
                <w:sz w:val="20"/>
                <w:szCs w:val="20"/>
                <w:u w:val="single"/>
              </w:rPr>
            </w:pPr>
            <w:r>
              <w:rPr>
                <w:b w:val="0"/>
                <w:sz w:val="20"/>
                <w:szCs w:val="20"/>
                <w:u w:val="single"/>
              </w:rPr>
              <w:t>Costs</w:t>
            </w:r>
          </w:p>
        </w:tc>
      </w:tr>
      <w:tr w:rsidR="00744659" w14:paraId="6EDF2446"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43" w14:textId="77777777" w:rsidR="00744659" w:rsidRPr="00C53C14" w:rsidRDefault="002C38C9">
            <w:pPr>
              <w:spacing w:line="360" w:lineRule="auto"/>
              <w:rPr>
                <w:sz w:val="20"/>
                <w:szCs w:val="20"/>
                <w:lang w:val="en-US"/>
              </w:rPr>
            </w:pPr>
            <w:r w:rsidRPr="00C53C14">
              <w:rPr>
                <w:b w:val="0"/>
                <w:sz w:val="20"/>
                <w:szCs w:val="20"/>
                <w:lang w:val="en-US"/>
              </w:rPr>
              <w:lastRenderedPageBreak/>
              <w:t>There was a significant difference regarding costs when comparing an Hb of 4.3 mmol/L vs. greater than 4.3 mmol/L in neonates.</w:t>
            </w:r>
          </w:p>
        </w:tc>
        <w:tc>
          <w:tcPr>
            <w:tcW w:w="2977" w:type="dxa"/>
            <w:shd w:val="clear" w:color="auto" w:fill="auto"/>
          </w:tcPr>
          <w:p w14:paraId="6EDF2444"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u w:val="single"/>
              </w:rPr>
              <w:t>MD -1.10 (95% CI -2.10 - -0.10).</w:t>
            </w:r>
          </w:p>
        </w:tc>
        <w:tc>
          <w:tcPr>
            <w:tcW w:w="2410" w:type="dxa"/>
            <w:shd w:val="clear" w:color="auto" w:fill="auto"/>
          </w:tcPr>
          <w:p w14:paraId="6EDF2445"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Bell 2005</w:t>
            </w:r>
          </w:p>
        </w:tc>
      </w:tr>
      <w:tr w:rsidR="00744659" w:rsidRPr="00C53C14" w14:paraId="6EDF2448"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47"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44C"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49"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44A"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10" w:type="dxa"/>
            <w:shd w:val="clear" w:color="auto" w:fill="auto"/>
          </w:tcPr>
          <w:p w14:paraId="6EDF244B"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44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44E" w14:textId="77777777" w:rsidR="00744659" w:rsidRPr="00C53C14" w:rsidRDefault="00744659">
      <w:pPr>
        <w:spacing w:line="360" w:lineRule="auto"/>
        <w:rPr>
          <w:rFonts w:ascii="Calibri" w:eastAsia="Calibri" w:hAnsi="Calibri" w:cs="Calibri"/>
          <w:sz w:val="20"/>
          <w:szCs w:val="20"/>
          <w:lang w:val="en-US"/>
        </w:rPr>
      </w:pPr>
    </w:p>
    <w:p w14:paraId="6EDF244F"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B.1.2: Hb of 5.0 mmol/L versus Hb greater than 5.0 mmol/L in neonates</w:t>
      </w:r>
    </w:p>
    <w:tbl>
      <w:tblPr>
        <w:tblStyle w:val="af"/>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3964"/>
        <w:gridCol w:w="2977"/>
        <w:gridCol w:w="2410"/>
      </w:tblGrid>
      <w:tr w:rsidR="00744659" w14:paraId="6EDF2453" w14:textId="77777777" w:rsidTr="00744659">
        <w:trPr>
          <w:cnfStyle w:val="100000000000" w:firstRow="1" w:lastRow="0" w:firstColumn="0" w:lastColumn="0" w:oddVBand="0" w:evenVBand="0" w:oddHBand="0" w:evenHBand="0" w:firstRowFirstColumn="0" w:firstRowLastColumn="0" w:lastRowFirstColumn="0" w:lastRowLastColumn="0"/>
          <w:trHeight w:val="38"/>
        </w:trPr>
        <w:tc>
          <w:tcPr>
            <w:cnfStyle w:val="001000000000" w:firstRow="0" w:lastRow="0" w:firstColumn="1" w:lastColumn="0" w:oddVBand="0" w:evenVBand="0" w:oddHBand="0" w:evenHBand="0" w:firstRowFirstColumn="0" w:firstRowLastColumn="0" w:lastRowFirstColumn="0" w:lastRowLastColumn="0"/>
            <w:tcW w:w="3964" w:type="dxa"/>
            <w:tcBorders>
              <w:top w:val="single" w:sz="8" w:space="0" w:color="FFFFFF"/>
            </w:tcBorders>
          </w:tcPr>
          <w:p w14:paraId="6EDF2450" w14:textId="77777777" w:rsidR="00744659" w:rsidRDefault="002C38C9">
            <w:pPr>
              <w:spacing w:line="360" w:lineRule="auto"/>
              <w:rPr>
                <w:sz w:val="20"/>
                <w:szCs w:val="20"/>
              </w:rPr>
            </w:pPr>
            <w:r>
              <w:rPr>
                <w:sz w:val="20"/>
                <w:szCs w:val="20"/>
              </w:rPr>
              <w:t>Conclusion of evidence</w:t>
            </w:r>
          </w:p>
        </w:tc>
        <w:tc>
          <w:tcPr>
            <w:tcW w:w="2977" w:type="dxa"/>
            <w:tcBorders>
              <w:top w:val="single" w:sz="8" w:space="0" w:color="FFFFFF"/>
            </w:tcBorders>
          </w:tcPr>
          <w:p w14:paraId="6EDF2451"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452"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455"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54"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459"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56"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457"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458"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45B"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5A"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45D"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5C" w14:textId="77777777" w:rsidR="00744659" w:rsidRDefault="002C38C9">
            <w:pPr>
              <w:spacing w:line="360" w:lineRule="auto"/>
              <w:rPr>
                <w:sz w:val="20"/>
                <w:szCs w:val="20"/>
                <w:u w:val="single"/>
              </w:rPr>
            </w:pPr>
            <w:r>
              <w:rPr>
                <w:b w:val="0"/>
                <w:sz w:val="20"/>
                <w:szCs w:val="20"/>
                <w:u w:val="single"/>
              </w:rPr>
              <w:t>Mortality</w:t>
            </w:r>
          </w:p>
        </w:tc>
      </w:tr>
      <w:tr w:rsidR="00744659" w14:paraId="6EDF2461"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5E"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mortality when comparing an Hb of 5.0 mmol/L vs. greater than 5.0 mmol/L in neonates.</w:t>
            </w:r>
          </w:p>
        </w:tc>
        <w:tc>
          <w:tcPr>
            <w:tcW w:w="2977" w:type="dxa"/>
            <w:shd w:val="clear" w:color="auto" w:fill="auto"/>
          </w:tcPr>
          <w:p w14:paraId="6EDF245F"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1.79 (95% CI 0.18 - 18.02)</w:t>
            </w:r>
          </w:p>
        </w:tc>
        <w:tc>
          <w:tcPr>
            <w:tcW w:w="2410" w:type="dxa"/>
            <w:shd w:val="clear" w:color="auto" w:fill="auto"/>
          </w:tcPr>
          <w:p w14:paraId="6EDF2460"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Chen 2009</w:t>
            </w:r>
          </w:p>
        </w:tc>
      </w:tr>
      <w:tr w:rsidR="00744659" w14:paraId="6EDF2463"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62" w14:textId="77777777" w:rsidR="00744659" w:rsidRDefault="002C38C9">
            <w:pPr>
              <w:spacing w:line="360" w:lineRule="auto"/>
              <w:rPr>
                <w:sz w:val="20"/>
                <w:szCs w:val="20"/>
                <w:u w:val="single"/>
              </w:rPr>
            </w:pPr>
            <w:r>
              <w:rPr>
                <w:b w:val="0"/>
                <w:sz w:val="20"/>
                <w:szCs w:val="20"/>
                <w:u w:val="single"/>
              </w:rPr>
              <w:t>Morbidity</w:t>
            </w:r>
          </w:p>
        </w:tc>
      </w:tr>
      <w:tr w:rsidR="00744659" w14:paraId="6EDF2468"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64"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5.0 mmol/L vs. greater than 5.0 mmol/L in neonates.</w:t>
            </w:r>
          </w:p>
        </w:tc>
        <w:tc>
          <w:tcPr>
            <w:tcW w:w="2977" w:type="dxa"/>
            <w:shd w:val="clear" w:color="auto" w:fill="auto"/>
          </w:tcPr>
          <w:p w14:paraId="6EDF2465"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p w14:paraId="6EDF2466"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410" w:type="dxa"/>
            <w:shd w:val="clear" w:color="auto" w:fill="auto"/>
          </w:tcPr>
          <w:p w14:paraId="6EDF2467"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Chen 2009</w:t>
            </w:r>
          </w:p>
        </w:tc>
      </w:tr>
      <w:tr w:rsidR="00744659" w14:paraId="6EDF246A"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69" w14:textId="77777777" w:rsidR="00744659" w:rsidRDefault="002C38C9">
            <w:pPr>
              <w:spacing w:line="360" w:lineRule="auto"/>
              <w:rPr>
                <w:sz w:val="20"/>
                <w:szCs w:val="20"/>
                <w:u w:val="single"/>
              </w:rPr>
            </w:pPr>
            <w:r>
              <w:rPr>
                <w:b w:val="0"/>
                <w:sz w:val="20"/>
                <w:szCs w:val="20"/>
                <w:u w:val="single"/>
              </w:rPr>
              <w:t>Costs</w:t>
            </w:r>
          </w:p>
        </w:tc>
      </w:tr>
      <w:tr w:rsidR="00744659" w14:paraId="6EDF246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6B" w14:textId="77777777" w:rsidR="00744659" w:rsidRPr="00C53C14" w:rsidRDefault="002C38C9">
            <w:pPr>
              <w:spacing w:line="360" w:lineRule="auto"/>
              <w:rPr>
                <w:sz w:val="20"/>
                <w:szCs w:val="20"/>
                <w:lang w:val="en-US"/>
              </w:rPr>
            </w:pPr>
            <w:r w:rsidRPr="00C53C14">
              <w:rPr>
                <w:b w:val="0"/>
                <w:sz w:val="20"/>
                <w:szCs w:val="20"/>
                <w:lang w:val="en-US"/>
              </w:rPr>
              <w:t>There was a significant difference regarding costs when comparing an Hb of 5.0 mmol/L vs. greater than 5.0 mmol/L in neonates.</w:t>
            </w:r>
          </w:p>
        </w:tc>
        <w:tc>
          <w:tcPr>
            <w:tcW w:w="2977" w:type="dxa"/>
            <w:shd w:val="clear" w:color="auto" w:fill="auto"/>
          </w:tcPr>
          <w:p w14:paraId="6EDF246C"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MD -1.00 (95% CI -2.49 - 0.49)</w:t>
            </w:r>
          </w:p>
        </w:tc>
        <w:tc>
          <w:tcPr>
            <w:tcW w:w="2410" w:type="dxa"/>
            <w:shd w:val="clear" w:color="auto" w:fill="auto"/>
          </w:tcPr>
          <w:p w14:paraId="6EDF246D"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Chen 2009</w:t>
            </w:r>
          </w:p>
        </w:tc>
      </w:tr>
      <w:tr w:rsidR="00744659" w:rsidRPr="00C53C14" w14:paraId="6EDF2470"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6F" w14:textId="77777777" w:rsidR="00744659" w:rsidRPr="00C53C14" w:rsidRDefault="002C38C9">
            <w:pPr>
              <w:spacing w:line="360" w:lineRule="auto"/>
              <w:rPr>
                <w:sz w:val="20"/>
                <w:szCs w:val="20"/>
                <w:lang w:val="en-US"/>
              </w:rPr>
            </w:pPr>
            <w:r w:rsidRPr="00C53C14">
              <w:rPr>
                <w:sz w:val="20"/>
                <w:szCs w:val="20"/>
                <w:lang w:val="en-US"/>
              </w:rPr>
              <w:t>Adults – Evidence cited in existing guidelines</w:t>
            </w:r>
          </w:p>
        </w:tc>
      </w:tr>
      <w:tr w:rsidR="00744659" w14:paraId="6EDF247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71" w14:textId="77777777" w:rsidR="00744659" w:rsidRDefault="002C38C9">
            <w:pPr>
              <w:spacing w:line="360" w:lineRule="auto"/>
              <w:rPr>
                <w:sz w:val="20"/>
                <w:szCs w:val="20"/>
              </w:rPr>
            </w:pPr>
            <w:r>
              <w:rPr>
                <w:b w:val="0"/>
                <w:sz w:val="20"/>
                <w:szCs w:val="20"/>
              </w:rPr>
              <w:lastRenderedPageBreak/>
              <w:t>No studies</w:t>
            </w:r>
          </w:p>
        </w:tc>
        <w:tc>
          <w:tcPr>
            <w:tcW w:w="2977" w:type="dxa"/>
            <w:shd w:val="clear" w:color="auto" w:fill="auto"/>
          </w:tcPr>
          <w:p w14:paraId="6EDF2472"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10" w:type="dxa"/>
            <w:shd w:val="clear" w:color="auto" w:fill="auto"/>
          </w:tcPr>
          <w:p w14:paraId="6EDF247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475"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476" w14:textId="77777777" w:rsidR="00744659" w:rsidRPr="00C53C14" w:rsidRDefault="00744659">
      <w:pPr>
        <w:spacing w:line="360" w:lineRule="auto"/>
        <w:rPr>
          <w:rFonts w:ascii="Calibri" w:eastAsia="Calibri" w:hAnsi="Calibri" w:cs="Calibri"/>
          <w:sz w:val="20"/>
          <w:szCs w:val="20"/>
          <w:u w:val="single"/>
          <w:lang w:val="en-US"/>
        </w:rPr>
      </w:pPr>
    </w:p>
    <w:p w14:paraId="6EDF2477"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B1.3: Hb of 6.2 mmol/L versus Hb greater than 6.2 mmol/L in neonates</w:t>
      </w:r>
    </w:p>
    <w:tbl>
      <w:tblPr>
        <w:tblStyle w:val="af0"/>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3964"/>
        <w:gridCol w:w="2977"/>
        <w:gridCol w:w="2410"/>
      </w:tblGrid>
      <w:tr w:rsidR="00744659" w14:paraId="6EDF247B"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8" w:space="0" w:color="FFFFFF"/>
            </w:tcBorders>
          </w:tcPr>
          <w:p w14:paraId="6EDF2478" w14:textId="77777777" w:rsidR="00744659" w:rsidRDefault="002C38C9">
            <w:pPr>
              <w:spacing w:line="360" w:lineRule="auto"/>
              <w:rPr>
                <w:sz w:val="20"/>
                <w:szCs w:val="20"/>
              </w:rPr>
            </w:pPr>
            <w:r>
              <w:rPr>
                <w:sz w:val="20"/>
                <w:szCs w:val="20"/>
              </w:rPr>
              <w:t>Conclusion of evidence</w:t>
            </w:r>
          </w:p>
        </w:tc>
        <w:tc>
          <w:tcPr>
            <w:tcW w:w="2977" w:type="dxa"/>
            <w:tcBorders>
              <w:top w:val="single" w:sz="8" w:space="0" w:color="FFFFFF"/>
            </w:tcBorders>
          </w:tcPr>
          <w:p w14:paraId="6EDF2479"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47A"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47D"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7C"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481"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7E"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47F"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480"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483"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82"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485"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84" w14:textId="77777777" w:rsidR="00744659" w:rsidRDefault="002C38C9">
            <w:pPr>
              <w:spacing w:line="360" w:lineRule="auto"/>
              <w:rPr>
                <w:sz w:val="20"/>
                <w:szCs w:val="20"/>
                <w:u w:val="single"/>
              </w:rPr>
            </w:pPr>
            <w:r>
              <w:rPr>
                <w:b w:val="0"/>
                <w:sz w:val="20"/>
                <w:szCs w:val="20"/>
                <w:u w:val="single"/>
              </w:rPr>
              <w:t>Mortality</w:t>
            </w:r>
          </w:p>
        </w:tc>
      </w:tr>
      <w:tr w:rsidR="00744659" w14:paraId="6EDF2489"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86"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mortality when comparing an Hb of 6.2 mmol/L vs. greater than 6.2 mmol/L in neonates.</w:t>
            </w:r>
          </w:p>
        </w:tc>
        <w:tc>
          <w:tcPr>
            <w:tcW w:w="2977" w:type="dxa"/>
            <w:shd w:val="clear" w:color="auto" w:fill="auto"/>
          </w:tcPr>
          <w:p w14:paraId="6EDF2487"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3.50 (95% CI 0.62 - 1.18)</w:t>
            </w:r>
          </w:p>
        </w:tc>
        <w:tc>
          <w:tcPr>
            <w:tcW w:w="2410" w:type="dxa"/>
            <w:shd w:val="clear" w:color="auto" w:fill="auto"/>
          </w:tcPr>
          <w:p w14:paraId="6EDF2488"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Mukhopadyay 2004</w:t>
            </w:r>
          </w:p>
        </w:tc>
      </w:tr>
      <w:tr w:rsidR="00744659" w:rsidRPr="00C53C14" w14:paraId="6EDF248B"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8A"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48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8C"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48D"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10" w:type="dxa"/>
            <w:shd w:val="clear" w:color="auto" w:fill="auto"/>
          </w:tcPr>
          <w:p w14:paraId="6EDF248E"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49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491" w14:textId="77777777" w:rsidR="00744659" w:rsidRPr="00C53C14" w:rsidRDefault="00744659">
      <w:pPr>
        <w:spacing w:line="360" w:lineRule="auto"/>
        <w:rPr>
          <w:rFonts w:ascii="Calibri" w:eastAsia="Calibri" w:hAnsi="Calibri" w:cs="Calibri"/>
          <w:sz w:val="20"/>
          <w:szCs w:val="20"/>
          <w:lang w:val="en-US"/>
        </w:rPr>
      </w:pPr>
    </w:p>
    <w:p w14:paraId="6EDF2492"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B2: Neonates in first week of life</w:t>
      </w:r>
    </w:p>
    <w:p w14:paraId="6EDF2493"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B2.1: Hb of 6.2 mmol/L versus Hb greater than 6.2 mmol/L in neonates in the first week of life</w:t>
      </w:r>
    </w:p>
    <w:tbl>
      <w:tblPr>
        <w:tblStyle w:val="af1"/>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3964"/>
        <w:gridCol w:w="2977"/>
        <w:gridCol w:w="2410"/>
      </w:tblGrid>
      <w:tr w:rsidR="00744659" w14:paraId="6EDF2497"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8" w:space="0" w:color="FFFFFF"/>
            </w:tcBorders>
          </w:tcPr>
          <w:p w14:paraId="6EDF2494" w14:textId="77777777" w:rsidR="00744659" w:rsidRDefault="002C38C9">
            <w:pPr>
              <w:spacing w:line="360" w:lineRule="auto"/>
              <w:rPr>
                <w:sz w:val="20"/>
                <w:szCs w:val="20"/>
              </w:rPr>
            </w:pPr>
            <w:r>
              <w:rPr>
                <w:sz w:val="20"/>
                <w:szCs w:val="20"/>
              </w:rPr>
              <w:t>Conclusion of evidence</w:t>
            </w:r>
          </w:p>
        </w:tc>
        <w:tc>
          <w:tcPr>
            <w:tcW w:w="2977" w:type="dxa"/>
            <w:tcBorders>
              <w:top w:val="single" w:sz="8" w:space="0" w:color="FFFFFF"/>
            </w:tcBorders>
          </w:tcPr>
          <w:p w14:paraId="6EDF2495"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496"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499"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98"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49D"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9A"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49B"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49C"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49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9E"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4A1"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A0" w14:textId="77777777" w:rsidR="00744659" w:rsidRDefault="002C38C9">
            <w:pPr>
              <w:spacing w:line="360" w:lineRule="auto"/>
              <w:rPr>
                <w:sz w:val="20"/>
                <w:szCs w:val="20"/>
                <w:u w:val="single"/>
              </w:rPr>
            </w:pPr>
            <w:r>
              <w:rPr>
                <w:b w:val="0"/>
                <w:sz w:val="20"/>
                <w:szCs w:val="20"/>
                <w:u w:val="single"/>
              </w:rPr>
              <w:t>Mortality</w:t>
            </w:r>
          </w:p>
        </w:tc>
      </w:tr>
      <w:tr w:rsidR="00744659" w14:paraId="6EDF24A5"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A2" w14:textId="77777777" w:rsidR="00744659" w:rsidRPr="00C53C14" w:rsidRDefault="002C38C9">
            <w:pPr>
              <w:spacing w:line="360" w:lineRule="auto"/>
              <w:rPr>
                <w:sz w:val="20"/>
                <w:szCs w:val="20"/>
                <w:lang w:val="en-US"/>
              </w:rPr>
            </w:pPr>
            <w:r w:rsidRPr="00C53C14">
              <w:rPr>
                <w:b w:val="0"/>
                <w:sz w:val="20"/>
                <w:szCs w:val="20"/>
                <w:lang w:val="en-US"/>
              </w:rPr>
              <w:lastRenderedPageBreak/>
              <w:t xml:space="preserve">There was no significant difference regarding mortality when comparing an Hb of 6.20 mmol/L vs. greater than 6.2 mmol/L in neonates in the first week of life. </w:t>
            </w:r>
          </w:p>
        </w:tc>
        <w:tc>
          <w:tcPr>
            <w:tcW w:w="2977" w:type="dxa"/>
            <w:shd w:val="clear" w:color="auto" w:fill="auto"/>
          </w:tcPr>
          <w:p w14:paraId="6EDF24A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1.23 (95% CI 0.84 - 1.79)</w:t>
            </w:r>
          </w:p>
        </w:tc>
        <w:tc>
          <w:tcPr>
            <w:tcW w:w="2410" w:type="dxa"/>
            <w:shd w:val="clear" w:color="auto" w:fill="auto"/>
          </w:tcPr>
          <w:p w14:paraId="6EDF24A4"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14:paraId="6EDF24A7"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A6" w14:textId="77777777" w:rsidR="00744659" w:rsidRDefault="002C38C9">
            <w:pPr>
              <w:spacing w:line="360" w:lineRule="auto"/>
              <w:rPr>
                <w:sz w:val="20"/>
                <w:szCs w:val="20"/>
                <w:u w:val="single"/>
              </w:rPr>
            </w:pPr>
            <w:r>
              <w:rPr>
                <w:b w:val="0"/>
                <w:sz w:val="20"/>
                <w:szCs w:val="20"/>
                <w:u w:val="single"/>
              </w:rPr>
              <w:t>Morbidity</w:t>
            </w:r>
          </w:p>
        </w:tc>
      </w:tr>
      <w:tr w:rsidR="00744659" w:rsidRPr="00C53C14" w14:paraId="6EDF24B5"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A8"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6.20 mmol/L vs. greater than 6.2 mmol/L in neonates in the first week of life.</w:t>
            </w:r>
          </w:p>
          <w:p w14:paraId="6EDF24A9" w14:textId="77777777" w:rsidR="00744659" w:rsidRPr="00C53C14" w:rsidRDefault="00744659">
            <w:pPr>
              <w:spacing w:line="360" w:lineRule="auto"/>
              <w:rPr>
                <w:sz w:val="20"/>
                <w:szCs w:val="20"/>
                <w:lang w:val="en-US"/>
              </w:rPr>
            </w:pPr>
          </w:p>
          <w:p w14:paraId="6EDF24AA" w14:textId="77777777" w:rsidR="00744659" w:rsidRPr="00C53C14" w:rsidRDefault="002C38C9">
            <w:pPr>
              <w:spacing w:line="360" w:lineRule="auto"/>
              <w:rPr>
                <w:sz w:val="20"/>
                <w:szCs w:val="20"/>
                <w:lang w:val="en-US"/>
              </w:rPr>
            </w:pPr>
            <w:r w:rsidRPr="00C53C14">
              <w:rPr>
                <w:b w:val="0"/>
                <w:sz w:val="20"/>
                <w:szCs w:val="20"/>
                <w:lang w:val="en-US"/>
              </w:rPr>
              <w:t>There was a significant difference regarding retinopathy of prematurity when comparing an Hb of 6.20 mmol/L vs. greater than 6.2 mmol/L in neonates in the first week of life.</w:t>
            </w:r>
          </w:p>
        </w:tc>
        <w:tc>
          <w:tcPr>
            <w:tcW w:w="2977" w:type="dxa"/>
            <w:shd w:val="clear" w:color="auto" w:fill="auto"/>
          </w:tcPr>
          <w:p w14:paraId="6EDF24AB"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p w14:paraId="6EDF24AC"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4AD"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4AE"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4AF"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u w:val="single"/>
              </w:rPr>
              <w:t>RR 0.79 (95% CI 0.66 - 0.95)</w:t>
            </w:r>
          </w:p>
        </w:tc>
        <w:tc>
          <w:tcPr>
            <w:tcW w:w="2410" w:type="dxa"/>
            <w:shd w:val="clear" w:color="auto" w:fill="auto"/>
          </w:tcPr>
          <w:p w14:paraId="6EDF24B0"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Low* </w:t>
            </w:r>
            <w:r w:rsidRPr="00C53C14">
              <w:rPr>
                <w:sz w:val="20"/>
                <w:szCs w:val="20"/>
                <w:lang w:val="en-US"/>
              </w:rPr>
              <w:t>/ Whyte &amp; Kirpalani 2006</w:t>
            </w:r>
          </w:p>
          <w:p w14:paraId="6EDF24B1"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4B2"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4B3"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4B4"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Low* </w:t>
            </w:r>
            <w:r w:rsidRPr="00C53C14">
              <w:rPr>
                <w:sz w:val="20"/>
                <w:szCs w:val="20"/>
                <w:lang w:val="en-US"/>
              </w:rPr>
              <w:t>/ Whyte &amp; Kirpalani 2006</w:t>
            </w:r>
          </w:p>
        </w:tc>
      </w:tr>
      <w:tr w:rsidR="00744659" w14:paraId="6EDF24B7"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B6" w14:textId="77777777" w:rsidR="00744659" w:rsidRDefault="002C38C9">
            <w:pPr>
              <w:spacing w:line="360" w:lineRule="auto"/>
              <w:rPr>
                <w:sz w:val="20"/>
                <w:szCs w:val="20"/>
                <w:u w:val="single"/>
              </w:rPr>
            </w:pPr>
            <w:r>
              <w:rPr>
                <w:b w:val="0"/>
                <w:sz w:val="20"/>
                <w:szCs w:val="20"/>
                <w:u w:val="single"/>
              </w:rPr>
              <w:t>Costs</w:t>
            </w:r>
          </w:p>
        </w:tc>
      </w:tr>
      <w:tr w:rsidR="00744659" w14:paraId="6EDF24BB"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B8"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costs when comparing an Hb of 6.20 mmol/L vs. greater than 6.2 mmol/L in neonates in the first week of life.</w:t>
            </w:r>
          </w:p>
        </w:tc>
        <w:tc>
          <w:tcPr>
            <w:tcW w:w="2977" w:type="dxa"/>
            <w:shd w:val="clear" w:color="auto" w:fill="auto"/>
          </w:tcPr>
          <w:p w14:paraId="6EDF24B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MD -0.80 (95% CI -1.65 - 0.05)</w:t>
            </w:r>
          </w:p>
        </w:tc>
        <w:tc>
          <w:tcPr>
            <w:tcW w:w="2410" w:type="dxa"/>
            <w:shd w:val="clear" w:color="auto" w:fill="auto"/>
          </w:tcPr>
          <w:p w14:paraId="6EDF24BA"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rsidRPr="00C53C14" w14:paraId="6EDF24BD"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BC"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4C1"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BE"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4BF"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10" w:type="dxa"/>
            <w:shd w:val="clear" w:color="auto" w:fill="auto"/>
          </w:tcPr>
          <w:p w14:paraId="6EDF24C0"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4C2"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4C3" w14:textId="77777777" w:rsidR="00744659" w:rsidRPr="00C53C14" w:rsidRDefault="00744659">
      <w:pPr>
        <w:spacing w:line="360" w:lineRule="auto"/>
        <w:rPr>
          <w:rFonts w:ascii="Calibri" w:eastAsia="Calibri" w:hAnsi="Calibri" w:cs="Calibri"/>
          <w:sz w:val="20"/>
          <w:szCs w:val="20"/>
          <w:u w:val="single"/>
          <w:lang w:val="en-US"/>
        </w:rPr>
      </w:pPr>
    </w:p>
    <w:p w14:paraId="6EDF24C4"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B2.2: Hb of 6.8 mmol/L versus Hb greater than 6.8 mmol/L in neonates in the first week of life</w:t>
      </w:r>
    </w:p>
    <w:tbl>
      <w:tblPr>
        <w:tblStyle w:val="af2"/>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3964"/>
        <w:gridCol w:w="2977"/>
        <w:gridCol w:w="2410"/>
      </w:tblGrid>
      <w:tr w:rsidR="00744659" w14:paraId="6EDF24C8"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8" w:space="0" w:color="FFFFFF"/>
            </w:tcBorders>
          </w:tcPr>
          <w:p w14:paraId="6EDF24C5" w14:textId="77777777" w:rsidR="00744659" w:rsidRDefault="002C38C9">
            <w:pPr>
              <w:spacing w:line="360" w:lineRule="auto"/>
              <w:rPr>
                <w:sz w:val="20"/>
                <w:szCs w:val="20"/>
              </w:rPr>
            </w:pPr>
            <w:r>
              <w:rPr>
                <w:sz w:val="20"/>
                <w:szCs w:val="20"/>
              </w:rPr>
              <w:t>Conclusion of evidence</w:t>
            </w:r>
          </w:p>
        </w:tc>
        <w:tc>
          <w:tcPr>
            <w:tcW w:w="2977" w:type="dxa"/>
            <w:tcBorders>
              <w:top w:val="single" w:sz="8" w:space="0" w:color="FFFFFF"/>
            </w:tcBorders>
          </w:tcPr>
          <w:p w14:paraId="6EDF24C6"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4C7"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4C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C9"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4CE"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CB"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4CC"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4CD"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4D0"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CF"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4D2"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D1" w14:textId="77777777" w:rsidR="00744659" w:rsidRDefault="002C38C9">
            <w:pPr>
              <w:spacing w:line="360" w:lineRule="auto"/>
              <w:rPr>
                <w:sz w:val="20"/>
                <w:szCs w:val="20"/>
                <w:u w:val="single"/>
              </w:rPr>
            </w:pPr>
            <w:r>
              <w:rPr>
                <w:b w:val="0"/>
                <w:sz w:val="20"/>
                <w:szCs w:val="20"/>
                <w:u w:val="single"/>
              </w:rPr>
              <w:t>Mortality</w:t>
            </w:r>
          </w:p>
        </w:tc>
      </w:tr>
      <w:tr w:rsidR="00744659" w14:paraId="6EDF24D6"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D3" w14:textId="77777777" w:rsidR="00744659" w:rsidRPr="00C53C14" w:rsidRDefault="002C38C9">
            <w:pPr>
              <w:spacing w:line="360" w:lineRule="auto"/>
              <w:rPr>
                <w:sz w:val="20"/>
                <w:szCs w:val="20"/>
                <w:lang w:val="en-US"/>
              </w:rPr>
            </w:pPr>
            <w:r w:rsidRPr="00C53C14">
              <w:rPr>
                <w:b w:val="0"/>
                <w:sz w:val="20"/>
                <w:szCs w:val="20"/>
                <w:lang w:val="en-US"/>
              </w:rPr>
              <w:lastRenderedPageBreak/>
              <w:t>There was no significant difference regarding mortality when comparing an Hb of 6.8 mmol/L vs. greater than 6.8 mmol/L in neonates in the first week of life.</w:t>
            </w:r>
          </w:p>
        </w:tc>
        <w:tc>
          <w:tcPr>
            <w:tcW w:w="2977" w:type="dxa"/>
            <w:shd w:val="clear" w:color="auto" w:fill="auto"/>
          </w:tcPr>
          <w:p w14:paraId="6EDF24D4"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410" w:type="dxa"/>
            <w:shd w:val="clear" w:color="auto" w:fill="auto"/>
          </w:tcPr>
          <w:p w14:paraId="6EDF24D5"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Connelly 1999</w:t>
            </w:r>
          </w:p>
        </w:tc>
      </w:tr>
      <w:tr w:rsidR="00744659" w14:paraId="6EDF24D8"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D7" w14:textId="77777777" w:rsidR="00744659" w:rsidRDefault="002C38C9">
            <w:pPr>
              <w:spacing w:line="360" w:lineRule="auto"/>
              <w:rPr>
                <w:sz w:val="20"/>
                <w:szCs w:val="20"/>
                <w:u w:val="single"/>
              </w:rPr>
            </w:pPr>
            <w:r>
              <w:rPr>
                <w:b w:val="0"/>
                <w:sz w:val="20"/>
                <w:szCs w:val="20"/>
                <w:u w:val="single"/>
              </w:rPr>
              <w:t>Morbidity</w:t>
            </w:r>
          </w:p>
        </w:tc>
      </w:tr>
      <w:tr w:rsidR="00744659" w14:paraId="6EDF24DC"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D9"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6.8 mmol/L vs. greater than 6.8 mmol/L in neonates in the first week of life.</w:t>
            </w:r>
          </w:p>
        </w:tc>
        <w:tc>
          <w:tcPr>
            <w:tcW w:w="2977" w:type="dxa"/>
            <w:shd w:val="clear" w:color="auto" w:fill="auto"/>
          </w:tcPr>
          <w:p w14:paraId="6EDF24DA"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410" w:type="dxa"/>
            <w:shd w:val="clear" w:color="auto" w:fill="auto"/>
          </w:tcPr>
          <w:p w14:paraId="6EDF24DB"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Connelly 1999</w:t>
            </w:r>
          </w:p>
        </w:tc>
      </w:tr>
      <w:tr w:rsidR="00744659" w14:paraId="6EDF24DE"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DD" w14:textId="77777777" w:rsidR="00744659" w:rsidRDefault="002C38C9">
            <w:pPr>
              <w:spacing w:line="360" w:lineRule="auto"/>
              <w:rPr>
                <w:sz w:val="20"/>
                <w:szCs w:val="20"/>
                <w:u w:val="single"/>
              </w:rPr>
            </w:pPr>
            <w:r>
              <w:rPr>
                <w:b w:val="0"/>
                <w:sz w:val="20"/>
                <w:szCs w:val="20"/>
                <w:u w:val="single"/>
              </w:rPr>
              <w:t>Costs</w:t>
            </w:r>
          </w:p>
        </w:tc>
      </w:tr>
      <w:tr w:rsidR="00744659" w14:paraId="6EDF24E2"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DF" w14:textId="77777777" w:rsidR="00744659" w:rsidRPr="00C53C14" w:rsidRDefault="002C38C9">
            <w:pPr>
              <w:spacing w:line="360" w:lineRule="auto"/>
              <w:rPr>
                <w:sz w:val="20"/>
                <w:szCs w:val="20"/>
                <w:lang w:val="en-US"/>
              </w:rPr>
            </w:pPr>
            <w:r w:rsidRPr="00C53C14">
              <w:rPr>
                <w:b w:val="0"/>
                <w:sz w:val="20"/>
                <w:szCs w:val="20"/>
                <w:lang w:val="en-US"/>
              </w:rPr>
              <w:t>There was a significant difference regarding costs when comparing an Hb of 6.8 mmol/L vs. greater than 6.8 mmol/L in neonates in the first week of life.</w:t>
            </w:r>
          </w:p>
        </w:tc>
        <w:tc>
          <w:tcPr>
            <w:tcW w:w="2977" w:type="dxa"/>
            <w:shd w:val="clear" w:color="auto" w:fill="auto"/>
          </w:tcPr>
          <w:p w14:paraId="6EDF24E0"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u w:val="single"/>
              </w:rPr>
              <w:t>MD -2.90 (95% CI -4.94 - -0.86)</w:t>
            </w:r>
          </w:p>
        </w:tc>
        <w:tc>
          <w:tcPr>
            <w:tcW w:w="2410" w:type="dxa"/>
            <w:shd w:val="clear" w:color="auto" w:fill="auto"/>
          </w:tcPr>
          <w:p w14:paraId="6EDF24E1"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Connelly 1999</w:t>
            </w:r>
          </w:p>
        </w:tc>
      </w:tr>
      <w:tr w:rsidR="00744659" w:rsidRPr="00C53C14" w14:paraId="6EDF24E4"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E3" w14:textId="77777777" w:rsidR="00744659" w:rsidRPr="00C53C14" w:rsidRDefault="002C38C9">
            <w:pPr>
              <w:spacing w:line="360" w:lineRule="auto"/>
              <w:rPr>
                <w:sz w:val="20"/>
                <w:szCs w:val="20"/>
                <w:lang w:val="en-US"/>
              </w:rPr>
            </w:pPr>
            <w:r w:rsidRPr="00C53C14">
              <w:rPr>
                <w:b w:val="0"/>
                <w:sz w:val="20"/>
                <w:szCs w:val="20"/>
                <w:lang w:val="en-US"/>
              </w:rPr>
              <w:t xml:space="preserve">Adults – Evidence cited in existing guidelines </w:t>
            </w:r>
          </w:p>
        </w:tc>
      </w:tr>
      <w:tr w:rsidR="00744659" w14:paraId="6EDF24E8" w14:textId="77777777" w:rsidTr="00744659">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E5"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4E6"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10" w:type="dxa"/>
            <w:shd w:val="clear" w:color="auto" w:fill="auto"/>
          </w:tcPr>
          <w:p w14:paraId="6EDF24E7"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4E9"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4EA" w14:textId="77777777" w:rsidR="00744659" w:rsidRPr="00C53C14" w:rsidRDefault="00744659">
      <w:pPr>
        <w:spacing w:line="360" w:lineRule="auto"/>
        <w:rPr>
          <w:rFonts w:ascii="Calibri" w:eastAsia="Calibri" w:hAnsi="Calibri" w:cs="Calibri"/>
          <w:sz w:val="20"/>
          <w:szCs w:val="20"/>
          <w:u w:val="single"/>
          <w:lang w:val="en-US"/>
        </w:rPr>
      </w:pPr>
    </w:p>
    <w:p w14:paraId="6EDF24EB"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B3: Neonates on the second week of life</w:t>
      </w:r>
    </w:p>
    <w:p w14:paraId="6EDF24EC"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B3.1: Hb of 5.3 mmol/L versus Hb greater than 5.3 mmol/L in neonates in the second week of life</w:t>
      </w:r>
    </w:p>
    <w:tbl>
      <w:tblPr>
        <w:tblStyle w:val="af3"/>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3964"/>
        <w:gridCol w:w="2977"/>
        <w:gridCol w:w="2410"/>
      </w:tblGrid>
      <w:tr w:rsidR="00744659" w14:paraId="6EDF24F0"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8" w:space="0" w:color="FFFFFF"/>
            </w:tcBorders>
          </w:tcPr>
          <w:p w14:paraId="6EDF24ED" w14:textId="77777777" w:rsidR="00744659" w:rsidRDefault="002C38C9">
            <w:pPr>
              <w:spacing w:line="360" w:lineRule="auto"/>
              <w:rPr>
                <w:sz w:val="20"/>
                <w:szCs w:val="20"/>
              </w:rPr>
            </w:pPr>
            <w:r>
              <w:rPr>
                <w:sz w:val="20"/>
                <w:szCs w:val="20"/>
              </w:rPr>
              <w:t>Conclusion of evidence</w:t>
            </w:r>
          </w:p>
        </w:tc>
        <w:tc>
          <w:tcPr>
            <w:tcW w:w="2977" w:type="dxa"/>
            <w:tcBorders>
              <w:top w:val="single" w:sz="8" w:space="0" w:color="FFFFFF"/>
            </w:tcBorders>
          </w:tcPr>
          <w:p w14:paraId="6EDF24EE"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4EF"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4F2"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F1"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4F6"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F3"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4F4"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4F5"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4F8"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4F7"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4FA"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F9" w14:textId="77777777" w:rsidR="00744659" w:rsidRDefault="002C38C9">
            <w:pPr>
              <w:spacing w:line="360" w:lineRule="auto"/>
              <w:rPr>
                <w:sz w:val="20"/>
                <w:szCs w:val="20"/>
                <w:u w:val="single"/>
              </w:rPr>
            </w:pPr>
            <w:r>
              <w:rPr>
                <w:b w:val="0"/>
                <w:sz w:val="20"/>
                <w:szCs w:val="20"/>
                <w:u w:val="single"/>
              </w:rPr>
              <w:t>Mortality</w:t>
            </w:r>
          </w:p>
        </w:tc>
      </w:tr>
      <w:tr w:rsidR="00744659" w14:paraId="6EDF24F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4FB" w14:textId="77777777" w:rsidR="00744659" w:rsidRPr="00C53C14" w:rsidRDefault="002C38C9">
            <w:pPr>
              <w:spacing w:line="360" w:lineRule="auto"/>
              <w:rPr>
                <w:sz w:val="20"/>
                <w:szCs w:val="20"/>
                <w:lang w:val="en-US"/>
              </w:rPr>
            </w:pPr>
            <w:r w:rsidRPr="00C53C14">
              <w:rPr>
                <w:b w:val="0"/>
                <w:sz w:val="20"/>
                <w:szCs w:val="20"/>
                <w:lang w:val="en-US"/>
              </w:rPr>
              <w:t xml:space="preserve">There was no significant difference regarding mortality when comparing an Hb of 5.3 </w:t>
            </w:r>
            <w:r w:rsidRPr="00C53C14">
              <w:rPr>
                <w:b w:val="0"/>
                <w:sz w:val="20"/>
                <w:szCs w:val="20"/>
                <w:lang w:val="en-US"/>
              </w:rPr>
              <w:lastRenderedPageBreak/>
              <w:t xml:space="preserve">mmol/L vs. greater than 5.3 mmol/L in neonates in the second week of life. </w:t>
            </w:r>
          </w:p>
        </w:tc>
        <w:tc>
          <w:tcPr>
            <w:tcW w:w="2977" w:type="dxa"/>
            <w:shd w:val="clear" w:color="auto" w:fill="auto"/>
          </w:tcPr>
          <w:p w14:paraId="6EDF24FC"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RR 1.23 (95% CI 0.84 - 1.79)</w:t>
            </w:r>
          </w:p>
        </w:tc>
        <w:tc>
          <w:tcPr>
            <w:tcW w:w="2410" w:type="dxa"/>
            <w:shd w:val="clear" w:color="auto" w:fill="auto"/>
          </w:tcPr>
          <w:p w14:paraId="6EDF24FD"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14:paraId="6EDF2500"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4FF" w14:textId="77777777" w:rsidR="00744659" w:rsidRDefault="002C38C9">
            <w:pPr>
              <w:spacing w:line="360" w:lineRule="auto"/>
              <w:rPr>
                <w:sz w:val="20"/>
                <w:szCs w:val="20"/>
                <w:u w:val="single"/>
              </w:rPr>
            </w:pPr>
            <w:r>
              <w:rPr>
                <w:b w:val="0"/>
                <w:sz w:val="20"/>
                <w:szCs w:val="20"/>
                <w:u w:val="single"/>
              </w:rPr>
              <w:t>Morbidity</w:t>
            </w:r>
          </w:p>
        </w:tc>
      </w:tr>
      <w:tr w:rsidR="00744659" w:rsidRPr="00C53C14" w14:paraId="6EDF250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501"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5.3 mmol/L vs. greater than 5.3 mmol/L in neonates in the second week of life.</w:t>
            </w:r>
          </w:p>
          <w:p w14:paraId="6EDF2502" w14:textId="77777777" w:rsidR="00744659" w:rsidRPr="00C53C14" w:rsidRDefault="00744659">
            <w:pPr>
              <w:spacing w:line="360" w:lineRule="auto"/>
              <w:rPr>
                <w:sz w:val="20"/>
                <w:szCs w:val="20"/>
                <w:lang w:val="en-US"/>
              </w:rPr>
            </w:pPr>
          </w:p>
          <w:p w14:paraId="6EDF2503" w14:textId="77777777" w:rsidR="00744659" w:rsidRPr="00C53C14" w:rsidRDefault="002C38C9">
            <w:pPr>
              <w:spacing w:line="360" w:lineRule="auto"/>
              <w:rPr>
                <w:sz w:val="20"/>
                <w:szCs w:val="20"/>
                <w:lang w:val="en-US"/>
              </w:rPr>
            </w:pPr>
            <w:r w:rsidRPr="00C53C14">
              <w:rPr>
                <w:b w:val="0"/>
                <w:sz w:val="20"/>
                <w:szCs w:val="20"/>
                <w:lang w:val="en-US"/>
              </w:rPr>
              <w:t>There was a significant difference regarding retinopathy of prematurity when comparing an Hb of 5.3 mmol/L vs. greater than 5.3 mmol/L in neonates in the second week of life.</w:t>
            </w:r>
          </w:p>
        </w:tc>
        <w:tc>
          <w:tcPr>
            <w:tcW w:w="2977" w:type="dxa"/>
            <w:shd w:val="clear" w:color="auto" w:fill="auto"/>
          </w:tcPr>
          <w:p w14:paraId="6EDF2504"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p w14:paraId="6EDF2505"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06"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07"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08"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u w:val="single"/>
              </w:rPr>
              <w:t>RR 0.79 (95% CI 0.66 - 0.95)</w:t>
            </w:r>
          </w:p>
        </w:tc>
        <w:tc>
          <w:tcPr>
            <w:tcW w:w="2410" w:type="dxa"/>
            <w:shd w:val="clear" w:color="auto" w:fill="auto"/>
          </w:tcPr>
          <w:p w14:paraId="6EDF2509"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Low* </w:t>
            </w:r>
            <w:r w:rsidRPr="00C53C14">
              <w:rPr>
                <w:sz w:val="20"/>
                <w:szCs w:val="20"/>
                <w:lang w:val="en-US"/>
              </w:rPr>
              <w:t>/ Whyte &amp; Kirpalani 2006</w:t>
            </w:r>
          </w:p>
          <w:p w14:paraId="6EDF250A"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0B"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0C"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0D"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Low* </w:t>
            </w:r>
            <w:r w:rsidRPr="00C53C14">
              <w:rPr>
                <w:sz w:val="20"/>
                <w:szCs w:val="20"/>
                <w:lang w:val="en-US"/>
              </w:rPr>
              <w:t>/ Whyte &amp; Kirpalani 2006</w:t>
            </w:r>
          </w:p>
        </w:tc>
      </w:tr>
      <w:tr w:rsidR="00744659" w14:paraId="6EDF2510"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50F" w14:textId="77777777" w:rsidR="00744659" w:rsidRDefault="002C38C9">
            <w:pPr>
              <w:spacing w:line="360" w:lineRule="auto"/>
              <w:rPr>
                <w:sz w:val="20"/>
                <w:szCs w:val="20"/>
                <w:u w:val="single"/>
              </w:rPr>
            </w:pPr>
            <w:r>
              <w:rPr>
                <w:b w:val="0"/>
                <w:sz w:val="20"/>
                <w:szCs w:val="20"/>
                <w:u w:val="single"/>
              </w:rPr>
              <w:t>Costs</w:t>
            </w:r>
          </w:p>
        </w:tc>
      </w:tr>
      <w:tr w:rsidR="00744659" w14:paraId="6EDF251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511"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costs when comparing an Hb of 5.3 mmol/L vs. greater than 5.3 mmol/L in neonates in the second week of life.</w:t>
            </w:r>
          </w:p>
        </w:tc>
        <w:tc>
          <w:tcPr>
            <w:tcW w:w="2977" w:type="dxa"/>
            <w:shd w:val="clear" w:color="auto" w:fill="auto"/>
          </w:tcPr>
          <w:p w14:paraId="6EDF2512"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MD -0.80 (95% CI -1.65 - 0.05)</w:t>
            </w:r>
          </w:p>
        </w:tc>
        <w:tc>
          <w:tcPr>
            <w:tcW w:w="2410" w:type="dxa"/>
            <w:shd w:val="clear" w:color="auto" w:fill="auto"/>
          </w:tcPr>
          <w:p w14:paraId="6EDF251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rsidRPr="00C53C14" w14:paraId="6EDF2516"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515"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51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517"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518"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10" w:type="dxa"/>
            <w:shd w:val="clear" w:color="auto" w:fill="auto"/>
          </w:tcPr>
          <w:p w14:paraId="6EDF251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51B"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51C" w14:textId="77777777" w:rsidR="00744659" w:rsidRPr="00C53C14" w:rsidRDefault="00744659">
      <w:pPr>
        <w:spacing w:line="360" w:lineRule="auto"/>
        <w:rPr>
          <w:rFonts w:ascii="Calibri" w:eastAsia="Calibri" w:hAnsi="Calibri" w:cs="Calibri"/>
          <w:b/>
          <w:sz w:val="20"/>
          <w:szCs w:val="20"/>
          <w:lang w:val="en-US"/>
        </w:rPr>
      </w:pPr>
    </w:p>
    <w:p w14:paraId="6EDF251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i/>
          <w:sz w:val="20"/>
          <w:szCs w:val="20"/>
          <w:lang w:val="en-US"/>
        </w:rPr>
        <w:t>B4. Neonates on the third week of life</w:t>
      </w:r>
    </w:p>
    <w:p w14:paraId="6EDF251E"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B4.1: Hb of 4.7 mmol/L versus Hb greater than 4.7 mmol/L in the third week of life</w:t>
      </w:r>
    </w:p>
    <w:tbl>
      <w:tblPr>
        <w:tblStyle w:val="af4"/>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3964"/>
        <w:gridCol w:w="2977"/>
        <w:gridCol w:w="2410"/>
      </w:tblGrid>
      <w:tr w:rsidR="00744659" w14:paraId="6EDF2522"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8" w:space="0" w:color="FFFFFF"/>
            </w:tcBorders>
          </w:tcPr>
          <w:p w14:paraId="6EDF251F" w14:textId="77777777" w:rsidR="00744659" w:rsidRDefault="002C38C9">
            <w:pPr>
              <w:spacing w:line="360" w:lineRule="auto"/>
              <w:rPr>
                <w:sz w:val="20"/>
                <w:szCs w:val="20"/>
              </w:rPr>
            </w:pPr>
            <w:r>
              <w:rPr>
                <w:sz w:val="20"/>
                <w:szCs w:val="20"/>
              </w:rPr>
              <w:t>Conclusion of evidence</w:t>
            </w:r>
          </w:p>
        </w:tc>
        <w:tc>
          <w:tcPr>
            <w:tcW w:w="2977" w:type="dxa"/>
            <w:tcBorders>
              <w:top w:val="single" w:sz="8" w:space="0" w:color="FFFFFF"/>
            </w:tcBorders>
          </w:tcPr>
          <w:p w14:paraId="6EDF2520"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0" w:type="dxa"/>
            <w:tcBorders>
              <w:top w:val="single" w:sz="8" w:space="0" w:color="FFFFFF"/>
            </w:tcBorders>
          </w:tcPr>
          <w:p w14:paraId="6EDF2521"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52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523"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528"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525"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526"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0" w:type="dxa"/>
            <w:shd w:val="clear" w:color="auto" w:fill="auto"/>
          </w:tcPr>
          <w:p w14:paraId="6EDF2527"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52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529"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52C"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52B" w14:textId="77777777" w:rsidR="00744659" w:rsidRDefault="002C38C9">
            <w:pPr>
              <w:spacing w:line="360" w:lineRule="auto"/>
              <w:rPr>
                <w:sz w:val="20"/>
                <w:szCs w:val="20"/>
                <w:u w:val="single"/>
              </w:rPr>
            </w:pPr>
            <w:r>
              <w:rPr>
                <w:b w:val="0"/>
                <w:sz w:val="20"/>
                <w:szCs w:val="20"/>
                <w:u w:val="single"/>
              </w:rPr>
              <w:t>Mortality</w:t>
            </w:r>
          </w:p>
        </w:tc>
      </w:tr>
      <w:tr w:rsidR="00744659" w14:paraId="6EDF2530"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52D" w14:textId="77777777" w:rsidR="00744659" w:rsidRPr="00C53C14" w:rsidRDefault="002C38C9">
            <w:pPr>
              <w:spacing w:line="360" w:lineRule="auto"/>
              <w:rPr>
                <w:sz w:val="20"/>
                <w:szCs w:val="20"/>
                <w:lang w:val="en-US"/>
              </w:rPr>
            </w:pPr>
            <w:r w:rsidRPr="00C53C14">
              <w:rPr>
                <w:b w:val="0"/>
                <w:sz w:val="20"/>
                <w:szCs w:val="20"/>
                <w:lang w:val="en-US"/>
              </w:rPr>
              <w:lastRenderedPageBreak/>
              <w:t>There was no significant difference regarding mortality when comparing an Hb of 4.7 mmol/L vs. greater than 4.7 mmol/L in neonates in the third week of life.</w:t>
            </w:r>
          </w:p>
        </w:tc>
        <w:tc>
          <w:tcPr>
            <w:tcW w:w="2977" w:type="dxa"/>
            <w:shd w:val="clear" w:color="auto" w:fill="auto"/>
          </w:tcPr>
          <w:p w14:paraId="6EDF252E"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1.23 (95% CI 0.84 - 1.79)</w:t>
            </w:r>
          </w:p>
        </w:tc>
        <w:tc>
          <w:tcPr>
            <w:tcW w:w="2410" w:type="dxa"/>
            <w:shd w:val="clear" w:color="auto" w:fill="auto"/>
          </w:tcPr>
          <w:p w14:paraId="6EDF252F"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14:paraId="6EDF2532"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531" w14:textId="77777777" w:rsidR="00744659" w:rsidRDefault="002C38C9">
            <w:pPr>
              <w:spacing w:line="360" w:lineRule="auto"/>
              <w:rPr>
                <w:sz w:val="20"/>
                <w:szCs w:val="20"/>
                <w:u w:val="single"/>
              </w:rPr>
            </w:pPr>
            <w:r>
              <w:rPr>
                <w:b w:val="0"/>
                <w:sz w:val="20"/>
                <w:szCs w:val="20"/>
                <w:u w:val="single"/>
              </w:rPr>
              <w:t>Morbidity</w:t>
            </w:r>
          </w:p>
        </w:tc>
      </w:tr>
      <w:tr w:rsidR="00744659" w:rsidRPr="00C53C14" w14:paraId="6EDF2540"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533"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4.7 mmol/L vs. greater than 4.7 mmol/L in neonates in the third week of life.</w:t>
            </w:r>
          </w:p>
          <w:p w14:paraId="6EDF2534" w14:textId="77777777" w:rsidR="00744659" w:rsidRPr="00C53C14" w:rsidRDefault="00744659">
            <w:pPr>
              <w:spacing w:line="360" w:lineRule="auto"/>
              <w:rPr>
                <w:sz w:val="20"/>
                <w:szCs w:val="20"/>
                <w:lang w:val="en-US"/>
              </w:rPr>
            </w:pPr>
          </w:p>
          <w:p w14:paraId="6EDF2535" w14:textId="77777777" w:rsidR="00744659" w:rsidRPr="00C53C14" w:rsidRDefault="002C38C9">
            <w:pPr>
              <w:spacing w:line="360" w:lineRule="auto"/>
              <w:rPr>
                <w:sz w:val="20"/>
                <w:szCs w:val="20"/>
                <w:lang w:val="en-US"/>
              </w:rPr>
            </w:pPr>
            <w:r w:rsidRPr="00C53C14">
              <w:rPr>
                <w:b w:val="0"/>
                <w:sz w:val="20"/>
                <w:szCs w:val="20"/>
                <w:lang w:val="en-US"/>
              </w:rPr>
              <w:t>There was a significant difference regarding retinopathy of prematurity when comparing an Hb of 4.7 mmol/L vs. greater than 4.7 mmol/L in neonates in the third week of life.</w:t>
            </w:r>
          </w:p>
        </w:tc>
        <w:tc>
          <w:tcPr>
            <w:tcW w:w="2977" w:type="dxa"/>
            <w:shd w:val="clear" w:color="auto" w:fill="auto"/>
          </w:tcPr>
          <w:p w14:paraId="6EDF2536"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p w14:paraId="6EDF2537"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38"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39"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3A"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u w:val="single"/>
              </w:rPr>
              <w:t>RR 0.79 (95% CI 0.66 - 0.95)</w:t>
            </w:r>
          </w:p>
        </w:tc>
        <w:tc>
          <w:tcPr>
            <w:tcW w:w="2410" w:type="dxa"/>
            <w:shd w:val="clear" w:color="auto" w:fill="auto"/>
          </w:tcPr>
          <w:p w14:paraId="6EDF253B"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Low* </w:t>
            </w:r>
            <w:r w:rsidRPr="00C53C14">
              <w:rPr>
                <w:sz w:val="20"/>
                <w:szCs w:val="20"/>
                <w:lang w:val="en-US"/>
              </w:rPr>
              <w:t>/ Whyte &amp; Kirpalani 2006</w:t>
            </w:r>
          </w:p>
          <w:p w14:paraId="6EDF253C"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3D"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3E"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53F"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Low* </w:t>
            </w:r>
            <w:r w:rsidRPr="00C53C14">
              <w:rPr>
                <w:sz w:val="20"/>
                <w:szCs w:val="20"/>
                <w:lang w:val="en-US"/>
              </w:rPr>
              <w:t>/ Whyte &amp; Kirpalani 2006</w:t>
            </w:r>
          </w:p>
        </w:tc>
      </w:tr>
      <w:tr w:rsidR="00744659" w14:paraId="6EDF2542"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541" w14:textId="77777777" w:rsidR="00744659" w:rsidRDefault="002C38C9">
            <w:pPr>
              <w:spacing w:line="360" w:lineRule="auto"/>
              <w:rPr>
                <w:sz w:val="20"/>
                <w:szCs w:val="20"/>
                <w:u w:val="single"/>
              </w:rPr>
            </w:pPr>
            <w:r>
              <w:rPr>
                <w:b w:val="0"/>
                <w:sz w:val="20"/>
                <w:szCs w:val="20"/>
                <w:u w:val="single"/>
              </w:rPr>
              <w:t>Costs</w:t>
            </w:r>
          </w:p>
        </w:tc>
      </w:tr>
      <w:tr w:rsidR="00744659" w14:paraId="6EDF2546"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543"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costs when comparing an Hb</w:t>
            </w:r>
            <w:r w:rsidRPr="00C53C14">
              <w:rPr>
                <w:sz w:val="20"/>
                <w:szCs w:val="20"/>
                <w:u w:val="single"/>
                <w:lang w:val="en-US"/>
              </w:rPr>
              <w:t xml:space="preserve"> </w:t>
            </w:r>
            <w:r w:rsidRPr="00C53C14">
              <w:rPr>
                <w:b w:val="0"/>
                <w:sz w:val="20"/>
                <w:szCs w:val="20"/>
                <w:lang w:val="en-US"/>
              </w:rPr>
              <w:t>of 4.7 mmol/L vs. greater than 4.7 mmol/L in neonates in the third week of life.</w:t>
            </w:r>
          </w:p>
        </w:tc>
        <w:tc>
          <w:tcPr>
            <w:tcW w:w="2977" w:type="dxa"/>
            <w:shd w:val="clear" w:color="auto" w:fill="auto"/>
          </w:tcPr>
          <w:p w14:paraId="6EDF2544"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MD -0.80 (95% CI -1.65 - 0.05)</w:t>
            </w:r>
          </w:p>
        </w:tc>
        <w:tc>
          <w:tcPr>
            <w:tcW w:w="2410" w:type="dxa"/>
            <w:shd w:val="clear" w:color="auto" w:fill="auto"/>
          </w:tcPr>
          <w:p w14:paraId="6EDF2545"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rsidRPr="00C53C14" w14:paraId="6EDF2548"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547"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54C"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549" w14:textId="77777777" w:rsidR="00744659" w:rsidRDefault="002C38C9">
            <w:pPr>
              <w:spacing w:line="360" w:lineRule="auto"/>
              <w:rPr>
                <w:sz w:val="20"/>
                <w:szCs w:val="20"/>
              </w:rPr>
            </w:pPr>
            <w:r>
              <w:rPr>
                <w:b w:val="0"/>
                <w:sz w:val="20"/>
                <w:szCs w:val="20"/>
              </w:rPr>
              <w:t>No studies</w:t>
            </w:r>
          </w:p>
        </w:tc>
        <w:tc>
          <w:tcPr>
            <w:tcW w:w="2977" w:type="dxa"/>
            <w:shd w:val="clear" w:color="auto" w:fill="auto"/>
          </w:tcPr>
          <w:p w14:paraId="6EDF254A"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10" w:type="dxa"/>
            <w:shd w:val="clear" w:color="auto" w:fill="auto"/>
          </w:tcPr>
          <w:p w14:paraId="6EDF254B"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54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54E" w14:textId="77777777" w:rsidR="00744659" w:rsidRPr="00C53C14" w:rsidRDefault="00744659">
      <w:pPr>
        <w:spacing w:line="360" w:lineRule="auto"/>
        <w:rPr>
          <w:rFonts w:ascii="Calibri" w:eastAsia="Calibri" w:hAnsi="Calibri" w:cs="Calibri"/>
          <w:b/>
          <w:sz w:val="20"/>
          <w:szCs w:val="20"/>
          <w:lang w:val="en-US"/>
        </w:rPr>
      </w:pPr>
    </w:p>
    <w:p w14:paraId="6EDF254F"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C. Conclusions</w:t>
      </w:r>
    </w:p>
    <w:p w14:paraId="6EDF255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No conclusions were formulated. </w:t>
      </w:r>
    </w:p>
    <w:p w14:paraId="6EDF2551"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highlight w:val="yellow"/>
          <w:lang w:val="en-US"/>
        </w:rPr>
        <w:br/>
      </w:r>
      <w:r w:rsidRPr="00C53C14">
        <w:rPr>
          <w:rFonts w:ascii="Calibri" w:eastAsia="Calibri" w:hAnsi="Calibri" w:cs="Calibri"/>
          <w:b/>
          <w:sz w:val="20"/>
          <w:szCs w:val="20"/>
          <w:lang w:val="en-US"/>
        </w:rPr>
        <w:t>2. PROPHYLACTIC RED BLOOD CELL TRANSFUSION - SEPSIS</w:t>
      </w:r>
    </w:p>
    <w:p w14:paraId="6EDF2552"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2.1 PROPHYLACTIC RED BLOOD CELL TRANSFUSION IN CHILDREN WITH CANCER DURING SEPSIS</w:t>
      </w:r>
    </w:p>
    <w:p w14:paraId="6EDF2553"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A. Discussion of the literature</w:t>
      </w:r>
    </w:p>
    <w:p w14:paraId="6EDF2554"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A1: Discussion of the evidence</w:t>
      </w:r>
    </w:p>
    <w:p w14:paraId="6EDF2555"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A1.1: Evidence in pediatric oncology</w:t>
      </w:r>
    </w:p>
    <w:p w14:paraId="6EDF2556"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No pediatric oncology studies included children with sepsis. </w:t>
      </w:r>
    </w:p>
    <w:p w14:paraId="6EDF2557" w14:textId="77777777" w:rsidR="00744659" w:rsidRPr="00C53C14" w:rsidRDefault="00744659">
      <w:pPr>
        <w:spacing w:line="360" w:lineRule="auto"/>
        <w:rPr>
          <w:rFonts w:ascii="Calibri" w:eastAsia="Calibri" w:hAnsi="Calibri" w:cs="Calibri"/>
          <w:sz w:val="20"/>
          <w:szCs w:val="20"/>
          <w:lang w:val="en-US"/>
        </w:rPr>
      </w:pPr>
    </w:p>
    <w:p w14:paraId="6EDF2558"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lastRenderedPageBreak/>
        <w:t>A1.2: Recommendations and evidence derived from guidelines</w:t>
      </w:r>
    </w:p>
    <w:p w14:paraId="6EDF2559" w14:textId="1A37958E"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Only one out of seven guidelines formulated recommendations for children with sepsis stating that a hemoglobin (Hb) threshold of 4.3 mmol/L can be safely applied in clinically stable children; however, in clinically unstable children a higher threshold may be suggested (15, 22, </w:t>
      </w:r>
      <w:r w:rsidR="00BE4039">
        <w:rPr>
          <w:rFonts w:ascii="Calibri" w:eastAsia="Calibri" w:hAnsi="Calibri" w:cs="Calibri"/>
          <w:sz w:val="20"/>
          <w:szCs w:val="20"/>
          <w:lang w:val="en-US"/>
        </w:rPr>
        <w:t>29</w:t>
      </w:r>
      <w:r w:rsidRPr="00C53C14">
        <w:rPr>
          <w:rFonts w:ascii="Calibri" w:eastAsia="Calibri" w:hAnsi="Calibri" w:cs="Calibri"/>
          <w:sz w:val="20"/>
          <w:szCs w:val="20"/>
          <w:lang w:val="en-US"/>
        </w:rPr>
        <w:t xml:space="preserve">). </w:t>
      </w:r>
    </w:p>
    <w:p w14:paraId="6EDF255A" w14:textId="77777777" w:rsidR="00744659" w:rsidRPr="00C53C14" w:rsidRDefault="00744659">
      <w:pPr>
        <w:spacing w:line="360" w:lineRule="auto"/>
        <w:rPr>
          <w:rFonts w:ascii="Calibri" w:eastAsia="Calibri" w:hAnsi="Calibri" w:cs="Calibri"/>
          <w:sz w:val="20"/>
          <w:szCs w:val="20"/>
          <w:lang w:val="en-US"/>
        </w:rPr>
      </w:pPr>
    </w:p>
    <w:p w14:paraId="6EDF255B"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55C"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A2.1: Pediatric oncology</w:t>
      </w:r>
    </w:p>
    <w:p w14:paraId="6EDF255D"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sz w:val="20"/>
          <w:szCs w:val="20"/>
          <w:lang w:val="en-US"/>
        </w:rPr>
        <w:t xml:space="preserve">There were no primary pediatric oncology studies included from the systematic literature search. </w:t>
      </w:r>
    </w:p>
    <w:p w14:paraId="6EDF255E" w14:textId="77777777" w:rsidR="00744659" w:rsidRPr="00C53C14" w:rsidRDefault="00744659">
      <w:pPr>
        <w:spacing w:line="360" w:lineRule="auto"/>
        <w:rPr>
          <w:rFonts w:ascii="Calibri" w:eastAsia="Calibri" w:hAnsi="Calibri" w:cs="Calibri"/>
          <w:sz w:val="20"/>
          <w:szCs w:val="20"/>
          <w:lang w:val="en-US"/>
        </w:rPr>
      </w:pPr>
    </w:p>
    <w:p w14:paraId="6EDF255F"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A2.2: Children in general</w:t>
      </w:r>
    </w:p>
    <w:p w14:paraId="6EDF256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One pediatric study was included from the additional literature review (18). The characteristics of the included study are stated in the evidence table below. </w:t>
      </w:r>
    </w:p>
    <w:p w14:paraId="6EDF2561" w14:textId="77777777" w:rsidR="00744659" w:rsidRPr="00C53C14" w:rsidRDefault="00744659">
      <w:pPr>
        <w:spacing w:line="360" w:lineRule="auto"/>
        <w:rPr>
          <w:rFonts w:ascii="Calibri" w:eastAsia="Calibri" w:hAnsi="Calibri" w:cs="Calibri"/>
          <w:b/>
          <w:sz w:val="20"/>
          <w:szCs w:val="20"/>
          <w:lang w:val="en-US"/>
        </w:rPr>
      </w:pPr>
    </w:p>
    <w:p w14:paraId="6EDF2562"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Table 1.</w:t>
      </w:r>
      <w:r w:rsidRPr="00C53C14">
        <w:rPr>
          <w:rFonts w:ascii="Calibri" w:eastAsia="Calibri" w:hAnsi="Calibri" w:cs="Calibri"/>
          <w:sz w:val="20"/>
          <w:szCs w:val="20"/>
          <w:lang w:val="en-US"/>
        </w:rPr>
        <w:t xml:space="preserve"> Characteristics of the included studies regarding children.</w:t>
      </w:r>
    </w:p>
    <w:tbl>
      <w:tblPr>
        <w:tblStyle w:val="af5"/>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693"/>
        <w:gridCol w:w="2126"/>
        <w:gridCol w:w="2127"/>
        <w:gridCol w:w="3118"/>
      </w:tblGrid>
      <w:tr w:rsidR="00744659" w14:paraId="6EDF2564" w14:textId="77777777">
        <w:trPr>
          <w:trHeight w:val="71"/>
        </w:trPr>
        <w:tc>
          <w:tcPr>
            <w:tcW w:w="11623" w:type="dxa"/>
            <w:gridSpan w:val="5"/>
            <w:shd w:val="clear" w:color="auto" w:fill="000000"/>
            <w:tcMar>
              <w:top w:w="100" w:type="dxa"/>
              <w:left w:w="100" w:type="dxa"/>
              <w:bottom w:w="100" w:type="dxa"/>
              <w:right w:w="100" w:type="dxa"/>
            </w:tcMar>
          </w:tcPr>
          <w:p w14:paraId="6EDF2563" w14:textId="77777777" w:rsidR="00744659" w:rsidRDefault="002C38C9">
            <w:pPr>
              <w:spacing w:line="360" w:lineRule="auto"/>
              <w:rPr>
                <w:b/>
                <w:color w:val="FFFFFF"/>
                <w:sz w:val="20"/>
                <w:szCs w:val="20"/>
              </w:rPr>
            </w:pPr>
            <w:r>
              <w:rPr>
                <w:b/>
                <w:color w:val="FFFFFF"/>
                <w:sz w:val="20"/>
                <w:szCs w:val="20"/>
              </w:rPr>
              <w:t>Included studies</w:t>
            </w:r>
          </w:p>
        </w:tc>
      </w:tr>
      <w:tr w:rsidR="00744659" w14:paraId="6EDF256A" w14:textId="77777777">
        <w:trPr>
          <w:trHeight w:val="179"/>
        </w:trPr>
        <w:tc>
          <w:tcPr>
            <w:tcW w:w="1559" w:type="dxa"/>
            <w:shd w:val="clear" w:color="auto" w:fill="D9D9D9"/>
            <w:tcMar>
              <w:top w:w="100" w:type="dxa"/>
              <w:left w:w="100" w:type="dxa"/>
              <w:bottom w:w="100" w:type="dxa"/>
              <w:right w:w="100" w:type="dxa"/>
            </w:tcMar>
          </w:tcPr>
          <w:p w14:paraId="6EDF2565" w14:textId="77777777" w:rsidR="00744659" w:rsidRDefault="002C38C9">
            <w:pPr>
              <w:spacing w:line="360" w:lineRule="auto"/>
              <w:rPr>
                <w:b/>
                <w:sz w:val="20"/>
                <w:szCs w:val="20"/>
              </w:rPr>
            </w:pPr>
            <w:r>
              <w:rPr>
                <w:b/>
                <w:sz w:val="20"/>
                <w:szCs w:val="20"/>
              </w:rPr>
              <w:t>Study</w:t>
            </w:r>
          </w:p>
        </w:tc>
        <w:tc>
          <w:tcPr>
            <w:tcW w:w="2693" w:type="dxa"/>
            <w:shd w:val="clear" w:color="auto" w:fill="D9D9D9"/>
            <w:tcMar>
              <w:top w:w="100" w:type="dxa"/>
              <w:left w:w="100" w:type="dxa"/>
              <w:bottom w:w="100" w:type="dxa"/>
              <w:right w:w="100" w:type="dxa"/>
            </w:tcMar>
          </w:tcPr>
          <w:p w14:paraId="6EDF2566" w14:textId="77777777" w:rsidR="00744659" w:rsidRDefault="002C38C9">
            <w:pPr>
              <w:spacing w:line="360" w:lineRule="auto"/>
              <w:rPr>
                <w:b/>
                <w:sz w:val="20"/>
                <w:szCs w:val="20"/>
              </w:rPr>
            </w:pPr>
            <w:r>
              <w:rPr>
                <w:b/>
                <w:sz w:val="20"/>
                <w:szCs w:val="20"/>
              </w:rPr>
              <w:t>Population</w:t>
            </w:r>
          </w:p>
        </w:tc>
        <w:tc>
          <w:tcPr>
            <w:tcW w:w="2126" w:type="dxa"/>
            <w:shd w:val="clear" w:color="auto" w:fill="D9D9D9"/>
            <w:tcMar>
              <w:top w:w="100" w:type="dxa"/>
              <w:left w:w="100" w:type="dxa"/>
              <w:bottom w:w="100" w:type="dxa"/>
              <w:right w:w="100" w:type="dxa"/>
            </w:tcMar>
          </w:tcPr>
          <w:p w14:paraId="6EDF2567" w14:textId="77777777" w:rsidR="00744659" w:rsidRDefault="002C38C9">
            <w:pPr>
              <w:spacing w:line="360" w:lineRule="auto"/>
              <w:rPr>
                <w:b/>
                <w:sz w:val="20"/>
                <w:szCs w:val="20"/>
              </w:rPr>
            </w:pPr>
            <w:r>
              <w:rPr>
                <w:b/>
                <w:sz w:val="20"/>
                <w:szCs w:val="20"/>
              </w:rPr>
              <w:t>Liberal threshold</w:t>
            </w:r>
          </w:p>
        </w:tc>
        <w:tc>
          <w:tcPr>
            <w:tcW w:w="2127" w:type="dxa"/>
            <w:shd w:val="clear" w:color="auto" w:fill="D9D9D9"/>
            <w:tcMar>
              <w:top w:w="100" w:type="dxa"/>
              <w:left w:w="100" w:type="dxa"/>
              <w:bottom w:w="100" w:type="dxa"/>
              <w:right w:w="100" w:type="dxa"/>
            </w:tcMar>
          </w:tcPr>
          <w:p w14:paraId="6EDF2568" w14:textId="77777777" w:rsidR="00744659" w:rsidRDefault="002C38C9">
            <w:pPr>
              <w:spacing w:line="360" w:lineRule="auto"/>
              <w:rPr>
                <w:b/>
                <w:sz w:val="20"/>
                <w:szCs w:val="20"/>
              </w:rPr>
            </w:pPr>
            <w:r>
              <w:rPr>
                <w:b/>
                <w:sz w:val="20"/>
                <w:szCs w:val="20"/>
              </w:rPr>
              <w:t>Restrictive threshold</w:t>
            </w:r>
          </w:p>
        </w:tc>
        <w:tc>
          <w:tcPr>
            <w:tcW w:w="3118" w:type="dxa"/>
            <w:shd w:val="clear" w:color="auto" w:fill="D9D9D9"/>
            <w:tcMar>
              <w:top w:w="100" w:type="dxa"/>
              <w:left w:w="100" w:type="dxa"/>
              <w:bottom w:w="100" w:type="dxa"/>
              <w:right w:w="100" w:type="dxa"/>
            </w:tcMar>
          </w:tcPr>
          <w:p w14:paraId="6EDF2569" w14:textId="77777777" w:rsidR="00744659" w:rsidRDefault="002C38C9">
            <w:pPr>
              <w:spacing w:line="360" w:lineRule="auto"/>
              <w:rPr>
                <w:b/>
                <w:sz w:val="20"/>
                <w:szCs w:val="20"/>
              </w:rPr>
            </w:pPr>
            <w:r>
              <w:rPr>
                <w:b/>
                <w:sz w:val="20"/>
                <w:szCs w:val="20"/>
              </w:rPr>
              <w:t xml:space="preserve">Outcomes </w:t>
            </w:r>
          </w:p>
        </w:tc>
      </w:tr>
      <w:tr w:rsidR="00744659" w:rsidRPr="00C53C14" w14:paraId="6EDF2573" w14:textId="77777777">
        <w:trPr>
          <w:trHeight w:val="360"/>
        </w:trPr>
        <w:tc>
          <w:tcPr>
            <w:tcW w:w="1559" w:type="dxa"/>
            <w:tcMar>
              <w:top w:w="100" w:type="dxa"/>
              <w:left w:w="100" w:type="dxa"/>
              <w:bottom w:w="100" w:type="dxa"/>
              <w:right w:w="100" w:type="dxa"/>
            </w:tcMar>
          </w:tcPr>
          <w:p w14:paraId="6EDF256B" w14:textId="77777777" w:rsidR="00744659" w:rsidRDefault="002C38C9">
            <w:pPr>
              <w:spacing w:line="360" w:lineRule="auto"/>
              <w:rPr>
                <w:i/>
                <w:sz w:val="20"/>
                <w:szCs w:val="20"/>
              </w:rPr>
            </w:pPr>
            <w:r>
              <w:rPr>
                <w:i/>
                <w:sz w:val="20"/>
                <w:szCs w:val="20"/>
              </w:rPr>
              <w:t>Lacroix (2012)</w:t>
            </w:r>
          </w:p>
          <w:p w14:paraId="6EDF256C"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56D" w14:textId="77777777" w:rsidR="00744659" w:rsidRPr="00C53C14" w:rsidRDefault="002C38C9">
            <w:pPr>
              <w:spacing w:line="360" w:lineRule="auto"/>
              <w:rPr>
                <w:sz w:val="20"/>
                <w:szCs w:val="20"/>
                <w:lang w:val="en-US"/>
              </w:rPr>
            </w:pPr>
            <w:r w:rsidRPr="00C53C14">
              <w:rPr>
                <w:sz w:val="20"/>
                <w:szCs w:val="20"/>
                <w:lang w:val="en-US"/>
              </w:rPr>
              <w:t>137 stable critically ill children with sepsis</w:t>
            </w:r>
          </w:p>
        </w:tc>
        <w:tc>
          <w:tcPr>
            <w:tcW w:w="2126" w:type="dxa"/>
            <w:tcMar>
              <w:top w:w="100" w:type="dxa"/>
              <w:left w:w="100" w:type="dxa"/>
              <w:bottom w:w="100" w:type="dxa"/>
              <w:right w:w="100" w:type="dxa"/>
            </w:tcMar>
          </w:tcPr>
          <w:p w14:paraId="6EDF256E" w14:textId="77777777" w:rsidR="00744659" w:rsidRDefault="002C38C9">
            <w:pPr>
              <w:spacing w:line="360" w:lineRule="auto"/>
              <w:rPr>
                <w:sz w:val="20"/>
                <w:szCs w:val="20"/>
              </w:rPr>
            </w:pPr>
            <w:r>
              <w:rPr>
                <w:sz w:val="20"/>
                <w:szCs w:val="20"/>
              </w:rPr>
              <w:t>- 5.0 mmol/L</w:t>
            </w:r>
          </w:p>
        </w:tc>
        <w:tc>
          <w:tcPr>
            <w:tcW w:w="2127" w:type="dxa"/>
            <w:tcMar>
              <w:top w:w="100" w:type="dxa"/>
              <w:left w:w="100" w:type="dxa"/>
              <w:bottom w:w="100" w:type="dxa"/>
              <w:right w:w="100" w:type="dxa"/>
            </w:tcMar>
          </w:tcPr>
          <w:p w14:paraId="6EDF256F" w14:textId="77777777" w:rsidR="00744659" w:rsidRDefault="002C38C9">
            <w:pPr>
              <w:spacing w:line="360" w:lineRule="auto"/>
              <w:rPr>
                <w:sz w:val="20"/>
                <w:szCs w:val="20"/>
              </w:rPr>
            </w:pPr>
            <w:r>
              <w:rPr>
                <w:sz w:val="20"/>
                <w:szCs w:val="20"/>
              </w:rPr>
              <w:t>- 4.3 mmol/L</w:t>
            </w:r>
          </w:p>
        </w:tc>
        <w:tc>
          <w:tcPr>
            <w:tcW w:w="3118" w:type="dxa"/>
            <w:tcMar>
              <w:top w:w="100" w:type="dxa"/>
              <w:left w:w="100" w:type="dxa"/>
              <w:bottom w:w="100" w:type="dxa"/>
              <w:right w:w="100" w:type="dxa"/>
            </w:tcMar>
          </w:tcPr>
          <w:p w14:paraId="6EDF2570" w14:textId="77777777" w:rsidR="00744659" w:rsidRPr="00C53C14" w:rsidRDefault="002C38C9">
            <w:pPr>
              <w:spacing w:line="360" w:lineRule="auto"/>
              <w:rPr>
                <w:sz w:val="20"/>
                <w:szCs w:val="20"/>
                <w:lang w:val="en-US"/>
              </w:rPr>
            </w:pPr>
            <w:r w:rsidRPr="00C53C14">
              <w:rPr>
                <w:sz w:val="20"/>
                <w:szCs w:val="20"/>
                <w:lang w:val="en-US"/>
              </w:rPr>
              <w:t>- Mortality</w:t>
            </w:r>
          </w:p>
          <w:p w14:paraId="6EDF2571" w14:textId="77777777" w:rsidR="00744659" w:rsidRPr="00C53C14" w:rsidRDefault="002C38C9">
            <w:pPr>
              <w:spacing w:line="360" w:lineRule="auto"/>
              <w:rPr>
                <w:sz w:val="20"/>
                <w:szCs w:val="20"/>
                <w:lang w:val="en-US"/>
              </w:rPr>
            </w:pPr>
            <w:r w:rsidRPr="00C53C14">
              <w:rPr>
                <w:sz w:val="20"/>
                <w:szCs w:val="20"/>
                <w:lang w:val="en-US"/>
              </w:rPr>
              <w:t>- Morbidity</w:t>
            </w:r>
          </w:p>
          <w:p w14:paraId="6EDF2572" w14:textId="77777777" w:rsidR="00744659" w:rsidRPr="00C53C14" w:rsidRDefault="002C38C9">
            <w:pPr>
              <w:spacing w:line="360" w:lineRule="auto"/>
              <w:rPr>
                <w:sz w:val="20"/>
                <w:szCs w:val="20"/>
                <w:lang w:val="en-US"/>
              </w:rPr>
            </w:pPr>
            <w:r w:rsidRPr="00C53C14">
              <w:rPr>
                <w:sz w:val="20"/>
                <w:szCs w:val="20"/>
                <w:lang w:val="en-US"/>
              </w:rPr>
              <w:t>- Admission to hospital</w:t>
            </w:r>
          </w:p>
        </w:tc>
      </w:tr>
    </w:tbl>
    <w:p w14:paraId="6EDF2574" w14:textId="77777777" w:rsidR="00744659" w:rsidRPr="00C53C14" w:rsidRDefault="00744659">
      <w:pPr>
        <w:spacing w:line="360" w:lineRule="auto"/>
        <w:rPr>
          <w:rFonts w:ascii="Calibri" w:eastAsia="Calibri" w:hAnsi="Calibri" w:cs="Calibri"/>
          <w:sz w:val="20"/>
          <w:szCs w:val="20"/>
          <w:u w:val="single"/>
          <w:lang w:val="en-US"/>
        </w:rPr>
      </w:pPr>
    </w:p>
    <w:p w14:paraId="6EDF2575"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A2.3: Adults</w:t>
      </w:r>
    </w:p>
    <w:p w14:paraId="6EDF2576" w14:textId="08483CDA"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One adult study was included from the additional literature review (2</w:t>
      </w:r>
      <w:r w:rsidR="00343985">
        <w:rPr>
          <w:rFonts w:ascii="Calibri" w:eastAsia="Calibri" w:hAnsi="Calibri" w:cs="Calibri"/>
          <w:sz w:val="20"/>
          <w:szCs w:val="20"/>
          <w:lang w:val="en-US"/>
        </w:rPr>
        <w:t>3</w:t>
      </w:r>
      <w:r w:rsidRPr="00C53C14">
        <w:rPr>
          <w:rFonts w:ascii="Calibri" w:eastAsia="Calibri" w:hAnsi="Calibri" w:cs="Calibri"/>
          <w:sz w:val="20"/>
          <w:szCs w:val="20"/>
          <w:lang w:val="en-US"/>
        </w:rPr>
        <w:t xml:space="preserve">). The characteristics of the included study are stated in the evidence table below. </w:t>
      </w:r>
    </w:p>
    <w:p w14:paraId="6EDF2577" w14:textId="77777777" w:rsidR="00744659" w:rsidRPr="00C53C14" w:rsidRDefault="00744659">
      <w:pPr>
        <w:spacing w:line="360" w:lineRule="auto"/>
        <w:rPr>
          <w:rFonts w:ascii="Calibri" w:eastAsia="Calibri" w:hAnsi="Calibri" w:cs="Calibri"/>
          <w:b/>
          <w:sz w:val="20"/>
          <w:szCs w:val="20"/>
          <w:lang w:val="en-US"/>
        </w:rPr>
      </w:pPr>
    </w:p>
    <w:p w14:paraId="6EDF2578"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Table 2.</w:t>
      </w:r>
      <w:r w:rsidRPr="00C53C14">
        <w:rPr>
          <w:rFonts w:ascii="Calibri" w:eastAsia="Calibri" w:hAnsi="Calibri" w:cs="Calibri"/>
          <w:sz w:val="20"/>
          <w:szCs w:val="20"/>
          <w:lang w:val="en-US"/>
        </w:rPr>
        <w:t xml:space="preserve"> Characteristics of the included studies regarding adults.</w:t>
      </w:r>
    </w:p>
    <w:tbl>
      <w:tblPr>
        <w:tblStyle w:val="af6"/>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693"/>
        <w:gridCol w:w="2126"/>
        <w:gridCol w:w="2127"/>
        <w:gridCol w:w="3118"/>
      </w:tblGrid>
      <w:tr w:rsidR="00744659" w14:paraId="6EDF257A" w14:textId="77777777">
        <w:trPr>
          <w:trHeight w:val="71"/>
        </w:trPr>
        <w:tc>
          <w:tcPr>
            <w:tcW w:w="11623" w:type="dxa"/>
            <w:gridSpan w:val="5"/>
            <w:shd w:val="clear" w:color="auto" w:fill="000000"/>
            <w:tcMar>
              <w:top w:w="100" w:type="dxa"/>
              <w:left w:w="100" w:type="dxa"/>
              <w:bottom w:w="100" w:type="dxa"/>
              <w:right w:w="100" w:type="dxa"/>
            </w:tcMar>
          </w:tcPr>
          <w:p w14:paraId="6EDF2579" w14:textId="77777777" w:rsidR="00744659" w:rsidRDefault="002C38C9">
            <w:pPr>
              <w:spacing w:line="360" w:lineRule="auto"/>
              <w:rPr>
                <w:b/>
                <w:color w:val="FFFFFF"/>
                <w:sz w:val="20"/>
                <w:szCs w:val="20"/>
              </w:rPr>
            </w:pPr>
            <w:r>
              <w:rPr>
                <w:b/>
                <w:color w:val="FFFFFF"/>
                <w:sz w:val="20"/>
                <w:szCs w:val="20"/>
              </w:rPr>
              <w:t>Included studies</w:t>
            </w:r>
          </w:p>
        </w:tc>
      </w:tr>
      <w:tr w:rsidR="00744659" w14:paraId="6EDF2580" w14:textId="77777777">
        <w:trPr>
          <w:trHeight w:val="179"/>
        </w:trPr>
        <w:tc>
          <w:tcPr>
            <w:tcW w:w="1559" w:type="dxa"/>
            <w:shd w:val="clear" w:color="auto" w:fill="D9D9D9"/>
            <w:tcMar>
              <w:top w:w="100" w:type="dxa"/>
              <w:left w:w="100" w:type="dxa"/>
              <w:bottom w:w="100" w:type="dxa"/>
              <w:right w:w="100" w:type="dxa"/>
            </w:tcMar>
          </w:tcPr>
          <w:p w14:paraId="6EDF257B" w14:textId="77777777" w:rsidR="00744659" w:rsidRDefault="002C38C9">
            <w:pPr>
              <w:spacing w:line="360" w:lineRule="auto"/>
              <w:rPr>
                <w:b/>
                <w:sz w:val="20"/>
                <w:szCs w:val="20"/>
              </w:rPr>
            </w:pPr>
            <w:r>
              <w:rPr>
                <w:b/>
                <w:sz w:val="20"/>
                <w:szCs w:val="20"/>
              </w:rPr>
              <w:t>Study</w:t>
            </w:r>
          </w:p>
        </w:tc>
        <w:tc>
          <w:tcPr>
            <w:tcW w:w="2693" w:type="dxa"/>
            <w:shd w:val="clear" w:color="auto" w:fill="D9D9D9"/>
            <w:tcMar>
              <w:top w:w="100" w:type="dxa"/>
              <w:left w:w="100" w:type="dxa"/>
              <w:bottom w:w="100" w:type="dxa"/>
              <w:right w:w="100" w:type="dxa"/>
            </w:tcMar>
          </w:tcPr>
          <w:p w14:paraId="6EDF257C" w14:textId="77777777" w:rsidR="00744659" w:rsidRDefault="002C38C9">
            <w:pPr>
              <w:spacing w:line="360" w:lineRule="auto"/>
              <w:rPr>
                <w:b/>
                <w:sz w:val="20"/>
                <w:szCs w:val="20"/>
              </w:rPr>
            </w:pPr>
            <w:r>
              <w:rPr>
                <w:b/>
                <w:sz w:val="20"/>
                <w:szCs w:val="20"/>
              </w:rPr>
              <w:t>Population</w:t>
            </w:r>
          </w:p>
        </w:tc>
        <w:tc>
          <w:tcPr>
            <w:tcW w:w="2126" w:type="dxa"/>
            <w:shd w:val="clear" w:color="auto" w:fill="D9D9D9"/>
            <w:tcMar>
              <w:top w:w="100" w:type="dxa"/>
              <w:left w:w="100" w:type="dxa"/>
              <w:bottom w:w="100" w:type="dxa"/>
              <w:right w:w="100" w:type="dxa"/>
            </w:tcMar>
          </w:tcPr>
          <w:p w14:paraId="6EDF257D" w14:textId="77777777" w:rsidR="00744659" w:rsidRDefault="002C38C9">
            <w:pPr>
              <w:spacing w:line="360" w:lineRule="auto"/>
              <w:rPr>
                <w:b/>
                <w:sz w:val="20"/>
                <w:szCs w:val="20"/>
              </w:rPr>
            </w:pPr>
            <w:r>
              <w:rPr>
                <w:b/>
                <w:sz w:val="20"/>
                <w:szCs w:val="20"/>
              </w:rPr>
              <w:t>Liberal threshold</w:t>
            </w:r>
          </w:p>
        </w:tc>
        <w:tc>
          <w:tcPr>
            <w:tcW w:w="2127" w:type="dxa"/>
            <w:shd w:val="clear" w:color="auto" w:fill="D9D9D9"/>
            <w:tcMar>
              <w:top w:w="100" w:type="dxa"/>
              <w:left w:w="100" w:type="dxa"/>
              <w:bottom w:w="100" w:type="dxa"/>
              <w:right w:w="100" w:type="dxa"/>
            </w:tcMar>
          </w:tcPr>
          <w:p w14:paraId="6EDF257E" w14:textId="77777777" w:rsidR="00744659" w:rsidRDefault="002C38C9">
            <w:pPr>
              <w:spacing w:line="360" w:lineRule="auto"/>
              <w:rPr>
                <w:b/>
                <w:sz w:val="20"/>
                <w:szCs w:val="20"/>
              </w:rPr>
            </w:pPr>
            <w:r>
              <w:rPr>
                <w:b/>
                <w:sz w:val="20"/>
                <w:szCs w:val="20"/>
              </w:rPr>
              <w:t>Restrictive threshold</w:t>
            </w:r>
          </w:p>
        </w:tc>
        <w:tc>
          <w:tcPr>
            <w:tcW w:w="3118" w:type="dxa"/>
            <w:shd w:val="clear" w:color="auto" w:fill="D9D9D9"/>
            <w:tcMar>
              <w:top w:w="100" w:type="dxa"/>
              <w:left w:w="100" w:type="dxa"/>
              <w:bottom w:w="100" w:type="dxa"/>
              <w:right w:w="100" w:type="dxa"/>
            </w:tcMar>
          </w:tcPr>
          <w:p w14:paraId="6EDF257F" w14:textId="77777777" w:rsidR="00744659" w:rsidRDefault="002C38C9">
            <w:pPr>
              <w:spacing w:line="360" w:lineRule="auto"/>
              <w:rPr>
                <w:b/>
                <w:sz w:val="20"/>
                <w:szCs w:val="20"/>
              </w:rPr>
            </w:pPr>
            <w:r>
              <w:rPr>
                <w:b/>
                <w:sz w:val="20"/>
                <w:szCs w:val="20"/>
              </w:rPr>
              <w:t xml:space="preserve">Outcomes </w:t>
            </w:r>
          </w:p>
        </w:tc>
      </w:tr>
      <w:tr w:rsidR="00744659" w14:paraId="6EDF2588" w14:textId="77777777">
        <w:trPr>
          <w:trHeight w:val="360"/>
        </w:trPr>
        <w:tc>
          <w:tcPr>
            <w:tcW w:w="1559" w:type="dxa"/>
            <w:tcMar>
              <w:top w:w="100" w:type="dxa"/>
              <w:left w:w="100" w:type="dxa"/>
              <w:bottom w:w="100" w:type="dxa"/>
              <w:right w:w="100" w:type="dxa"/>
            </w:tcMar>
          </w:tcPr>
          <w:p w14:paraId="6EDF2581" w14:textId="77777777" w:rsidR="00744659" w:rsidRDefault="002C38C9">
            <w:pPr>
              <w:spacing w:line="360" w:lineRule="auto"/>
              <w:rPr>
                <w:i/>
                <w:sz w:val="20"/>
                <w:szCs w:val="20"/>
              </w:rPr>
            </w:pPr>
            <w:r>
              <w:rPr>
                <w:i/>
                <w:sz w:val="20"/>
                <w:szCs w:val="20"/>
              </w:rPr>
              <w:t>Holst (2014)</w:t>
            </w:r>
          </w:p>
          <w:p w14:paraId="6EDF2582"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583" w14:textId="77777777" w:rsidR="00744659" w:rsidRDefault="002C38C9">
            <w:pPr>
              <w:spacing w:line="360" w:lineRule="auto"/>
              <w:rPr>
                <w:sz w:val="20"/>
                <w:szCs w:val="20"/>
              </w:rPr>
            </w:pPr>
            <w:r>
              <w:rPr>
                <w:sz w:val="20"/>
                <w:szCs w:val="20"/>
              </w:rPr>
              <w:t>998 adult patients with sepsis</w:t>
            </w:r>
          </w:p>
        </w:tc>
        <w:tc>
          <w:tcPr>
            <w:tcW w:w="2126" w:type="dxa"/>
            <w:tcMar>
              <w:top w:w="100" w:type="dxa"/>
              <w:left w:w="100" w:type="dxa"/>
              <w:bottom w:w="100" w:type="dxa"/>
              <w:right w:w="100" w:type="dxa"/>
            </w:tcMar>
          </w:tcPr>
          <w:p w14:paraId="6EDF2584" w14:textId="77777777" w:rsidR="00744659" w:rsidRDefault="002C38C9">
            <w:pPr>
              <w:spacing w:line="360" w:lineRule="auto"/>
              <w:rPr>
                <w:sz w:val="20"/>
                <w:szCs w:val="20"/>
              </w:rPr>
            </w:pPr>
            <w:r>
              <w:rPr>
                <w:sz w:val="20"/>
                <w:szCs w:val="20"/>
              </w:rPr>
              <w:t>- 5.6 mmol/L</w:t>
            </w:r>
          </w:p>
        </w:tc>
        <w:tc>
          <w:tcPr>
            <w:tcW w:w="2127" w:type="dxa"/>
            <w:tcMar>
              <w:top w:w="100" w:type="dxa"/>
              <w:left w:w="100" w:type="dxa"/>
              <w:bottom w:w="100" w:type="dxa"/>
              <w:right w:w="100" w:type="dxa"/>
            </w:tcMar>
          </w:tcPr>
          <w:p w14:paraId="6EDF2585" w14:textId="77777777" w:rsidR="00744659" w:rsidRDefault="002C38C9">
            <w:pPr>
              <w:spacing w:line="360" w:lineRule="auto"/>
              <w:rPr>
                <w:sz w:val="20"/>
                <w:szCs w:val="20"/>
              </w:rPr>
            </w:pPr>
            <w:r>
              <w:rPr>
                <w:sz w:val="20"/>
                <w:szCs w:val="20"/>
              </w:rPr>
              <w:t>- 4.3 mmol/L</w:t>
            </w:r>
          </w:p>
        </w:tc>
        <w:tc>
          <w:tcPr>
            <w:tcW w:w="3118" w:type="dxa"/>
            <w:tcMar>
              <w:top w:w="100" w:type="dxa"/>
              <w:left w:w="100" w:type="dxa"/>
              <w:bottom w:w="100" w:type="dxa"/>
              <w:right w:w="100" w:type="dxa"/>
            </w:tcMar>
          </w:tcPr>
          <w:p w14:paraId="6EDF2586" w14:textId="77777777" w:rsidR="00744659" w:rsidRDefault="002C38C9">
            <w:pPr>
              <w:spacing w:line="360" w:lineRule="auto"/>
              <w:rPr>
                <w:sz w:val="20"/>
                <w:szCs w:val="20"/>
              </w:rPr>
            </w:pPr>
            <w:r>
              <w:rPr>
                <w:sz w:val="20"/>
                <w:szCs w:val="20"/>
              </w:rPr>
              <w:t>- Mortality</w:t>
            </w:r>
          </w:p>
          <w:p w14:paraId="6EDF2587" w14:textId="77777777" w:rsidR="00744659" w:rsidRDefault="002C38C9">
            <w:pPr>
              <w:spacing w:line="360" w:lineRule="auto"/>
              <w:rPr>
                <w:sz w:val="20"/>
                <w:szCs w:val="20"/>
              </w:rPr>
            </w:pPr>
            <w:r>
              <w:rPr>
                <w:sz w:val="20"/>
                <w:szCs w:val="20"/>
              </w:rPr>
              <w:t>- Morbidity</w:t>
            </w:r>
          </w:p>
        </w:tc>
      </w:tr>
    </w:tbl>
    <w:p w14:paraId="6EDF2589" w14:textId="77777777" w:rsidR="00744659" w:rsidRDefault="00744659">
      <w:pPr>
        <w:spacing w:line="360" w:lineRule="auto"/>
        <w:rPr>
          <w:rFonts w:ascii="Calibri" w:eastAsia="Calibri" w:hAnsi="Calibri" w:cs="Calibri"/>
          <w:i/>
          <w:sz w:val="20"/>
          <w:szCs w:val="20"/>
        </w:rPr>
      </w:pPr>
    </w:p>
    <w:p w14:paraId="6EDF258A" w14:textId="77777777" w:rsidR="00744659" w:rsidRDefault="002C38C9">
      <w:pPr>
        <w:spacing w:line="360" w:lineRule="auto"/>
        <w:rPr>
          <w:rFonts w:ascii="Calibri" w:eastAsia="Calibri" w:hAnsi="Calibri" w:cs="Calibri"/>
          <w:sz w:val="20"/>
          <w:szCs w:val="20"/>
          <w:u w:val="single"/>
        </w:rPr>
      </w:pPr>
      <w:r>
        <w:rPr>
          <w:rFonts w:ascii="Calibri" w:eastAsia="Calibri" w:hAnsi="Calibri" w:cs="Calibri"/>
          <w:sz w:val="20"/>
          <w:szCs w:val="20"/>
          <w:u w:val="single"/>
        </w:rPr>
        <w:t>C2.4: Excluded studies</w:t>
      </w:r>
    </w:p>
    <w:tbl>
      <w:tblPr>
        <w:tblStyle w:val="af7"/>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10064"/>
      </w:tblGrid>
      <w:tr w:rsidR="00744659" w14:paraId="6EDF258C" w14:textId="77777777">
        <w:trPr>
          <w:trHeight w:val="71"/>
        </w:trPr>
        <w:tc>
          <w:tcPr>
            <w:tcW w:w="11623" w:type="dxa"/>
            <w:gridSpan w:val="2"/>
            <w:shd w:val="clear" w:color="auto" w:fill="000000"/>
            <w:tcMar>
              <w:top w:w="100" w:type="dxa"/>
              <w:left w:w="100" w:type="dxa"/>
              <w:bottom w:w="100" w:type="dxa"/>
              <w:right w:w="100" w:type="dxa"/>
            </w:tcMar>
          </w:tcPr>
          <w:p w14:paraId="6EDF258B" w14:textId="77777777" w:rsidR="00744659" w:rsidRDefault="002C38C9">
            <w:pPr>
              <w:spacing w:line="360" w:lineRule="auto"/>
              <w:rPr>
                <w:b/>
                <w:color w:val="FFFFFF"/>
                <w:sz w:val="20"/>
                <w:szCs w:val="20"/>
              </w:rPr>
            </w:pPr>
            <w:r>
              <w:rPr>
                <w:b/>
                <w:color w:val="FFFFFF"/>
                <w:sz w:val="20"/>
                <w:szCs w:val="20"/>
              </w:rPr>
              <w:t>Excluded studies</w:t>
            </w:r>
          </w:p>
        </w:tc>
      </w:tr>
      <w:tr w:rsidR="00744659" w14:paraId="6EDF258F" w14:textId="77777777">
        <w:trPr>
          <w:trHeight w:val="179"/>
        </w:trPr>
        <w:tc>
          <w:tcPr>
            <w:tcW w:w="1559" w:type="dxa"/>
            <w:shd w:val="clear" w:color="auto" w:fill="D9D9D9"/>
            <w:tcMar>
              <w:top w:w="100" w:type="dxa"/>
              <w:left w:w="100" w:type="dxa"/>
              <w:bottom w:w="100" w:type="dxa"/>
              <w:right w:w="100" w:type="dxa"/>
            </w:tcMar>
          </w:tcPr>
          <w:p w14:paraId="6EDF258D" w14:textId="77777777" w:rsidR="00744659" w:rsidRDefault="002C38C9">
            <w:pPr>
              <w:spacing w:line="360" w:lineRule="auto"/>
              <w:rPr>
                <w:b/>
                <w:sz w:val="20"/>
                <w:szCs w:val="20"/>
              </w:rPr>
            </w:pPr>
            <w:r>
              <w:rPr>
                <w:b/>
                <w:sz w:val="20"/>
                <w:szCs w:val="20"/>
              </w:rPr>
              <w:t>Study</w:t>
            </w:r>
          </w:p>
        </w:tc>
        <w:tc>
          <w:tcPr>
            <w:tcW w:w="10064" w:type="dxa"/>
            <w:shd w:val="clear" w:color="auto" w:fill="D9D9D9"/>
            <w:tcMar>
              <w:top w:w="100" w:type="dxa"/>
              <w:left w:w="100" w:type="dxa"/>
              <w:bottom w:w="100" w:type="dxa"/>
              <w:right w:w="100" w:type="dxa"/>
            </w:tcMar>
          </w:tcPr>
          <w:p w14:paraId="6EDF258E" w14:textId="77777777" w:rsidR="00744659" w:rsidRDefault="002C38C9">
            <w:pPr>
              <w:spacing w:line="360" w:lineRule="auto"/>
              <w:rPr>
                <w:b/>
                <w:sz w:val="20"/>
                <w:szCs w:val="20"/>
              </w:rPr>
            </w:pPr>
            <w:r>
              <w:rPr>
                <w:b/>
                <w:sz w:val="20"/>
                <w:szCs w:val="20"/>
              </w:rPr>
              <w:t xml:space="preserve">Reasons for exclusion </w:t>
            </w:r>
          </w:p>
        </w:tc>
      </w:tr>
      <w:tr w:rsidR="00744659" w:rsidRPr="00C53C14" w14:paraId="6EDF2592" w14:textId="77777777">
        <w:trPr>
          <w:trHeight w:val="458"/>
        </w:trPr>
        <w:tc>
          <w:tcPr>
            <w:tcW w:w="1559" w:type="dxa"/>
            <w:tcMar>
              <w:top w:w="100" w:type="dxa"/>
              <w:left w:w="100" w:type="dxa"/>
              <w:bottom w:w="100" w:type="dxa"/>
              <w:right w:w="100" w:type="dxa"/>
            </w:tcMar>
          </w:tcPr>
          <w:p w14:paraId="6EDF2590" w14:textId="77777777" w:rsidR="00744659" w:rsidRDefault="002C38C9">
            <w:pPr>
              <w:spacing w:line="360" w:lineRule="auto"/>
              <w:rPr>
                <w:i/>
                <w:sz w:val="20"/>
                <w:szCs w:val="20"/>
              </w:rPr>
            </w:pPr>
            <w:r>
              <w:rPr>
                <w:i/>
                <w:sz w:val="20"/>
                <w:szCs w:val="20"/>
              </w:rPr>
              <w:lastRenderedPageBreak/>
              <w:t>Lacroix (2007)</w:t>
            </w:r>
          </w:p>
        </w:tc>
        <w:tc>
          <w:tcPr>
            <w:tcW w:w="10064" w:type="dxa"/>
            <w:tcMar>
              <w:top w:w="100" w:type="dxa"/>
              <w:left w:w="100" w:type="dxa"/>
              <w:bottom w:w="100" w:type="dxa"/>
              <w:right w:w="100" w:type="dxa"/>
            </w:tcMar>
          </w:tcPr>
          <w:p w14:paraId="6EDF2591" w14:textId="77777777" w:rsidR="00744659" w:rsidRPr="00C53C14" w:rsidRDefault="002C38C9">
            <w:pPr>
              <w:spacing w:line="360" w:lineRule="auto"/>
              <w:rPr>
                <w:sz w:val="20"/>
                <w:szCs w:val="20"/>
                <w:lang w:val="en-US"/>
              </w:rPr>
            </w:pPr>
            <w:r w:rsidRPr="00C53C14">
              <w:rPr>
                <w:sz w:val="20"/>
                <w:szCs w:val="20"/>
                <w:lang w:val="en-US"/>
              </w:rPr>
              <w:t>This study included children in general. For this section the subanalysis of Lacroix (2012) was included.</w:t>
            </w:r>
          </w:p>
        </w:tc>
      </w:tr>
    </w:tbl>
    <w:p w14:paraId="6EDF2593" w14:textId="77777777" w:rsidR="00744659" w:rsidRPr="00C53C14" w:rsidRDefault="00744659">
      <w:pPr>
        <w:spacing w:line="360" w:lineRule="auto"/>
        <w:rPr>
          <w:rFonts w:ascii="Calibri" w:eastAsia="Calibri" w:hAnsi="Calibri" w:cs="Calibri"/>
          <w:i/>
          <w:sz w:val="20"/>
          <w:szCs w:val="20"/>
          <w:lang w:val="en-US"/>
        </w:rPr>
      </w:pPr>
    </w:p>
    <w:p w14:paraId="6EDF2594"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595"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B1.1: Hb of 4.3 mmol/L versus Hb greater than 4.3</w:t>
      </w:r>
    </w:p>
    <w:tbl>
      <w:tblPr>
        <w:tblStyle w:val="af8"/>
        <w:tblW w:w="934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10"/>
        <w:gridCol w:w="2760"/>
        <w:gridCol w:w="2475"/>
      </w:tblGrid>
      <w:tr w:rsidR="00744659" w14:paraId="6EDF2599"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tcBorders>
              <w:top w:val="single" w:sz="8" w:space="0" w:color="FFFFFF"/>
            </w:tcBorders>
          </w:tcPr>
          <w:p w14:paraId="6EDF2596" w14:textId="77777777" w:rsidR="00744659" w:rsidRDefault="002C38C9">
            <w:pPr>
              <w:spacing w:line="360" w:lineRule="auto"/>
              <w:rPr>
                <w:sz w:val="20"/>
                <w:szCs w:val="20"/>
              </w:rPr>
            </w:pPr>
            <w:r>
              <w:rPr>
                <w:sz w:val="20"/>
                <w:szCs w:val="20"/>
              </w:rPr>
              <w:t>Conclusion of evidence</w:t>
            </w:r>
          </w:p>
        </w:tc>
        <w:tc>
          <w:tcPr>
            <w:tcW w:w="2760" w:type="dxa"/>
            <w:tcBorders>
              <w:top w:val="single" w:sz="8" w:space="0" w:color="FFFFFF"/>
            </w:tcBorders>
          </w:tcPr>
          <w:p w14:paraId="6EDF2597"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75" w:type="dxa"/>
            <w:tcBorders>
              <w:top w:val="single" w:sz="8" w:space="0" w:color="FFFFFF"/>
            </w:tcBorders>
          </w:tcPr>
          <w:p w14:paraId="6EDF2598"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59B"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59A"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59F" w14:textId="77777777" w:rsidTr="00744659">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59C" w14:textId="77777777" w:rsidR="00744659" w:rsidRDefault="002C38C9">
            <w:pPr>
              <w:spacing w:line="360" w:lineRule="auto"/>
              <w:rPr>
                <w:sz w:val="20"/>
                <w:szCs w:val="20"/>
              </w:rPr>
            </w:pPr>
            <w:r>
              <w:rPr>
                <w:b w:val="0"/>
                <w:sz w:val="20"/>
                <w:szCs w:val="20"/>
              </w:rPr>
              <w:t>No studies</w:t>
            </w:r>
          </w:p>
        </w:tc>
        <w:tc>
          <w:tcPr>
            <w:tcW w:w="2760" w:type="dxa"/>
            <w:shd w:val="clear" w:color="auto" w:fill="auto"/>
          </w:tcPr>
          <w:p w14:paraId="6EDF259D"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75" w:type="dxa"/>
            <w:shd w:val="clear" w:color="auto" w:fill="auto"/>
          </w:tcPr>
          <w:p w14:paraId="6EDF259E"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5A1"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5A0"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5A3"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2F2F2"/>
          </w:tcPr>
          <w:p w14:paraId="6EDF25A2" w14:textId="77777777" w:rsidR="00744659" w:rsidRDefault="002C38C9">
            <w:pPr>
              <w:spacing w:line="360" w:lineRule="auto"/>
              <w:rPr>
                <w:sz w:val="20"/>
                <w:szCs w:val="20"/>
              </w:rPr>
            </w:pPr>
            <w:r>
              <w:rPr>
                <w:b w:val="0"/>
                <w:sz w:val="20"/>
                <w:szCs w:val="20"/>
                <w:u w:val="single"/>
              </w:rPr>
              <w:t>Mortality</w:t>
            </w:r>
          </w:p>
        </w:tc>
      </w:tr>
      <w:tr w:rsidR="00744659" w14:paraId="6EDF25A7"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5A4" w14:textId="77777777" w:rsidR="00744659" w:rsidRPr="00C53C14" w:rsidRDefault="002C38C9">
            <w:pPr>
              <w:spacing w:line="360" w:lineRule="auto"/>
              <w:rPr>
                <w:sz w:val="20"/>
                <w:szCs w:val="20"/>
                <w:lang w:val="en-US"/>
              </w:rPr>
            </w:pPr>
            <w:r w:rsidRPr="00C53C14">
              <w:rPr>
                <w:b w:val="0"/>
                <w:sz w:val="20"/>
                <w:szCs w:val="20"/>
                <w:lang w:val="en-US"/>
              </w:rPr>
              <w:t>No significant differences in the group with an Hb of 4.3 mmol/L vs. greater than 4.3 mmol/L.</w:t>
            </w:r>
          </w:p>
        </w:tc>
        <w:tc>
          <w:tcPr>
            <w:tcW w:w="2760" w:type="dxa"/>
            <w:shd w:val="clear" w:color="auto" w:fill="auto"/>
          </w:tcPr>
          <w:p w14:paraId="6EDF25A5"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3.45 (95% CI 0.74 - 16.02)</w:t>
            </w:r>
          </w:p>
        </w:tc>
        <w:tc>
          <w:tcPr>
            <w:tcW w:w="2475" w:type="dxa"/>
            <w:shd w:val="clear" w:color="auto" w:fill="auto"/>
          </w:tcPr>
          <w:p w14:paraId="6EDF25A6"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Lacroix 2012</w:t>
            </w:r>
          </w:p>
        </w:tc>
      </w:tr>
      <w:tr w:rsidR="00744659" w14:paraId="6EDF25A9"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2F2F2"/>
          </w:tcPr>
          <w:p w14:paraId="6EDF25A8" w14:textId="77777777" w:rsidR="00744659" w:rsidRDefault="002C38C9">
            <w:pPr>
              <w:spacing w:line="360" w:lineRule="auto"/>
              <w:rPr>
                <w:sz w:val="20"/>
                <w:szCs w:val="20"/>
                <w:u w:val="single"/>
              </w:rPr>
            </w:pPr>
            <w:r>
              <w:rPr>
                <w:b w:val="0"/>
                <w:sz w:val="20"/>
                <w:szCs w:val="20"/>
                <w:u w:val="single"/>
              </w:rPr>
              <w:t>Morbidity</w:t>
            </w:r>
          </w:p>
        </w:tc>
      </w:tr>
      <w:tr w:rsidR="00744659" w14:paraId="6EDF25AD"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5AA" w14:textId="77777777" w:rsidR="00744659" w:rsidRPr="00C53C14" w:rsidRDefault="002C38C9">
            <w:pPr>
              <w:spacing w:line="360" w:lineRule="auto"/>
              <w:rPr>
                <w:sz w:val="20"/>
                <w:szCs w:val="20"/>
                <w:u w:val="single"/>
                <w:lang w:val="en-US"/>
              </w:rPr>
            </w:pPr>
            <w:r w:rsidRPr="00C53C14">
              <w:rPr>
                <w:b w:val="0"/>
                <w:sz w:val="20"/>
                <w:szCs w:val="20"/>
                <w:lang w:val="en-US"/>
              </w:rPr>
              <w:t>No significant differences in the group with an Hb of 4.3 mmol/L vs. greater than 4.3 mmol/L.</w:t>
            </w:r>
          </w:p>
        </w:tc>
        <w:tc>
          <w:tcPr>
            <w:tcW w:w="2760" w:type="dxa"/>
            <w:shd w:val="clear" w:color="auto" w:fill="auto"/>
          </w:tcPr>
          <w:p w14:paraId="6EDF25AB"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0.99 (95% CI 0.49-1.97)</w:t>
            </w:r>
          </w:p>
        </w:tc>
        <w:tc>
          <w:tcPr>
            <w:tcW w:w="2475" w:type="dxa"/>
            <w:shd w:val="clear" w:color="auto" w:fill="auto"/>
          </w:tcPr>
          <w:p w14:paraId="6EDF25AC"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Lacroix 2012</w:t>
            </w:r>
          </w:p>
        </w:tc>
      </w:tr>
      <w:tr w:rsidR="00744659" w14:paraId="6EDF25AF"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2F2F2"/>
          </w:tcPr>
          <w:p w14:paraId="6EDF25AE" w14:textId="77777777" w:rsidR="00744659" w:rsidRDefault="002C38C9">
            <w:pPr>
              <w:spacing w:line="360" w:lineRule="auto"/>
              <w:rPr>
                <w:sz w:val="20"/>
                <w:szCs w:val="20"/>
                <w:u w:val="single"/>
              </w:rPr>
            </w:pPr>
            <w:r>
              <w:rPr>
                <w:b w:val="0"/>
                <w:sz w:val="20"/>
                <w:szCs w:val="20"/>
                <w:u w:val="single"/>
              </w:rPr>
              <w:t>Hospital admission</w:t>
            </w:r>
          </w:p>
        </w:tc>
      </w:tr>
      <w:tr w:rsidR="00744659" w14:paraId="6EDF25B3"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5B0" w14:textId="77777777" w:rsidR="00744659" w:rsidRPr="00C53C14" w:rsidRDefault="002C38C9">
            <w:pPr>
              <w:spacing w:line="360" w:lineRule="auto"/>
              <w:rPr>
                <w:sz w:val="20"/>
                <w:szCs w:val="20"/>
                <w:u w:val="single"/>
                <w:lang w:val="en-US"/>
              </w:rPr>
            </w:pPr>
            <w:r w:rsidRPr="00C53C14">
              <w:rPr>
                <w:b w:val="0"/>
                <w:sz w:val="20"/>
                <w:szCs w:val="20"/>
                <w:lang w:val="en-US"/>
              </w:rPr>
              <w:t>No significant differences in the group with an Hb of 4.3 mmol/L vs. greater than 4.3 mmol/L.</w:t>
            </w:r>
          </w:p>
        </w:tc>
        <w:tc>
          <w:tcPr>
            <w:tcW w:w="2760" w:type="dxa"/>
            <w:shd w:val="clear" w:color="auto" w:fill="auto"/>
          </w:tcPr>
          <w:p w14:paraId="6EDF25B1"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475" w:type="dxa"/>
            <w:shd w:val="clear" w:color="auto" w:fill="auto"/>
          </w:tcPr>
          <w:p w14:paraId="6EDF25B2"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Lacroix 2012</w:t>
            </w:r>
          </w:p>
        </w:tc>
      </w:tr>
      <w:tr w:rsidR="00744659" w:rsidRPr="00C53C14" w14:paraId="6EDF25B5"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5B4" w14:textId="77777777" w:rsidR="00744659" w:rsidRPr="00C53C14" w:rsidRDefault="002C38C9">
            <w:pPr>
              <w:spacing w:line="360" w:lineRule="auto"/>
              <w:rPr>
                <w:sz w:val="20"/>
                <w:szCs w:val="20"/>
                <w:lang w:val="en-US"/>
              </w:rPr>
            </w:pPr>
            <w:r w:rsidRPr="00C53C14">
              <w:rPr>
                <w:b w:val="0"/>
                <w:sz w:val="20"/>
                <w:szCs w:val="20"/>
                <w:lang w:val="en-US"/>
              </w:rPr>
              <w:t>Adults with sepsis – Evidence cited in existing guidelines</w:t>
            </w:r>
          </w:p>
        </w:tc>
      </w:tr>
      <w:tr w:rsidR="00744659" w14:paraId="6EDF25B7"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2F2F2"/>
          </w:tcPr>
          <w:p w14:paraId="6EDF25B6" w14:textId="77777777" w:rsidR="00744659" w:rsidRDefault="002C38C9">
            <w:pPr>
              <w:spacing w:line="360" w:lineRule="auto"/>
              <w:rPr>
                <w:sz w:val="20"/>
                <w:szCs w:val="20"/>
              </w:rPr>
            </w:pPr>
            <w:r>
              <w:rPr>
                <w:b w:val="0"/>
                <w:sz w:val="20"/>
                <w:szCs w:val="20"/>
                <w:u w:val="single"/>
              </w:rPr>
              <w:t>Mortality</w:t>
            </w:r>
          </w:p>
        </w:tc>
      </w:tr>
      <w:tr w:rsidR="00744659" w14:paraId="6EDF25BD" w14:textId="77777777" w:rsidTr="00744659">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5B8" w14:textId="77777777" w:rsidR="00744659" w:rsidRPr="00C53C14" w:rsidRDefault="002C38C9">
            <w:pPr>
              <w:spacing w:line="360" w:lineRule="auto"/>
              <w:rPr>
                <w:sz w:val="20"/>
                <w:szCs w:val="20"/>
                <w:lang w:val="en-US"/>
              </w:rPr>
            </w:pPr>
            <w:r w:rsidRPr="00C53C14">
              <w:rPr>
                <w:b w:val="0"/>
                <w:sz w:val="20"/>
                <w:szCs w:val="20"/>
                <w:lang w:val="en-US"/>
              </w:rPr>
              <w:t>No significant differences in the group with an Hb of 4.3 mmol/L vs. greater than 4.3 mmol/L.</w:t>
            </w:r>
          </w:p>
        </w:tc>
        <w:tc>
          <w:tcPr>
            <w:tcW w:w="2760" w:type="dxa"/>
            <w:shd w:val="clear" w:color="auto" w:fill="auto"/>
          </w:tcPr>
          <w:p w14:paraId="6EDF25B9"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b/>
                <w:sz w:val="20"/>
                <w:szCs w:val="20"/>
              </w:rPr>
            </w:pPr>
            <w:r>
              <w:rPr>
                <w:sz w:val="20"/>
                <w:szCs w:val="20"/>
              </w:rPr>
              <w:t>RR 0.96 (95% CI 0.83 - 1.10)</w:t>
            </w:r>
          </w:p>
          <w:p w14:paraId="6EDF25BA" w14:textId="77777777" w:rsidR="00744659" w:rsidRDefault="0074465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475" w:type="dxa"/>
            <w:shd w:val="clear" w:color="auto" w:fill="auto"/>
          </w:tcPr>
          <w:p w14:paraId="6EDF25BB"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i/>
                <w:sz w:val="20"/>
                <w:szCs w:val="20"/>
              </w:rPr>
              <w:t xml:space="preserve">Very low* </w:t>
            </w:r>
            <w:r>
              <w:rPr>
                <w:sz w:val="20"/>
                <w:szCs w:val="20"/>
              </w:rPr>
              <w:t>/ Holst 2014</w:t>
            </w:r>
          </w:p>
          <w:p w14:paraId="6EDF25BC" w14:textId="77777777" w:rsidR="00744659" w:rsidRDefault="0074465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744659" w14:paraId="6EDF25B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2F2F2"/>
          </w:tcPr>
          <w:p w14:paraId="6EDF25BE" w14:textId="77777777" w:rsidR="00744659" w:rsidRDefault="002C38C9">
            <w:pPr>
              <w:spacing w:line="360" w:lineRule="auto"/>
              <w:rPr>
                <w:sz w:val="20"/>
                <w:szCs w:val="20"/>
                <w:u w:val="single"/>
              </w:rPr>
            </w:pPr>
            <w:r>
              <w:rPr>
                <w:b w:val="0"/>
                <w:sz w:val="20"/>
                <w:szCs w:val="20"/>
                <w:u w:val="single"/>
              </w:rPr>
              <w:t>Morbidity</w:t>
            </w:r>
          </w:p>
        </w:tc>
      </w:tr>
      <w:tr w:rsidR="00744659" w14:paraId="6EDF25C3" w14:textId="77777777" w:rsidTr="00744659">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5C0" w14:textId="77777777" w:rsidR="00744659" w:rsidRPr="00C53C14" w:rsidRDefault="002C38C9">
            <w:pPr>
              <w:spacing w:line="360" w:lineRule="auto"/>
              <w:rPr>
                <w:sz w:val="20"/>
                <w:szCs w:val="20"/>
                <w:lang w:val="en-US"/>
              </w:rPr>
            </w:pPr>
            <w:r w:rsidRPr="00C53C14">
              <w:rPr>
                <w:b w:val="0"/>
                <w:sz w:val="20"/>
                <w:szCs w:val="20"/>
                <w:lang w:val="en-US"/>
              </w:rPr>
              <w:t>No significant differences in the group with an Hb of 4.3 mmol/L vs. greater than 4.3 mmol/L.</w:t>
            </w:r>
          </w:p>
        </w:tc>
        <w:tc>
          <w:tcPr>
            <w:tcW w:w="2760" w:type="dxa"/>
            <w:shd w:val="clear" w:color="auto" w:fill="auto"/>
          </w:tcPr>
          <w:p w14:paraId="6EDF25C1"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b/>
                <w:sz w:val="20"/>
                <w:szCs w:val="20"/>
                <w:u w:val="single"/>
              </w:rPr>
            </w:pPr>
            <w:r>
              <w:rPr>
                <w:sz w:val="20"/>
                <w:szCs w:val="20"/>
              </w:rPr>
              <w:t>RR 0.33 (95% CI 0.01 - 8.18)</w:t>
            </w:r>
          </w:p>
        </w:tc>
        <w:tc>
          <w:tcPr>
            <w:tcW w:w="2475" w:type="dxa"/>
            <w:shd w:val="clear" w:color="auto" w:fill="auto"/>
          </w:tcPr>
          <w:p w14:paraId="6EDF25C2"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i/>
                <w:sz w:val="20"/>
                <w:szCs w:val="20"/>
              </w:rPr>
              <w:t xml:space="preserve">Very low* </w:t>
            </w:r>
            <w:r>
              <w:rPr>
                <w:sz w:val="20"/>
                <w:szCs w:val="20"/>
              </w:rPr>
              <w:t>/ Holst 2014</w:t>
            </w:r>
          </w:p>
        </w:tc>
      </w:tr>
    </w:tbl>
    <w:p w14:paraId="6EDF25C4"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5C5" w14:textId="77777777" w:rsidR="00744659" w:rsidRPr="00C53C14" w:rsidRDefault="00744659">
      <w:pPr>
        <w:spacing w:line="360" w:lineRule="auto"/>
        <w:rPr>
          <w:rFonts w:ascii="Calibri" w:eastAsia="Calibri" w:hAnsi="Calibri" w:cs="Calibri"/>
          <w:b/>
          <w:sz w:val="20"/>
          <w:szCs w:val="20"/>
          <w:lang w:val="en-US"/>
        </w:rPr>
      </w:pPr>
    </w:p>
    <w:p w14:paraId="6EDF25C6" w14:textId="77777777" w:rsidR="00744659" w:rsidRDefault="002C38C9">
      <w:pPr>
        <w:spacing w:line="360" w:lineRule="auto"/>
        <w:rPr>
          <w:rFonts w:ascii="Calibri" w:eastAsia="Calibri" w:hAnsi="Calibri" w:cs="Calibri"/>
          <w:b/>
          <w:sz w:val="20"/>
          <w:szCs w:val="20"/>
        </w:rPr>
      </w:pPr>
      <w:r>
        <w:rPr>
          <w:rFonts w:ascii="Calibri" w:eastAsia="Calibri" w:hAnsi="Calibri" w:cs="Calibri"/>
          <w:b/>
          <w:sz w:val="20"/>
          <w:szCs w:val="20"/>
        </w:rPr>
        <w:t>C. Conclusions</w:t>
      </w:r>
    </w:p>
    <w:tbl>
      <w:tblPr>
        <w:tblStyle w:val="af9"/>
        <w:tblW w:w="10665" w:type="dxa"/>
        <w:tblInd w:w="-5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8835"/>
      </w:tblGrid>
      <w:tr w:rsidR="00744659" w14:paraId="6EDF25CB" w14:textId="77777777">
        <w:tc>
          <w:tcPr>
            <w:tcW w:w="1830" w:type="dxa"/>
            <w:shd w:val="clear" w:color="auto" w:fill="EFEFEF"/>
            <w:tcMar>
              <w:top w:w="100" w:type="dxa"/>
              <w:left w:w="100" w:type="dxa"/>
              <w:bottom w:w="100" w:type="dxa"/>
              <w:right w:w="100" w:type="dxa"/>
            </w:tcMar>
            <w:vAlign w:val="center"/>
          </w:tcPr>
          <w:p w14:paraId="6EDF25C7" w14:textId="77777777" w:rsidR="00744659" w:rsidRPr="00C53C14" w:rsidRDefault="002C38C9">
            <w:pPr>
              <w:widowControl w:val="0"/>
              <w:spacing w:line="360" w:lineRule="auto"/>
              <w:jc w:val="center"/>
              <w:rPr>
                <w:b/>
                <w:sz w:val="20"/>
                <w:szCs w:val="20"/>
                <w:vertAlign w:val="superscript"/>
                <w:lang w:val="en-US"/>
              </w:rPr>
            </w:pPr>
            <w:r w:rsidRPr="00C53C14">
              <w:rPr>
                <w:b/>
                <w:sz w:val="20"/>
                <w:szCs w:val="20"/>
                <w:lang w:val="en-US"/>
              </w:rPr>
              <w:lastRenderedPageBreak/>
              <w:t>VERY LOW QUALITY OF EVIDENCE (GRADE)</w:t>
            </w:r>
          </w:p>
        </w:tc>
        <w:tc>
          <w:tcPr>
            <w:tcW w:w="8835" w:type="dxa"/>
            <w:shd w:val="clear" w:color="auto" w:fill="auto"/>
            <w:tcMar>
              <w:top w:w="100" w:type="dxa"/>
              <w:left w:w="100" w:type="dxa"/>
              <w:bottom w:w="100" w:type="dxa"/>
              <w:right w:w="100" w:type="dxa"/>
            </w:tcMar>
            <w:vAlign w:val="center"/>
          </w:tcPr>
          <w:p w14:paraId="6EDF25C8" w14:textId="77777777" w:rsidR="00744659" w:rsidRPr="00C53C14" w:rsidRDefault="002C38C9">
            <w:pPr>
              <w:spacing w:line="360" w:lineRule="auto"/>
              <w:rPr>
                <w:i/>
                <w:sz w:val="20"/>
                <w:szCs w:val="20"/>
                <w:lang w:val="en-US"/>
              </w:rPr>
            </w:pPr>
            <w:r w:rsidRPr="00C53C14">
              <w:rPr>
                <w:sz w:val="20"/>
                <w:szCs w:val="20"/>
                <w:lang w:val="en-US"/>
              </w:rPr>
              <w:br/>
              <w:t xml:space="preserve">There were no significant differences regarding mortality, morbidity, and admission to hospital with </w:t>
            </w:r>
            <w:r w:rsidRPr="00C53C14">
              <w:rPr>
                <w:i/>
                <w:sz w:val="20"/>
                <w:szCs w:val="20"/>
                <w:lang w:val="en-US"/>
              </w:rPr>
              <w:t>a hemoglobin (Hb) of 4.3 mmol/L versus a hemoglobin (Hb) greater than 4.3 mmol/L</w:t>
            </w:r>
            <w:r w:rsidRPr="00C53C14">
              <w:rPr>
                <w:sz w:val="20"/>
                <w:szCs w:val="20"/>
                <w:lang w:val="en-US"/>
              </w:rPr>
              <w:t xml:space="preserve"> in 2 studies.</w:t>
            </w:r>
          </w:p>
          <w:p w14:paraId="6EDF25C9" w14:textId="77777777" w:rsidR="00744659" w:rsidRPr="00C53C14" w:rsidRDefault="00744659">
            <w:pPr>
              <w:spacing w:line="360" w:lineRule="auto"/>
              <w:rPr>
                <w:sz w:val="20"/>
                <w:szCs w:val="20"/>
                <w:lang w:val="en-US"/>
              </w:rPr>
            </w:pPr>
          </w:p>
          <w:p w14:paraId="6EDF25CA" w14:textId="77777777" w:rsidR="00744659" w:rsidRDefault="002C38C9">
            <w:pPr>
              <w:spacing w:line="360" w:lineRule="auto"/>
              <w:rPr>
                <w:sz w:val="20"/>
                <w:szCs w:val="20"/>
              </w:rPr>
            </w:pPr>
            <w:r>
              <w:rPr>
                <w:sz w:val="20"/>
                <w:szCs w:val="20"/>
              </w:rPr>
              <w:t>Sources (</w:t>
            </w:r>
            <w:r>
              <w:rPr>
                <w:i/>
                <w:sz w:val="20"/>
                <w:szCs w:val="20"/>
              </w:rPr>
              <w:t>Lacroix, 2012; Holst, 2014</w:t>
            </w:r>
            <w:r>
              <w:rPr>
                <w:sz w:val="20"/>
                <w:szCs w:val="20"/>
              </w:rPr>
              <w:t xml:space="preserve">) </w:t>
            </w:r>
          </w:p>
        </w:tc>
      </w:tr>
    </w:tbl>
    <w:p w14:paraId="6EDF25CC" w14:textId="77777777" w:rsidR="00744659" w:rsidRDefault="00744659">
      <w:pPr>
        <w:spacing w:line="360" w:lineRule="auto"/>
        <w:rPr>
          <w:rFonts w:ascii="Calibri" w:eastAsia="Calibri" w:hAnsi="Calibri" w:cs="Calibri"/>
          <w:sz w:val="20"/>
          <w:szCs w:val="20"/>
        </w:rPr>
      </w:pPr>
    </w:p>
    <w:p w14:paraId="6EDF25CD"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2.2 PROPHYLACTIC RED BLOOD CELL TRANSFUSION IN NEONATES WITH CANCER DURING SEPSIS</w:t>
      </w:r>
      <w:r w:rsidRPr="00C53C14">
        <w:rPr>
          <w:rFonts w:ascii="Calibri" w:eastAsia="Calibri" w:hAnsi="Calibri" w:cs="Calibri"/>
          <w:b/>
          <w:sz w:val="20"/>
          <w:szCs w:val="20"/>
          <w:highlight w:val="yellow"/>
          <w:lang w:val="en-US"/>
        </w:rPr>
        <w:br/>
      </w:r>
      <w:r w:rsidRPr="00C53C14">
        <w:rPr>
          <w:rFonts w:ascii="Calibri" w:eastAsia="Calibri" w:hAnsi="Calibri" w:cs="Calibri"/>
          <w:b/>
          <w:sz w:val="20"/>
          <w:szCs w:val="20"/>
          <w:lang w:val="en-US"/>
        </w:rPr>
        <w:t>A: Discussion of the literature</w:t>
      </w:r>
    </w:p>
    <w:p w14:paraId="6EDF25CE"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A1: Discussion of the evidence</w:t>
      </w:r>
    </w:p>
    <w:p w14:paraId="6EDF25CF"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A1.1: Evidence in pediatric oncology</w:t>
      </w:r>
    </w:p>
    <w:p w14:paraId="6EDF25D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No pediatric oncology studies included neonates.</w:t>
      </w:r>
    </w:p>
    <w:p w14:paraId="6EDF25D1" w14:textId="77777777" w:rsidR="00744659" w:rsidRPr="00C53C14" w:rsidRDefault="00744659">
      <w:pPr>
        <w:spacing w:line="360" w:lineRule="auto"/>
        <w:rPr>
          <w:rFonts w:ascii="Calibri" w:eastAsia="Calibri" w:hAnsi="Calibri" w:cs="Calibri"/>
          <w:sz w:val="20"/>
          <w:szCs w:val="20"/>
          <w:lang w:val="en-US"/>
        </w:rPr>
      </w:pPr>
    </w:p>
    <w:p w14:paraId="6EDF25D2"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A1.2: Recommendations and evidence derived from guidelines</w:t>
      </w:r>
    </w:p>
    <w:p w14:paraId="6EDF25D3"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No guidelines included neonates.</w:t>
      </w:r>
      <w:r w:rsidRPr="00C53C14">
        <w:rPr>
          <w:rFonts w:ascii="Calibri" w:eastAsia="Calibri" w:hAnsi="Calibri" w:cs="Calibri"/>
          <w:i/>
          <w:sz w:val="20"/>
          <w:szCs w:val="20"/>
          <w:lang w:val="en-US"/>
        </w:rPr>
        <w:br/>
      </w:r>
    </w:p>
    <w:p w14:paraId="6EDF25D4"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5D5"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There were no primary pediatric oncology studies included from the systematic literature search and no additional studies from the additional literature review.</w:t>
      </w:r>
    </w:p>
    <w:p w14:paraId="6EDF25D6" w14:textId="77777777" w:rsidR="00744659" w:rsidRPr="00C53C14" w:rsidRDefault="00744659">
      <w:pPr>
        <w:spacing w:line="360" w:lineRule="auto"/>
        <w:rPr>
          <w:rFonts w:ascii="Calibri" w:eastAsia="Calibri" w:hAnsi="Calibri" w:cs="Calibri"/>
          <w:sz w:val="20"/>
          <w:szCs w:val="20"/>
          <w:lang w:val="en-US"/>
        </w:rPr>
      </w:pPr>
    </w:p>
    <w:p w14:paraId="6EDF25D7"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5D8"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results were presented. </w:t>
      </w:r>
    </w:p>
    <w:p w14:paraId="6EDF25D9" w14:textId="77777777" w:rsidR="00744659" w:rsidRPr="00C53C14" w:rsidRDefault="00744659">
      <w:pPr>
        <w:spacing w:line="360" w:lineRule="auto"/>
        <w:rPr>
          <w:rFonts w:ascii="Calibri" w:eastAsia="Calibri" w:hAnsi="Calibri" w:cs="Calibri"/>
          <w:b/>
          <w:sz w:val="20"/>
          <w:szCs w:val="20"/>
          <w:lang w:val="en-US"/>
        </w:rPr>
      </w:pPr>
    </w:p>
    <w:p w14:paraId="6EDF25DA"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C. Conclusions</w:t>
      </w:r>
    </w:p>
    <w:p w14:paraId="6EDF25DB"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conclusions were formulated. </w:t>
      </w:r>
    </w:p>
    <w:p w14:paraId="6EDF25DC" w14:textId="77777777" w:rsidR="00744659" w:rsidRPr="00C53C14" w:rsidRDefault="00744659">
      <w:pPr>
        <w:spacing w:line="360" w:lineRule="auto"/>
        <w:rPr>
          <w:rFonts w:ascii="Calibri" w:eastAsia="Calibri" w:hAnsi="Calibri" w:cs="Calibri"/>
          <w:sz w:val="20"/>
          <w:szCs w:val="20"/>
          <w:highlight w:val="yellow"/>
          <w:lang w:val="en-US"/>
        </w:rPr>
      </w:pPr>
    </w:p>
    <w:p w14:paraId="6EDF25DD"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3 PROPHYLACTIC RED BLOOD CELL TRANSFUSION - RADIOTHERAPY</w:t>
      </w:r>
    </w:p>
    <w:p w14:paraId="6EDF25DE"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3.1 PROPHYLACTIC RED BLOOD CELL TRANSFUSION IN CHILDREN WHO UNDERGO RADIOTHERAPY</w:t>
      </w:r>
      <w:r w:rsidRPr="00C53C14">
        <w:rPr>
          <w:rFonts w:ascii="Calibri" w:eastAsia="Calibri" w:hAnsi="Calibri" w:cs="Calibri"/>
          <w:b/>
          <w:sz w:val="20"/>
          <w:szCs w:val="20"/>
          <w:lang w:val="en-US"/>
        </w:rPr>
        <w:br/>
        <w:t>A. Discussion of the literature</w:t>
      </w:r>
    </w:p>
    <w:p w14:paraId="6EDF25DF"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A1: Discussion of the evidence</w:t>
      </w:r>
    </w:p>
    <w:p w14:paraId="6EDF25E0"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A1.1: Evidence in pediatric oncology</w:t>
      </w:r>
    </w:p>
    <w:p w14:paraId="6EDF25E1"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No pediatric oncology studies included children with cancer who undergo radiotherapy.</w:t>
      </w:r>
    </w:p>
    <w:p w14:paraId="6EDF25E2" w14:textId="77777777" w:rsidR="00744659" w:rsidRPr="00C53C14" w:rsidRDefault="00744659">
      <w:pPr>
        <w:spacing w:line="360" w:lineRule="auto"/>
        <w:rPr>
          <w:rFonts w:ascii="Calibri" w:eastAsia="Calibri" w:hAnsi="Calibri" w:cs="Calibri"/>
          <w:sz w:val="20"/>
          <w:szCs w:val="20"/>
          <w:lang w:val="en-US"/>
        </w:rPr>
      </w:pPr>
    </w:p>
    <w:p w14:paraId="6EDF25E3"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A1.2: Recommendations and evidence derived from guidelines</w:t>
      </w:r>
    </w:p>
    <w:p w14:paraId="6EDF25E4" w14:textId="4F8B3632"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One guideline was found from the National Blood Authority (2012) (</w:t>
      </w:r>
      <w:r w:rsidR="00EB5B6B">
        <w:rPr>
          <w:rFonts w:ascii="Calibri" w:eastAsia="Calibri" w:hAnsi="Calibri" w:cs="Calibri"/>
          <w:sz w:val="20"/>
          <w:szCs w:val="20"/>
          <w:lang w:val="en-US"/>
        </w:rPr>
        <w:t>29</w:t>
      </w:r>
      <w:r w:rsidRPr="00C53C14">
        <w:rPr>
          <w:rFonts w:ascii="Calibri" w:eastAsia="Calibri" w:hAnsi="Calibri" w:cs="Calibri"/>
          <w:sz w:val="20"/>
          <w:szCs w:val="20"/>
          <w:lang w:val="en-US"/>
        </w:rPr>
        <w:t>) in which it was stated that the same hemoglobin (Hb) threshold should be used in patients with cancer who undergo radiotherapy (not further specified). This was based on consensus.</w:t>
      </w:r>
    </w:p>
    <w:p w14:paraId="6EDF25E5" w14:textId="77777777" w:rsidR="00744659" w:rsidRPr="00C53C14" w:rsidRDefault="00744659">
      <w:pPr>
        <w:spacing w:line="360" w:lineRule="auto"/>
        <w:rPr>
          <w:rFonts w:ascii="Calibri" w:eastAsia="Calibri" w:hAnsi="Calibri" w:cs="Calibri"/>
          <w:i/>
          <w:sz w:val="20"/>
          <w:szCs w:val="20"/>
          <w:lang w:val="en-US"/>
        </w:rPr>
      </w:pPr>
    </w:p>
    <w:p w14:paraId="6EDF25E6"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lastRenderedPageBreak/>
        <w:t>A2: Description of the included studies</w:t>
      </w:r>
    </w:p>
    <w:p w14:paraId="6EDF25E7" w14:textId="79FD296E"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There were no primary pediatric oncology studies included from the systematic literature search and no additional studies from the additional literature review. However, studies have demonstrated that low pretreatment Hb levels serve as a robust prognostic indicator for poor disease control and survival (24, 25). Conversely, a study involving 414 adult patients with Head and Neck Squamous Cell Carcinoma (HNSCC) investigated the impact of RBC transfusions on patients with “low” pre-irradiation Hb values (females Hb of 8.07 mmol/L, males Hb of 9.0 mmol/L). The study showed that the transfusions prior to and during the radiotherapy treatment did not improve the poor prognosis in patients with low Hb values (26). In addition, other RCTs have also failed to show the effectiveness of transfusion strategies and the use of erythropoietin was found to be counterproductive (27). In contrast, a study explored the potential of ARCON, a treatment involving the administration of a gas mixture carbogen and taking nicotinamide pills, in reversing the poor outcomes associated with anemia in cancer patients. The study aimed to elucidate why transfusions do not influence outcomes and proposed that RBC transfusions stimulate inflammatory and immunosuppressive pathways. Erythropoietin was found to decrease tissue oxygenation due to increased viscosity resulting from elevated Hb levels, and the presence of erythropoietin receptors on tumor cell membranes was observed to stimulate tumor growth. Animal studies indicated that correcting anemia through blood transfusions initially increased tumor radiosensitivity by improving tumor cell oxygenation. However, this effect was transient and dissipated within 24 hours. It is thought that tumors that are chronically exposed to higher oxygen levels, such as those associated with normal Hb levels, eventually adapt and exhibit increased proliferation and will outgrow their oxygen supply. In the case of ARCON, the duration of increased oxygenation is short (10-15 minutes) and prevents adaptation from occurring (2</w:t>
      </w:r>
      <w:r w:rsidR="00EB5B6B">
        <w:rPr>
          <w:rFonts w:ascii="Calibri" w:eastAsia="Calibri" w:hAnsi="Calibri" w:cs="Calibri"/>
          <w:sz w:val="20"/>
          <w:szCs w:val="20"/>
          <w:lang w:val="en-US"/>
        </w:rPr>
        <w:t>8</w:t>
      </w:r>
      <w:r w:rsidRPr="00C53C14">
        <w:rPr>
          <w:rFonts w:ascii="Calibri" w:eastAsia="Calibri" w:hAnsi="Calibri" w:cs="Calibri"/>
          <w:sz w:val="20"/>
          <w:szCs w:val="20"/>
          <w:lang w:val="en-US"/>
        </w:rPr>
        <w:t>).</w:t>
      </w:r>
    </w:p>
    <w:p w14:paraId="6EDF25E8" w14:textId="77777777" w:rsidR="00744659" w:rsidRPr="00C53C14" w:rsidRDefault="00744659">
      <w:pPr>
        <w:spacing w:line="360" w:lineRule="auto"/>
        <w:rPr>
          <w:rFonts w:ascii="Calibri" w:eastAsia="Calibri" w:hAnsi="Calibri" w:cs="Calibri"/>
          <w:b/>
          <w:sz w:val="20"/>
          <w:szCs w:val="20"/>
          <w:lang w:val="en-US"/>
        </w:rPr>
      </w:pPr>
    </w:p>
    <w:p w14:paraId="6EDF25E9"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5EA"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results were presented. </w:t>
      </w:r>
    </w:p>
    <w:p w14:paraId="6EDF25EB" w14:textId="77777777" w:rsidR="00744659" w:rsidRPr="00C53C14" w:rsidRDefault="00744659">
      <w:pPr>
        <w:spacing w:line="360" w:lineRule="auto"/>
        <w:rPr>
          <w:rFonts w:ascii="Calibri" w:eastAsia="Calibri" w:hAnsi="Calibri" w:cs="Calibri"/>
          <w:b/>
          <w:sz w:val="20"/>
          <w:szCs w:val="20"/>
          <w:lang w:val="en-US"/>
        </w:rPr>
      </w:pPr>
    </w:p>
    <w:p w14:paraId="6EDF25EC"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C. Conclusions</w:t>
      </w:r>
    </w:p>
    <w:p w14:paraId="6EDF25E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conclusions were formulated. </w:t>
      </w:r>
    </w:p>
    <w:p w14:paraId="6EDF25EE" w14:textId="77777777" w:rsidR="00744659" w:rsidRPr="00C53C14" w:rsidRDefault="00744659">
      <w:pPr>
        <w:spacing w:line="360" w:lineRule="auto"/>
        <w:rPr>
          <w:rFonts w:ascii="Calibri" w:eastAsia="Calibri" w:hAnsi="Calibri" w:cs="Calibri"/>
          <w:b/>
          <w:sz w:val="20"/>
          <w:szCs w:val="20"/>
          <w:lang w:val="en-US"/>
        </w:rPr>
      </w:pPr>
    </w:p>
    <w:p w14:paraId="6EDF25EF"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3.2 PROPHYLACTIC RED BLOOD CELL TRANSFUSION IN NEONATES WHO UNDERGO RADIOTHERAPY</w:t>
      </w:r>
      <w:r w:rsidRPr="00C53C14">
        <w:rPr>
          <w:rFonts w:ascii="Calibri" w:eastAsia="Calibri" w:hAnsi="Calibri" w:cs="Calibri"/>
          <w:b/>
          <w:sz w:val="20"/>
          <w:szCs w:val="20"/>
          <w:lang w:val="en-US"/>
        </w:rPr>
        <w:br/>
        <w:t>A. Discussion of the literature</w:t>
      </w:r>
    </w:p>
    <w:p w14:paraId="6EDF25F0"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A1: Discussion of the evidence</w:t>
      </w:r>
    </w:p>
    <w:p w14:paraId="6EDF25F1"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A1.1: Evidence in pediatric oncology</w:t>
      </w:r>
    </w:p>
    <w:p w14:paraId="6EDF25F2"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No pediatric oncology studies included neonates.</w:t>
      </w:r>
    </w:p>
    <w:p w14:paraId="6EDF25F3" w14:textId="77777777" w:rsidR="00744659" w:rsidRPr="00C53C14" w:rsidRDefault="00744659">
      <w:pPr>
        <w:spacing w:line="360" w:lineRule="auto"/>
        <w:rPr>
          <w:rFonts w:ascii="Calibri" w:eastAsia="Calibri" w:hAnsi="Calibri" w:cs="Calibri"/>
          <w:sz w:val="20"/>
          <w:szCs w:val="20"/>
          <w:lang w:val="en-US"/>
        </w:rPr>
      </w:pPr>
    </w:p>
    <w:p w14:paraId="6EDF25F4"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A1.2: Recommendations and evidence derived from guidelines</w:t>
      </w:r>
    </w:p>
    <w:p w14:paraId="6EDF25F5"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One guideline was found from the National Blood Authority (2012) (43) and they state that the same hemoglobin (Hb) threshold should be used in patients with cancer who undergo radiotherapy (not further </w:t>
      </w:r>
      <w:r w:rsidRPr="00C53C14">
        <w:rPr>
          <w:rFonts w:ascii="Calibri" w:eastAsia="Calibri" w:hAnsi="Calibri" w:cs="Calibri"/>
          <w:sz w:val="20"/>
          <w:szCs w:val="20"/>
          <w:lang w:val="en-US"/>
        </w:rPr>
        <w:lastRenderedPageBreak/>
        <w:t>specified). This was based on consensus.</w:t>
      </w:r>
      <w:r w:rsidRPr="00C53C14">
        <w:rPr>
          <w:rFonts w:ascii="Calibri" w:eastAsia="Calibri" w:hAnsi="Calibri" w:cs="Calibri"/>
          <w:i/>
          <w:sz w:val="20"/>
          <w:szCs w:val="20"/>
          <w:lang w:val="en-US"/>
        </w:rPr>
        <w:br/>
      </w:r>
    </w:p>
    <w:p w14:paraId="6EDF25F6"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5F7"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There were no primary pediatric oncology studies included from the systematic literature search and no additional studies from the additional literature review. However, studies have demonstrated that low pretreatment Hb levels serve as a robust prognostic indicator for poor disease control and survival (24, 25). Conversely, a study involving 414 adult patients with Head and Neck Squamous Cell Carcinoma (HNSCC) investigated the impact of RBC transfusions on patients with “low” pre-irradiation Hb values (females Hb of 8.07 mmol/L, males Hb of 9.0 mmol/L). The study showed that the transfusions prior to and during the radiotherapy treatment did not improve the poor prognosis in patients with low Hb values (26). In addition, other RCTs have also failed to show the effectiveness of transfusion strategies and the use of erythropoietin was found to be counterproductive (27). In contrast, a study explored the potential of ARCON, a treatment involving the administration of a gas mixture carbogen and taking nicotinamide pills, in reversing the poor outcomes associated with anemia in cancer patients. The study aimed to elucidate why transfusions do not influence outcomes and proposed that RBC transfusions stimulate inflammatory and immunosuppressive pathways. Erythropoietin was found to decrease tissue oxygenation due to increased viscosity resulting from elevated Hb levels, and the presence of erythropoietin receptors on tumor cell membranes was observed to stimulate tumor growth. Animal studies indicated that correcting anemia through blood transfusions initially increased tumor radiosensitivity by improving tumor cell oxygenation. However, this effect was transient and dissipated within 24 hours. It is thought that tumors that are chronically exposed to higher oxygen levels, such as those associated with normal Hb levels, eventually adapt and exhibit increased proliferation and will outgrow their oxygen supply. In the case of ARCON, the duration of increased oxygenation is short (10-15 minutes) and prevents adaptation from occurring (27)</w:t>
      </w:r>
    </w:p>
    <w:p w14:paraId="6EDF25F8" w14:textId="77777777" w:rsidR="00744659" w:rsidRPr="00C53C14" w:rsidRDefault="00744659">
      <w:pPr>
        <w:spacing w:line="360" w:lineRule="auto"/>
        <w:rPr>
          <w:rFonts w:ascii="Calibri" w:eastAsia="Calibri" w:hAnsi="Calibri" w:cs="Calibri"/>
          <w:b/>
          <w:sz w:val="20"/>
          <w:szCs w:val="20"/>
          <w:lang w:val="en-US"/>
        </w:rPr>
      </w:pPr>
    </w:p>
    <w:p w14:paraId="6EDF25F9"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5FA"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results were presented. </w:t>
      </w:r>
      <w:r w:rsidRPr="00C53C14">
        <w:rPr>
          <w:rFonts w:ascii="Calibri" w:eastAsia="Calibri" w:hAnsi="Calibri" w:cs="Calibri"/>
          <w:sz w:val="20"/>
          <w:szCs w:val="20"/>
          <w:lang w:val="en-US"/>
        </w:rPr>
        <w:tab/>
      </w:r>
    </w:p>
    <w:p w14:paraId="6EDF25FB" w14:textId="77777777" w:rsidR="00744659" w:rsidRPr="00C53C14" w:rsidRDefault="00744659">
      <w:pPr>
        <w:tabs>
          <w:tab w:val="left" w:pos="1961"/>
        </w:tabs>
        <w:spacing w:line="360" w:lineRule="auto"/>
        <w:rPr>
          <w:rFonts w:ascii="Calibri" w:eastAsia="Calibri" w:hAnsi="Calibri" w:cs="Calibri"/>
          <w:sz w:val="20"/>
          <w:szCs w:val="20"/>
          <w:lang w:val="en-US"/>
        </w:rPr>
      </w:pPr>
    </w:p>
    <w:p w14:paraId="6EDF25FC"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C. Conclusions</w:t>
      </w:r>
    </w:p>
    <w:p w14:paraId="6EDF25F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conclusions were formulated. </w:t>
      </w:r>
    </w:p>
    <w:p w14:paraId="6EDF25FE" w14:textId="77777777" w:rsidR="00744659" w:rsidRPr="00C53C14" w:rsidRDefault="00744659">
      <w:pPr>
        <w:spacing w:line="360" w:lineRule="auto"/>
        <w:rPr>
          <w:rFonts w:ascii="Calibri" w:eastAsia="Calibri" w:hAnsi="Calibri" w:cs="Calibri"/>
          <w:b/>
          <w:sz w:val="20"/>
          <w:szCs w:val="20"/>
          <w:lang w:val="en-US"/>
        </w:rPr>
      </w:pPr>
    </w:p>
    <w:p w14:paraId="6EDF25FF"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4. PROPHYLACTIC RED BLOOD CELL TRANSFUSION - CARDIAC AND PULMONARY COMORBIDITIES</w:t>
      </w:r>
    </w:p>
    <w:p w14:paraId="6EDF2600"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4.1 PROPHYLACTIC RED BLOOD CELL TRANSFUSION IN CHILDREN WITH CANCER WITH CARDIAC AND/OR PULMONARY COMORBIDITIES</w:t>
      </w:r>
    </w:p>
    <w:p w14:paraId="6EDF2601"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A. Discussion of the literature</w:t>
      </w:r>
    </w:p>
    <w:p w14:paraId="6EDF2602"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A1: Discussion of the evidence</w:t>
      </w:r>
    </w:p>
    <w:p w14:paraId="6EDF2603"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A1.1: Evidence in pediatric oncology</w:t>
      </w:r>
    </w:p>
    <w:p w14:paraId="6EDF2604"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No pediatric oncology studies were included.</w:t>
      </w:r>
    </w:p>
    <w:p w14:paraId="6EDF2605" w14:textId="77777777" w:rsidR="00744659" w:rsidRPr="00C53C14" w:rsidRDefault="00744659">
      <w:pPr>
        <w:spacing w:line="360" w:lineRule="auto"/>
        <w:rPr>
          <w:rFonts w:ascii="Calibri" w:eastAsia="Calibri" w:hAnsi="Calibri" w:cs="Calibri"/>
          <w:sz w:val="20"/>
          <w:szCs w:val="20"/>
          <w:lang w:val="en-US"/>
        </w:rPr>
      </w:pPr>
    </w:p>
    <w:p w14:paraId="6EDF2606"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lastRenderedPageBreak/>
        <w:t>A1.2: Recommendations and evidence derived from guidelines</w:t>
      </w:r>
    </w:p>
    <w:p w14:paraId="6EDF2607"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Three out of seven guidelines included recommendations for children with cardiac and pulmonary comorbidities. These recommendations are distinguished in children with acute respiratory failure and children with acquired and congenital heart disease. </w:t>
      </w:r>
    </w:p>
    <w:p w14:paraId="6EDF2608" w14:textId="23AD1738"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Only Valentine (2018) (3</w:t>
      </w:r>
      <w:r w:rsidR="00524035">
        <w:rPr>
          <w:rFonts w:ascii="Calibri" w:eastAsia="Calibri" w:hAnsi="Calibri" w:cs="Calibri"/>
          <w:sz w:val="20"/>
          <w:szCs w:val="20"/>
          <w:lang w:val="en-US"/>
        </w:rPr>
        <w:t>3</w:t>
      </w:r>
      <w:r w:rsidRPr="00C53C14">
        <w:rPr>
          <w:rFonts w:ascii="Calibri" w:eastAsia="Calibri" w:hAnsi="Calibri" w:cs="Calibri"/>
          <w:sz w:val="20"/>
          <w:szCs w:val="20"/>
          <w:lang w:val="en-US"/>
        </w:rPr>
        <w:t xml:space="preserve">) included recommendations for children with respiratory failure, advising a hemoglobin (Hb) threshold of 3.1 mmol/L. They do not advise an Hb threshold higher than 4.3 mmol/L in critically ill children with respiratory failure without severe acute hypoxemia, chronic cyanotic conditions, or hemolytic anemia. There was not enough evidence to create a recommendation regarding RBC transfusion thresholds between 3.1 and 4.3 mmol/L. A recommendation could not be made for critically ill children with respiratory failure and severe hypoxemia. These recommendations were based on 7 studies in both children and adults (8, 10, 11, 15, 46, 47, 57). </w:t>
      </w:r>
    </w:p>
    <w:p w14:paraId="6EDF2609" w14:textId="77777777" w:rsidR="00744659" w:rsidRPr="00C53C14" w:rsidRDefault="00744659">
      <w:pPr>
        <w:spacing w:line="360" w:lineRule="auto"/>
        <w:rPr>
          <w:rFonts w:ascii="Calibri" w:eastAsia="Calibri" w:hAnsi="Calibri" w:cs="Calibri"/>
          <w:sz w:val="20"/>
          <w:szCs w:val="20"/>
          <w:lang w:val="en-US"/>
        </w:rPr>
      </w:pPr>
    </w:p>
    <w:p w14:paraId="6EDF260A" w14:textId="0730676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sz w:val="20"/>
          <w:szCs w:val="20"/>
          <w:lang w:val="en-US"/>
        </w:rPr>
        <w:t>Valentine (2018) (</w:t>
      </w:r>
      <w:r w:rsidR="00524035">
        <w:rPr>
          <w:rFonts w:ascii="Calibri" w:eastAsia="Calibri" w:hAnsi="Calibri" w:cs="Calibri"/>
          <w:sz w:val="20"/>
          <w:szCs w:val="20"/>
          <w:lang w:val="en-US"/>
        </w:rPr>
        <w:t>33</w:t>
      </w:r>
      <w:r w:rsidRPr="00C53C14">
        <w:rPr>
          <w:rFonts w:ascii="Calibri" w:eastAsia="Calibri" w:hAnsi="Calibri" w:cs="Calibri"/>
          <w:sz w:val="20"/>
          <w:szCs w:val="20"/>
          <w:lang w:val="en-US"/>
        </w:rPr>
        <w:t>) and the BCSH (2016) (42) included recommendations for children with acquired and congenital heart disease. Valentine (2018) (3</w:t>
      </w:r>
      <w:r w:rsidR="00524035">
        <w:rPr>
          <w:rFonts w:ascii="Calibri" w:eastAsia="Calibri" w:hAnsi="Calibri" w:cs="Calibri"/>
          <w:sz w:val="20"/>
          <w:szCs w:val="20"/>
          <w:lang w:val="en-US"/>
        </w:rPr>
        <w:t>3</w:t>
      </w:r>
      <w:r w:rsidRPr="00C53C14">
        <w:rPr>
          <w:rFonts w:ascii="Calibri" w:eastAsia="Calibri" w:hAnsi="Calibri" w:cs="Calibri"/>
          <w:sz w:val="20"/>
          <w:szCs w:val="20"/>
          <w:lang w:val="en-US"/>
        </w:rPr>
        <w:t>) advises in hemodynamically stable critically ill children with uncorrected congenital heart disease an Hb threshold between 4.3 mmol/L and 5.6 mmol/L depending on the cardiopulmonary reserve. There is not enough evidence to create recommendations for children with right or left ventricular myocardial dysfunction (acquired or congenital) or for children with a structurally normal heart and idiopathic or acquired pulmonary hypertension (mean pulmonary arterial pressure &gt;25 mmHg with normal pulmonary capillary wedge pressure) (15). The BCSH (2016) (42) advises an Hb threshold of 4.3 mmol/L in stable children with non-cyanotic heart disease. There is insufficient evidence to make a recommendation for pre-transfusion Hb thresholds in pediatric hematology/oncology patients and those undergoing stem cell transplantation and for children with cyanotic heart disease (12, 15, 16, 18, 20, 41, 58).</w:t>
      </w:r>
    </w:p>
    <w:p w14:paraId="6EDF260B" w14:textId="77777777" w:rsidR="00744659" w:rsidRPr="00C53C14" w:rsidRDefault="00744659">
      <w:pPr>
        <w:spacing w:line="360" w:lineRule="auto"/>
        <w:rPr>
          <w:rFonts w:ascii="Calibri" w:eastAsia="Calibri" w:hAnsi="Calibri" w:cs="Calibri"/>
          <w:i/>
          <w:sz w:val="20"/>
          <w:szCs w:val="20"/>
          <w:lang w:val="en-US"/>
        </w:rPr>
      </w:pPr>
    </w:p>
    <w:p w14:paraId="6EDF260C"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60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A2.1: Pediatric oncology</w:t>
      </w:r>
    </w:p>
    <w:p w14:paraId="6EDF260E"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There were no primary pediatric oncology studies included from the systematic literature search. </w:t>
      </w:r>
    </w:p>
    <w:p w14:paraId="6EDF260F" w14:textId="77777777" w:rsidR="00744659" w:rsidRPr="00C53C14" w:rsidRDefault="00744659">
      <w:pPr>
        <w:spacing w:line="360" w:lineRule="auto"/>
        <w:rPr>
          <w:rFonts w:ascii="Calibri" w:eastAsia="Calibri" w:hAnsi="Calibri" w:cs="Calibri"/>
          <w:sz w:val="20"/>
          <w:szCs w:val="20"/>
          <w:lang w:val="en-US"/>
        </w:rPr>
      </w:pPr>
    </w:p>
    <w:p w14:paraId="6EDF2610"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A2.2: Children in general</w:t>
      </w:r>
    </w:p>
    <w:p w14:paraId="6EDF2611"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Five pediatric studies were included from the additional literature review (18, 28, 30, 46, 57).</w:t>
      </w:r>
    </w:p>
    <w:p w14:paraId="6EDF2612" w14:textId="77777777" w:rsidR="00744659" w:rsidRPr="00C53C14" w:rsidRDefault="00744659">
      <w:pPr>
        <w:spacing w:line="360" w:lineRule="auto"/>
        <w:rPr>
          <w:rFonts w:ascii="Calibri" w:eastAsia="Calibri" w:hAnsi="Calibri" w:cs="Calibri"/>
          <w:sz w:val="20"/>
          <w:szCs w:val="20"/>
          <w:lang w:val="en-US"/>
        </w:rPr>
      </w:pPr>
    </w:p>
    <w:p w14:paraId="6EDF2613"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 characteristics of the included studies are stated in the evidence table below. The studies differ from each other in patient population and in methodology. </w:t>
      </w:r>
    </w:p>
    <w:p w14:paraId="6EDF2614" w14:textId="77777777" w:rsidR="00744659" w:rsidRPr="00C53C14" w:rsidRDefault="00744659">
      <w:pPr>
        <w:spacing w:line="360" w:lineRule="auto"/>
        <w:rPr>
          <w:rFonts w:ascii="Calibri" w:eastAsia="Calibri" w:hAnsi="Calibri" w:cs="Calibri"/>
          <w:b/>
          <w:sz w:val="20"/>
          <w:szCs w:val="20"/>
          <w:lang w:val="en-US"/>
        </w:rPr>
      </w:pPr>
    </w:p>
    <w:p w14:paraId="6EDF2615"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Table 1.</w:t>
      </w:r>
      <w:r w:rsidRPr="00C53C14">
        <w:rPr>
          <w:rFonts w:ascii="Calibri" w:eastAsia="Calibri" w:hAnsi="Calibri" w:cs="Calibri"/>
          <w:sz w:val="20"/>
          <w:szCs w:val="20"/>
          <w:lang w:val="en-US"/>
        </w:rPr>
        <w:t xml:space="preserve"> Characteristics of the included studies regarding children.</w:t>
      </w:r>
    </w:p>
    <w:tbl>
      <w:tblPr>
        <w:tblStyle w:val="afa"/>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693"/>
        <w:gridCol w:w="2126"/>
        <w:gridCol w:w="2127"/>
        <w:gridCol w:w="3118"/>
      </w:tblGrid>
      <w:tr w:rsidR="00744659" w14:paraId="6EDF2617" w14:textId="77777777">
        <w:trPr>
          <w:trHeight w:val="71"/>
        </w:trPr>
        <w:tc>
          <w:tcPr>
            <w:tcW w:w="11623" w:type="dxa"/>
            <w:gridSpan w:val="5"/>
            <w:shd w:val="clear" w:color="auto" w:fill="000000"/>
            <w:tcMar>
              <w:top w:w="100" w:type="dxa"/>
              <w:left w:w="100" w:type="dxa"/>
              <w:bottom w:w="100" w:type="dxa"/>
              <w:right w:w="100" w:type="dxa"/>
            </w:tcMar>
          </w:tcPr>
          <w:p w14:paraId="6EDF2616" w14:textId="77777777" w:rsidR="00744659" w:rsidRDefault="002C38C9">
            <w:pPr>
              <w:spacing w:line="360" w:lineRule="auto"/>
              <w:rPr>
                <w:b/>
                <w:color w:val="FFFFFF"/>
                <w:sz w:val="20"/>
                <w:szCs w:val="20"/>
              </w:rPr>
            </w:pPr>
            <w:r>
              <w:rPr>
                <w:b/>
                <w:color w:val="FFFFFF"/>
                <w:sz w:val="20"/>
                <w:szCs w:val="20"/>
              </w:rPr>
              <w:t>Included studies</w:t>
            </w:r>
          </w:p>
        </w:tc>
      </w:tr>
      <w:tr w:rsidR="00744659" w14:paraId="6EDF261D" w14:textId="77777777">
        <w:trPr>
          <w:trHeight w:val="179"/>
        </w:trPr>
        <w:tc>
          <w:tcPr>
            <w:tcW w:w="1559" w:type="dxa"/>
            <w:shd w:val="clear" w:color="auto" w:fill="D9D9D9"/>
            <w:tcMar>
              <w:top w:w="100" w:type="dxa"/>
              <w:left w:w="100" w:type="dxa"/>
              <w:bottom w:w="100" w:type="dxa"/>
              <w:right w:w="100" w:type="dxa"/>
            </w:tcMar>
          </w:tcPr>
          <w:p w14:paraId="6EDF2618" w14:textId="77777777" w:rsidR="00744659" w:rsidRDefault="002C38C9">
            <w:pPr>
              <w:spacing w:line="360" w:lineRule="auto"/>
              <w:rPr>
                <w:b/>
                <w:sz w:val="20"/>
                <w:szCs w:val="20"/>
              </w:rPr>
            </w:pPr>
            <w:r>
              <w:rPr>
                <w:b/>
                <w:sz w:val="20"/>
                <w:szCs w:val="20"/>
              </w:rPr>
              <w:t>Study</w:t>
            </w:r>
          </w:p>
        </w:tc>
        <w:tc>
          <w:tcPr>
            <w:tcW w:w="2693" w:type="dxa"/>
            <w:shd w:val="clear" w:color="auto" w:fill="D9D9D9"/>
            <w:tcMar>
              <w:top w:w="100" w:type="dxa"/>
              <w:left w:w="100" w:type="dxa"/>
              <w:bottom w:w="100" w:type="dxa"/>
              <w:right w:w="100" w:type="dxa"/>
            </w:tcMar>
          </w:tcPr>
          <w:p w14:paraId="6EDF2619" w14:textId="77777777" w:rsidR="00744659" w:rsidRDefault="002C38C9">
            <w:pPr>
              <w:spacing w:line="360" w:lineRule="auto"/>
              <w:rPr>
                <w:b/>
                <w:sz w:val="20"/>
                <w:szCs w:val="20"/>
              </w:rPr>
            </w:pPr>
            <w:r>
              <w:rPr>
                <w:b/>
                <w:sz w:val="20"/>
                <w:szCs w:val="20"/>
              </w:rPr>
              <w:t>Population</w:t>
            </w:r>
          </w:p>
        </w:tc>
        <w:tc>
          <w:tcPr>
            <w:tcW w:w="2126" w:type="dxa"/>
            <w:shd w:val="clear" w:color="auto" w:fill="D9D9D9"/>
            <w:tcMar>
              <w:top w:w="100" w:type="dxa"/>
              <w:left w:w="100" w:type="dxa"/>
              <w:bottom w:w="100" w:type="dxa"/>
              <w:right w:w="100" w:type="dxa"/>
            </w:tcMar>
          </w:tcPr>
          <w:p w14:paraId="6EDF261A" w14:textId="77777777" w:rsidR="00744659" w:rsidRDefault="002C38C9">
            <w:pPr>
              <w:spacing w:line="360" w:lineRule="auto"/>
              <w:rPr>
                <w:b/>
                <w:sz w:val="20"/>
                <w:szCs w:val="20"/>
              </w:rPr>
            </w:pPr>
            <w:r>
              <w:rPr>
                <w:b/>
                <w:sz w:val="20"/>
                <w:szCs w:val="20"/>
              </w:rPr>
              <w:t>Liberal threshold</w:t>
            </w:r>
          </w:p>
        </w:tc>
        <w:tc>
          <w:tcPr>
            <w:tcW w:w="2127" w:type="dxa"/>
            <w:shd w:val="clear" w:color="auto" w:fill="D9D9D9"/>
            <w:tcMar>
              <w:top w:w="100" w:type="dxa"/>
              <w:left w:w="100" w:type="dxa"/>
              <w:bottom w:w="100" w:type="dxa"/>
              <w:right w:w="100" w:type="dxa"/>
            </w:tcMar>
          </w:tcPr>
          <w:p w14:paraId="6EDF261B" w14:textId="77777777" w:rsidR="00744659" w:rsidRDefault="002C38C9">
            <w:pPr>
              <w:spacing w:line="360" w:lineRule="auto"/>
              <w:rPr>
                <w:b/>
                <w:sz w:val="20"/>
                <w:szCs w:val="20"/>
              </w:rPr>
            </w:pPr>
            <w:r>
              <w:rPr>
                <w:b/>
                <w:sz w:val="20"/>
                <w:szCs w:val="20"/>
              </w:rPr>
              <w:t>Restrictive threshold</w:t>
            </w:r>
          </w:p>
        </w:tc>
        <w:tc>
          <w:tcPr>
            <w:tcW w:w="3118" w:type="dxa"/>
            <w:shd w:val="clear" w:color="auto" w:fill="D9D9D9"/>
            <w:tcMar>
              <w:top w:w="100" w:type="dxa"/>
              <w:left w:w="100" w:type="dxa"/>
              <w:bottom w:w="100" w:type="dxa"/>
              <w:right w:w="100" w:type="dxa"/>
            </w:tcMar>
          </w:tcPr>
          <w:p w14:paraId="6EDF261C" w14:textId="77777777" w:rsidR="00744659" w:rsidRDefault="002C38C9">
            <w:pPr>
              <w:spacing w:line="360" w:lineRule="auto"/>
              <w:rPr>
                <w:b/>
                <w:sz w:val="20"/>
                <w:szCs w:val="20"/>
              </w:rPr>
            </w:pPr>
            <w:r>
              <w:rPr>
                <w:b/>
                <w:sz w:val="20"/>
                <w:szCs w:val="20"/>
              </w:rPr>
              <w:t xml:space="preserve">Outcomes </w:t>
            </w:r>
          </w:p>
        </w:tc>
      </w:tr>
      <w:tr w:rsidR="00744659" w:rsidRPr="00C53C14" w14:paraId="6EDF2626" w14:textId="77777777">
        <w:trPr>
          <w:trHeight w:val="360"/>
        </w:trPr>
        <w:tc>
          <w:tcPr>
            <w:tcW w:w="1559" w:type="dxa"/>
            <w:tcMar>
              <w:top w:w="100" w:type="dxa"/>
              <w:left w:w="100" w:type="dxa"/>
              <w:bottom w:w="100" w:type="dxa"/>
              <w:right w:w="100" w:type="dxa"/>
            </w:tcMar>
          </w:tcPr>
          <w:p w14:paraId="6EDF261E" w14:textId="77777777" w:rsidR="00744659" w:rsidRDefault="002C38C9">
            <w:pPr>
              <w:spacing w:line="360" w:lineRule="auto"/>
              <w:rPr>
                <w:i/>
                <w:sz w:val="20"/>
                <w:szCs w:val="20"/>
              </w:rPr>
            </w:pPr>
            <w:r>
              <w:rPr>
                <w:i/>
                <w:sz w:val="20"/>
                <w:szCs w:val="20"/>
              </w:rPr>
              <w:lastRenderedPageBreak/>
              <w:t>Lacroix (2012)</w:t>
            </w:r>
          </w:p>
          <w:p w14:paraId="6EDF261F" w14:textId="77777777" w:rsidR="00744659" w:rsidRDefault="002C38C9">
            <w:pPr>
              <w:spacing w:line="360" w:lineRule="auto"/>
              <w:rPr>
                <w:i/>
                <w:sz w:val="20"/>
                <w:szCs w:val="20"/>
              </w:rPr>
            </w:pPr>
            <w:r>
              <w:rPr>
                <w:i/>
                <w:sz w:val="20"/>
                <w:szCs w:val="20"/>
              </w:rPr>
              <w:t>Subananalysis of Lacroix (2007)</w:t>
            </w:r>
          </w:p>
        </w:tc>
        <w:tc>
          <w:tcPr>
            <w:tcW w:w="2693" w:type="dxa"/>
            <w:tcMar>
              <w:top w:w="100" w:type="dxa"/>
              <w:left w:w="100" w:type="dxa"/>
              <w:bottom w:w="100" w:type="dxa"/>
              <w:right w:w="100" w:type="dxa"/>
            </w:tcMar>
          </w:tcPr>
          <w:p w14:paraId="6EDF2620" w14:textId="77777777" w:rsidR="00744659" w:rsidRPr="00C53C14" w:rsidRDefault="002C38C9">
            <w:pPr>
              <w:spacing w:line="360" w:lineRule="auto"/>
              <w:rPr>
                <w:sz w:val="20"/>
                <w:szCs w:val="20"/>
                <w:lang w:val="en-US"/>
              </w:rPr>
            </w:pPr>
            <w:r w:rsidRPr="00C53C14">
              <w:rPr>
                <w:sz w:val="20"/>
                <w:szCs w:val="20"/>
                <w:lang w:val="en-US"/>
              </w:rPr>
              <w:t>400 stable critically ill children with respiratory distress</w:t>
            </w:r>
          </w:p>
        </w:tc>
        <w:tc>
          <w:tcPr>
            <w:tcW w:w="2126" w:type="dxa"/>
            <w:tcMar>
              <w:top w:w="100" w:type="dxa"/>
              <w:left w:w="100" w:type="dxa"/>
              <w:bottom w:w="100" w:type="dxa"/>
              <w:right w:w="100" w:type="dxa"/>
            </w:tcMar>
          </w:tcPr>
          <w:p w14:paraId="6EDF2621" w14:textId="77777777" w:rsidR="00744659" w:rsidRDefault="002C38C9">
            <w:pPr>
              <w:spacing w:line="360" w:lineRule="auto"/>
              <w:rPr>
                <w:sz w:val="20"/>
                <w:szCs w:val="20"/>
              </w:rPr>
            </w:pPr>
            <w:r>
              <w:rPr>
                <w:sz w:val="20"/>
                <w:szCs w:val="20"/>
              </w:rPr>
              <w:t>- 5.0 mmol/L</w:t>
            </w:r>
          </w:p>
        </w:tc>
        <w:tc>
          <w:tcPr>
            <w:tcW w:w="2127" w:type="dxa"/>
            <w:tcMar>
              <w:top w:w="100" w:type="dxa"/>
              <w:left w:w="100" w:type="dxa"/>
              <w:bottom w:w="100" w:type="dxa"/>
              <w:right w:w="100" w:type="dxa"/>
            </w:tcMar>
          </w:tcPr>
          <w:p w14:paraId="6EDF2622" w14:textId="77777777" w:rsidR="00744659" w:rsidRDefault="002C38C9">
            <w:pPr>
              <w:spacing w:line="360" w:lineRule="auto"/>
              <w:rPr>
                <w:sz w:val="20"/>
                <w:szCs w:val="20"/>
              </w:rPr>
            </w:pPr>
            <w:r>
              <w:rPr>
                <w:sz w:val="20"/>
                <w:szCs w:val="20"/>
              </w:rPr>
              <w:t>- 4.3 mmol/L</w:t>
            </w:r>
          </w:p>
        </w:tc>
        <w:tc>
          <w:tcPr>
            <w:tcW w:w="3118" w:type="dxa"/>
            <w:tcMar>
              <w:top w:w="100" w:type="dxa"/>
              <w:left w:w="100" w:type="dxa"/>
              <w:bottom w:w="100" w:type="dxa"/>
              <w:right w:w="100" w:type="dxa"/>
            </w:tcMar>
          </w:tcPr>
          <w:p w14:paraId="6EDF2623" w14:textId="77777777" w:rsidR="00744659" w:rsidRPr="00C53C14" w:rsidRDefault="002C38C9">
            <w:pPr>
              <w:spacing w:line="360" w:lineRule="auto"/>
              <w:rPr>
                <w:sz w:val="20"/>
                <w:szCs w:val="20"/>
                <w:lang w:val="en-US"/>
              </w:rPr>
            </w:pPr>
            <w:r w:rsidRPr="00C53C14">
              <w:rPr>
                <w:sz w:val="20"/>
                <w:szCs w:val="20"/>
                <w:lang w:val="en-US"/>
              </w:rPr>
              <w:t>- Mortality</w:t>
            </w:r>
          </w:p>
          <w:p w14:paraId="6EDF2624" w14:textId="77777777" w:rsidR="00744659" w:rsidRPr="00C53C14" w:rsidRDefault="002C38C9">
            <w:pPr>
              <w:spacing w:line="360" w:lineRule="auto"/>
              <w:rPr>
                <w:sz w:val="20"/>
                <w:szCs w:val="20"/>
                <w:lang w:val="en-US"/>
              </w:rPr>
            </w:pPr>
            <w:r w:rsidRPr="00C53C14">
              <w:rPr>
                <w:sz w:val="20"/>
                <w:szCs w:val="20"/>
                <w:lang w:val="en-US"/>
              </w:rPr>
              <w:t>- Morbidity</w:t>
            </w:r>
          </w:p>
          <w:p w14:paraId="6EDF2625" w14:textId="77777777" w:rsidR="00744659" w:rsidRPr="00C53C14" w:rsidRDefault="002C38C9">
            <w:pPr>
              <w:spacing w:line="360" w:lineRule="auto"/>
              <w:rPr>
                <w:sz w:val="20"/>
                <w:szCs w:val="20"/>
                <w:lang w:val="en-US"/>
              </w:rPr>
            </w:pPr>
            <w:r w:rsidRPr="00C53C14">
              <w:rPr>
                <w:sz w:val="20"/>
                <w:szCs w:val="20"/>
                <w:lang w:val="en-US"/>
              </w:rPr>
              <w:t>- Admission to hospital</w:t>
            </w:r>
          </w:p>
        </w:tc>
      </w:tr>
      <w:tr w:rsidR="00744659" w14:paraId="6EDF262E" w14:textId="77777777">
        <w:trPr>
          <w:trHeight w:val="360"/>
        </w:trPr>
        <w:tc>
          <w:tcPr>
            <w:tcW w:w="1559" w:type="dxa"/>
            <w:tcMar>
              <w:top w:w="100" w:type="dxa"/>
              <w:left w:w="100" w:type="dxa"/>
              <w:bottom w:w="100" w:type="dxa"/>
              <w:right w:w="100" w:type="dxa"/>
            </w:tcMar>
          </w:tcPr>
          <w:p w14:paraId="6EDF2627" w14:textId="77777777" w:rsidR="00744659" w:rsidRDefault="002C38C9">
            <w:pPr>
              <w:spacing w:line="360" w:lineRule="auto"/>
              <w:rPr>
                <w:i/>
                <w:sz w:val="20"/>
                <w:szCs w:val="20"/>
              </w:rPr>
            </w:pPr>
            <w:r>
              <w:rPr>
                <w:i/>
                <w:sz w:val="20"/>
                <w:szCs w:val="20"/>
              </w:rPr>
              <w:t>Cholette (2011)</w:t>
            </w:r>
          </w:p>
          <w:p w14:paraId="6EDF2628"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629" w14:textId="77777777" w:rsidR="00744659" w:rsidRPr="00C53C14" w:rsidRDefault="002C38C9">
            <w:pPr>
              <w:spacing w:line="360" w:lineRule="auto"/>
              <w:rPr>
                <w:sz w:val="20"/>
                <w:szCs w:val="20"/>
                <w:lang w:val="en-US"/>
              </w:rPr>
            </w:pPr>
            <w:r w:rsidRPr="00C53C14">
              <w:rPr>
                <w:sz w:val="20"/>
                <w:szCs w:val="20"/>
                <w:lang w:val="en-US"/>
              </w:rPr>
              <w:t>60 infants and children with variations of single-ventricle physiology presenting for cavopulmonary connection</w:t>
            </w:r>
          </w:p>
        </w:tc>
        <w:tc>
          <w:tcPr>
            <w:tcW w:w="2126" w:type="dxa"/>
            <w:tcMar>
              <w:top w:w="100" w:type="dxa"/>
              <w:left w:w="100" w:type="dxa"/>
              <w:bottom w:w="100" w:type="dxa"/>
              <w:right w:w="100" w:type="dxa"/>
            </w:tcMar>
          </w:tcPr>
          <w:p w14:paraId="6EDF262A" w14:textId="77777777" w:rsidR="00744659" w:rsidRDefault="002C38C9">
            <w:pPr>
              <w:spacing w:line="360" w:lineRule="auto"/>
              <w:rPr>
                <w:sz w:val="20"/>
                <w:szCs w:val="20"/>
              </w:rPr>
            </w:pPr>
            <w:r>
              <w:rPr>
                <w:sz w:val="20"/>
                <w:szCs w:val="20"/>
              </w:rPr>
              <w:t>- 8.1 mmol/L</w:t>
            </w:r>
          </w:p>
        </w:tc>
        <w:tc>
          <w:tcPr>
            <w:tcW w:w="2127" w:type="dxa"/>
            <w:tcMar>
              <w:top w:w="100" w:type="dxa"/>
              <w:left w:w="100" w:type="dxa"/>
              <w:bottom w:w="100" w:type="dxa"/>
              <w:right w:w="100" w:type="dxa"/>
            </w:tcMar>
          </w:tcPr>
          <w:p w14:paraId="6EDF262B" w14:textId="77777777" w:rsidR="00744659" w:rsidRDefault="002C38C9">
            <w:pPr>
              <w:spacing w:line="360" w:lineRule="auto"/>
              <w:rPr>
                <w:sz w:val="20"/>
                <w:szCs w:val="20"/>
              </w:rPr>
            </w:pPr>
            <w:r>
              <w:rPr>
                <w:sz w:val="20"/>
                <w:szCs w:val="20"/>
              </w:rPr>
              <w:t>- 5.6 mmol/L</w:t>
            </w:r>
          </w:p>
        </w:tc>
        <w:tc>
          <w:tcPr>
            <w:tcW w:w="3118" w:type="dxa"/>
            <w:tcMar>
              <w:top w:w="100" w:type="dxa"/>
              <w:left w:w="100" w:type="dxa"/>
              <w:bottom w:w="100" w:type="dxa"/>
              <w:right w:w="100" w:type="dxa"/>
            </w:tcMar>
          </w:tcPr>
          <w:p w14:paraId="6EDF262C" w14:textId="77777777" w:rsidR="00744659" w:rsidRDefault="002C38C9">
            <w:pPr>
              <w:spacing w:line="360" w:lineRule="auto"/>
              <w:rPr>
                <w:sz w:val="20"/>
                <w:szCs w:val="20"/>
              </w:rPr>
            </w:pPr>
            <w:r>
              <w:rPr>
                <w:sz w:val="20"/>
                <w:szCs w:val="20"/>
              </w:rPr>
              <w:t>- Mortality</w:t>
            </w:r>
          </w:p>
          <w:p w14:paraId="6EDF262D" w14:textId="77777777" w:rsidR="00744659" w:rsidRDefault="002C38C9">
            <w:pPr>
              <w:spacing w:line="360" w:lineRule="auto"/>
              <w:rPr>
                <w:sz w:val="20"/>
                <w:szCs w:val="20"/>
              </w:rPr>
            </w:pPr>
            <w:r>
              <w:rPr>
                <w:sz w:val="20"/>
                <w:szCs w:val="20"/>
              </w:rPr>
              <w:t>- Admission to hospital</w:t>
            </w:r>
          </w:p>
        </w:tc>
      </w:tr>
      <w:tr w:rsidR="00744659" w:rsidRPr="00C53C14" w14:paraId="6EDF2637" w14:textId="77777777">
        <w:trPr>
          <w:trHeight w:val="360"/>
        </w:trPr>
        <w:tc>
          <w:tcPr>
            <w:tcW w:w="1559" w:type="dxa"/>
            <w:tcMar>
              <w:top w:w="100" w:type="dxa"/>
              <w:left w:w="100" w:type="dxa"/>
              <w:bottom w:w="100" w:type="dxa"/>
              <w:right w:w="100" w:type="dxa"/>
            </w:tcMar>
          </w:tcPr>
          <w:p w14:paraId="6EDF262F" w14:textId="77777777" w:rsidR="00744659" w:rsidRDefault="002C38C9">
            <w:pPr>
              <w:spacing w:line="360" w:lineRule="auto"/>
              <w:rPr>
                <w:i/>
                <w:sz w:val="20"/>
                <w:szCs w:val="20"/>
              </w:rPr>
            </w:pPr>
            <w:r>
              <w:rPr>
                <w:i/>
                <w:sz w:val="20"/>
                <w:szCs w:val="20"/>
              </w:rPr>
              <w:t>Willems (2010)</w:t>
            </w:r>
          </w:p>
          <w:p w14:paraId="6EDF2630" w14:textId="77777777" w:rsidR="00744659" w:rsidRDefault="002C38C9">
            <w:pPr>
              <w:spacing w:line="360" w:lineRule="auto"/>
              <w:rPr>
                <w:i/>
                <w:sz w:val="20"/>
                <w:szCs w:val="20"/>
              </w:rPr>
            </w:pPr>
            <w:r>
              <w:rPr>
                <w:i/>
                <w:sz w:val="20"/>
                <w:szCs w:val="20"/>
              </w:rPr>
              <w:t>Subananalysis of Lacroix (2007)</w:t>
            </w:r>
          </w:p>
        </w:tc>
        <w:tc>
          <w:tcPr>
            <w:tcW w:w="2693" w:type="dxa"/>
            <w:tcMar>
              <w:top w:w="100" w:type="dxa"/>
              <w:left w:w="100" w:type="dxa"/>
              <w:bottom w:w="100" w:type="dxa"/>
              <w:right w:w="100" w:type="dxa"/>
            </w:tcMar>
          </w:tcPr>
          <w:p w14:paraId="6EDF2631" w14:textId="77777777" w:rsidR="00744659" w:rsidRPr="00C53C14" w:rsidRDefault="002C38C9">
            <w:pPr>
              <w:spacing w:line="360" w:lineRule="auto"/>
              <w:rPr>
                <w:sz w:val="20"/>
                <w:szCs w:val="20"/>
                <w:lang w:val="en-US"/>
              </w:rPr>
            </w:pPr>
            <w:r w:rsidRPr="00C53C14">
              <w:rPr>
                <w:sz w:val="20"/>
                <w:szCs w:val="20"/>
                <w:lang w:val="en-US"/>
              </w:rPr>
              <w:t>125 stable critically ill children post cardiac surgery (noncyanotic)</w:t>
            </w:r>
          </w:p>
        </w:tc>
        <w:tc>
          <w:tcPr>
            <w:tcW w:w="2126" w:type="dxa"/>
            <w:tcMar>
              <w:top w:w="100" w:type="dxa"/>
              <w:left w:w="100" w:type="dxa"/>
              <w:bottom w:w="100" w:type="dxa"/>
              <w:right w:w="100" w:type="dxa"/>
            </w:tcMar>
          </w:tcPr>
          <w:p w14:paraId="6EDF2632" w14:textId="77777777" w:rsidR="00744659" w:rsidRDefault="002C38C9">
            <w:pPr>
              <w:spacing w:line="360" w:lineRule="auto"/>
              <w:rPr>
                <w:sz w:val="20"/>
                <w:szCs w:val="20"/>
              </w:rPr>
            </w:pPr>
            <w:r>
              <w:rPr>
                <w:sz w:val="20"/>
                <w:szCs w:val="20"/>
              </w:rPr>
              <w:t>- 5.0 mmol/L</w:t>
            </w:r>
          </w:p>
        </w:tc>
        <w:tc>
          <w:tcPr>
            <w:tcW w:w="2127" w:type="dxa"/>
            <w:tcMar>
              <w:top w:w="100" w:type="dxa"/>
              <w:left w:w="100" w:type="dxa"/>
              <w:bottom w:w="100" w:type="dxa"/>
              <w:right w:w="100" w:type="dxa"/>
            </w:tcMar>
          </w:tcPr>
          <w:p w14:paraId="6EDF2633" w14:textId="77777777" w:rsidR="00744659" w:rsidRDefault="002C38C9">
            <w:pPr>
              <w:spacing w:line="360" w:lineRule="auto"/>
              <w:rPr>
                <w:sz w:val="20"/>
                <w:szCs w:val="20"/>
              </w:rPr>
            </w:pPr>
            <w:r>
              <w:rPr>
                <w:sz w:val="20"/>
                <w:szCs w:val="20"/>
              </w:rPr>
              <w:t>- 4.3 mmol/L</w:t>
            </w:r>
          </w:p>
        </w:tc>
        <w:tc>
          <w:tcPr>
            <w:tcW w:w="3118" w:type="dxa"/>
            <w:tcMar>
              <w:top w:w="100" w:type="dxa"/>
              <w:left w:w="100" w:type="dxa"/>
              <w:bottom w:w="100" w:type="dxa"/>
              <w:right w:w="100" w:type="dxa"/>
            </w:tcMar>
          </w:tcPr>
          <w:p w14:paraId="6EDF2634" w14:textId="77777777" w:rsidR="00744659" w:rsidRPr="00C53C14" w:rsidRDefault="002C38C9">
            <w:pPr>
              <w:spacing w:line="360" w:lineRule="auto"/>
              <w:rPr>
                <w:sz w:val="20"/>
                <w:szCs w:val="20"/>
                <w:lang w:val="en-US"/>
              </w:rPr>
            </w:pPr>
            <w:r w:rsidRPr="00C53C14">
              <w:rPr>
                <w:sz w:val="20"/>
                <w:szCs w:val="20"/>
                <w:lang w:val="en-US"/>
              </w:rPr>
              <w:t>- Mortality</w:t>
            </w:r>
          </w:p>
          <w:p w14:paraId="6EDF2635" w14:textId="77777777" w:rsidR="00744659" w:rsidRPr="00C53C14" w:rsidRDefault="002C38C9">
            <w:pPr>
              <w:spacing w:line="360" w:lineRule="auto"/>
              <w:rPr>
                <w:sz w:val="20"/>
                <w:szCs w:val="20"/>
                <w:lang w:val="en-US"/>
              </w:rPr>
            </w:pPr>
            <w:r w:rsidRPr="00C53C14">
              <w:rPr>
                <w:sz w:val="20"/>
                <w:szCs w:val="20"/>
                <w:lang w:val="en-US"/>
              </w:rPr>
              <w:t>- Morbidity</w:t>
            </w:r>
          </w:p>
          <w:p w14:paraId="6EDF2636" w14:textId="77777777" w:rsidR="00744659" w:rsidRPr="00C53C14" w:rsidRDefault="002C38C9">
            <w:pPr>
              <w:spacing w:line="360" w:lineRule="auto"/>
              <w:rPr>
                <w:sz w:val="20"/>
                <w:szCs w:val="20"/>
                <w:lang w:val="en-US"/>
              </w:rPr>
            </w:pPr>
            <w:r w:rsidRPr="00C53C14">
              <w:rPr>
                <w:sz w:val="20"/>
                <w:szCs w:val="20"/>
                <w:lang w:val="en-US"/>
              </w:rPr>
              <w:t>- Admission to hospital</w:t>
            </w:r>
          </w:p>
        </w:tc>
      </w:tr>
      <w:tr w:rsidR="00744659" w14:paraId="6EDF263E" w14:textId="77777777">
        <w:trPr>
          <w:trHeight w:val="360"/>
        </w:trPr>
        <w:tc>
          <w:tcPr>
            <w:tcW w:w="1559" w:type="dxa"/>
            <w:tcMar>
              <w:top w:w="100" w:type="dxa"/>
              <w:left w:w="100" w:type="dxa"/>
              <w:bottom w:w="100" w:type="dxa"/>
              <w:right w:w="100" w:type="dxa"/>
            </w:tcMar>
          </w:tcPr>
          <w:p w14:paraId="6EDF2638" w14:textId="77777777" w:rsidR="00744659" w:rsidRDefault="002C38C9">
            <w:pPr>
              <w:spacing w:line="360" w:lineRule="auto"/>
              <w:rPr>
                <w:i/>
                <w:sz w:val="20"/>
                <w:szCs w:val="20"/>
              </w:rPr>
            </w:pPr>
            <w:r>
              <w:rPr>
                <w:i/>
                <w:sz w:val="20"/>
                <w:szCs w:val="20"/>
              </w:rPr>
              <w:t>Marsh (1995)</w:t>
            </w:r>
          </w:p>
          <w:p w14:paraId="6EDF2639" w14:textId="77777777" w:rsidR="00744659" w:rsidRDefault="002C38C9">
            <w:pPr>
              <w:spacing w:line="360" w:lineRule="auto"/>
              <w:rPr>
                <w:i/>
                <w:sz w:val="20"/>
                <w:szCs w:val="20"/>
              </w:rPr>
            </w:pPr>
            <w:r>
              <w:rPr>
                <w:i/>
                <w:sz w:val="20"/>
                <w:szCs w:val="20"/>
              </w:rPr>
              <w:t>Prospective study</w:t>
            </w:r>
          </w:p>
        </w:tc>
        <w:tc>
          <w:tcPr>
            <w:tcW w:w="2693" w:type="dxa"/>
            <w:tcMar>
              <w:top w:w="100" w:type="dxa"/>
              <w:left w:w="100" w:type="dxa"/>
              <w:bottom w:w="100" w:type="dxa"/>
              <w:right w:w="100" w:type="dxa"/>
            </w:tcMar>
          </w:tcPr>
          <w:p w14:paraId="6EDF263A" w14:textId="77777777" w:rsidR="00744659" w:rsidRPr="00C53C14" w:rsidRDefault="002C38C9">
            <w:pPr>
              <w:spacing w:line="360" w:lineRule="auto"/>
              <w:rPr>
                <w:sz w:val="20"/>
                <w:szCs w:val="20"/>
                <w:lang w:val="en-US"/>
              </w:rPr>
            </w:pPr>
            <w:r w:rsidRPr="00C53C14">
              <w:rPr>
                <w:sz w:val="20"/>
                <w:szCs w:val="20"/>
                <w:lang w:val="en-US"/>
              </w:rPr>
              <w:t>1844 children with malaria and an Hb below 3.1 mmol/L with respiratory distress</w:t>
            </w:r>
          </w:p>
        </w:tc>
        <w:tc>
          <w:tcPr>
            <w:tcW w:w="2126" w:type="dxa"/>
            <w:tcMar>
              <w:top w:w="100" w:type="dxa"/>
              <w:left w:w="100" w:type="dxa"/>
              <w:bottom w:w="100" w:type="dxa"/>
              <w:right w:w="100" w:type="dxa"/>
            </w:tcMar>
          </w:tcPr>
          <w:p w14:paraId="6EDF263B" w14:textId="77777777" w:rsidR="00744659" w:rsidRDefault="002C38C9">
            <w:pPr>
              <w:spacing w:line="360" w:lineRule="auto"/>
              <w:rPr>
                <w:sz w:val="20"/>
                <w:szCs w:val="20"/>
              </w:rPr>
            </w:pPr>
            <w:r>
              <w:rPr>
                <w:sz w:val="20"/>
                <w:szCs w:val="20"/>
              </w:rPr>
              <w:t>-</w:t>
            </w:r>
          </w:p>
        </w:tc>
        <w:tc>
          <w:tcPr>
            <w:tcW w:w="2127" w:type="dxa"/>
            <w:tcMar>
              <w:top w:w="100" w:type="dxa"/>
              <w:left w:w="100" w:type="dxa"/>
              <w:bottom w:w="100" w:type="dxa"/>
              <w:right w:w="100" w:type="dxa"/>
            </w:tcMar>
          </w:tcPr>
          <w:p w14:paraId="6EDF263C" w14:textId="77777777" w:rsidR="00744659" w:rsidRDefault="002C38C9">
            <w:pPr>
              <w:spacing w:line="360" w:lineRule="auto"/>
              <w:rPr>
                <w:sz w:val="20"/>
                <w:szCs w:val="20"/>
              </w:rPr>
            </w:pPr>
            <w:r>
              <w:rPr>
                <w:sz w:val="20"/>
                <w:szCs w:val="20"/>
              </w:rPr>
              <w:t>-</w:t>
            </w:r>
          </w:p>
        </w:tc>
        <w:tc>
          <w:tcPr>
            <w:tcW w:w="3118" w:type="dxa"/>
            <w:tcMar>
              <w:top w:w="100" w:type="dxa"/>
              <w:left w:w="100" w:type="dxa"/>
              <w:bottom w:w="100" w:type="dxa"/>
              <w:right w:w="100" w:type="dxa"/>
            </w:tcMar>
          </w:tcPr>
          <w:p w14:paraId="6EDF263D" w14:textId="77777777" w:rsidR="00744659" w:rsidRDefault="002C38C9">
            <w:pPr>
              <w:spacing w:line="360" w:lineRule="auto"/>
              <w:rPr>
                <w:sz w:val="20"/>
                <w:szCs w:val="20"/>
              </w:rPr>
            </w:pPr>
            <w:r>
              <w:rPr>
                <w:sz w:val="20"/>
                <w:szCs w:val="20"/>
              </w:rPr>
              <w:t>- Mortality</w:t>
            </w:r>
          </w:p>
        </w:tc>
      </w:tr>
      <w:tr w:rsidR="00744659" w:rsidRPr="00C53C14" w14:paraId="6EDF2648" w14:textId="77777777">
        <w:trPr>
          <w:trHeight w:val="360"/>
        </w:trPr>
        <w:tc>
          <w:tcPr>
            <w:tcW w:w="1559" w:type="dxa"/>
            <w:tcMar>
              <w:top w:w="100" w:type="dxa"/>
              <w:left w:w="100" w:type="dxa"/>
              <w:bottom w:w="100" w:type="dxa"/>
              <w:right w:w="100" w:type="dxa"/>
            </w:tcMar>
          </w:tcPr>
          <w:p w14:paraId="6EDF263F" w14:textId="77777777" w:rsidR="00744659" w:rsidRPr="00C53C14" w:rsidRDefault="002C38C9">
            <w:pPr>
              <w:spacing w:line="360" w:lineRule="auto"/>
              <w:rPr>
                <w:i/>
                <w:sz w:val="20"/>
                <w:szCs w:val="20"/>
                <w:lang w:val="en-US"/>
              </w:rPr>
            </w:pPr>
            <w:r w:rsidRPr="00C53C14">
              <w:rPr>
                <w:i/>
                <w:sz w:val="20"/>
                <w:szCs w:val="20"/>
                <w:lang w:val="en-US"/>
              </w:rPr>
              <w:t>English (2002)</w:t>
            </w:r>
          </w:p>
          <w:p w14:paraId="6EDF2640" w14:textId="77777777" w:rsidR="00744659" w:rsidRPr="00C53C14" w:rsidRDefault="002C38C9">
            <w:pPr>
              <w:spacing w:line="360" w:lineRule="auto"/>
              <w:rPr>
                <w:i/>
                <w:sz w:val="20"/>
                <w:szCs w:val="20"/>
                <w:lang w:val="en-US"/>
              </w:rPr>
            </w:pPr>
            <w:r w:rsidRPr="00C53C14">
              <w:rPr>
                <w:i/>
                <w:sz w:val="20"/>
                <w:szCs w:val="20"/>
                <w:lang w:val="en-US"/>
              </w:rPr>
              <w:t>Retrospective and prospective cohort study</w:t>
            </w:r>
          </w:p>
        </w:tc>
        <w:tc>
          <w:tcPr>
            <w:tcW w:w="2693" w:type="dxa"/>
            <w:tcMar>
              <w:top w:w="100" w:type="dxa"/>
              <w:left w:w="100" w:type="dxa"/>
              <w:bottom w:w="100" w:type="dxa"/>
              <w:right w:w="100" w:type="dxa"/>
            </w:tcMar>
          </w:tcPr>
          <w:p w14:paraId="6EDF2641" w14:textId="77777777" w:rsidR="00744659" w:rsidRPr="00C53C14" w:rsidRDefault="002C38C9">
            <w:pPr>
              <w:spacing w:line="360" w:lineRule="auto"/>
              <w:rPr>
                <w:sz w:val="20"/>
                <w:szCs w:val="20"/>
                <w:lang w:val="en-US"/>
              </w:rPr>
            </w:pPr>
            <w:r w:rsidRPr="00C53C14">
              <w:rPr>
                <w:sz w:val="20"/>
                <w:szCs w:val="20"/>
                <w:lang w:val="en-US"/>
              </w:rPr>
              <w:t>1516 severely anemic children divided into 1185 children who had malaria and 331 children with other diagnoses in Kenya</w:t>
            </w:r>
          </w:p>
        </w:tc>
        <w:tc>
          <w:tcPr>
            <w:tcW w:w="2126" w:type="dxa"/>
            <w:tcMar>
              <w:top w:w="100" w:type="dxa"/>
              <w:left w:w="100" w:type="dxa"/>
              <w:bottom w:w="100" w:type="dxa"/>
              <w:right w:w="100" w:type="dxa"/>
            </w:tcMar>
          </w:tcPr>
          <w:p w14:paraId="6EDF2642" w14:textId="77777777" w:rsidR="00744659" w:rsidRDefault="002C38C9">
            <w:pPr>
              <w:spacing w:line="360" w:lineRule="auto"/>
              <w:rPr>
                <w:sz w:val="20"/>
                <w:szCs w:val="20"/>
              </w:rPr>
            </w:pPr>
            <w:r>
              <w:rPr>
                <w:sz w:val="20"/>
                <w:szCs w:val="20"/>
              </w:rPr>
              <w:t>- 3.1 mmol/L</w:t>
            </w:r>
          </w:p>
        </w:tc>
        <w:tc>
          <w:tcPr>
            <w:tcW w:w="2127" w:type="dxa"/>
            <w:tcMar>
              <w:top w:w="100" w:type="dxa"/>
              <w:left w:w="100" w:type="dxa"/>
              <w:bottom w:w="100" w:type="dxa"/>
              <w:right w:w="100" w:type="dxa"/>
            </w:tcMar>
          </w:tcPr>
          <w:p w14:paraId="6EDF2643" w14:textId="77777777" w:rsidR="00744659" w:rsidRPr="00C53C14" w:rsidRDefault="002C38C9">
            <w:pPr>
              <w:spacing w:line="360" w:lineRule="auto"/>
              <w:rPr>
                <w:sz w:val="20"/>
                <w:szCs w:val="20"/>
                <w:lang w:val="en-US"/>
              </w:rPr>
            </w:pPr>
            <w:r w:rsidRPr="00C53C14">
              <w:rPr>
                <w:sz w:val="20"/>
                <w:szCs w:val="20"/>
                <w:lang w:val="en-US"/>
              </w:rPr>
              <w:t>- 2.5 mmol/L</w:t>
            </w:r>
          </w:p>
          <w:p w14:paraId="6EDF2644" w14:textId="77777777" w:rsidR="00744659" w:rsidRPr="00C53C14" w:rsidRDefault="002C38C9">
            <w:pPr>
              <w:spacing w:line="360" w:lineRule="auto"/>
              <w:rPr>
                <w:sz w:val="20"/>
                <w:szCs w:val="20"/>
                <w:lang w:val="en-US"/>
              </w:rPr>
            </w:pPr>
            <w:r w:rsidRPr="00C53C14">
              <w:rPr>
                <w:sz w:val="20"/>
                <w:szCs w:val="20"/>
                <w:lang w:val="en-US"/>
              </w:rPr>
              <w:t>- 3.1 mmol/L with respiratory distress</w:t>
            </w:r>
          </w:p>
        </w:tc>
        <w:tc>
          <w:tcPr>
            <w:tcW w:w="3118" w:type="dxa"/>
            <w:tcMar>
              <w:top w:w="100" w:type="dxa"/>
              <w:left w:w="100" w:type="dxa"/>
              <w:bottom w:w="100" w:type="dxa"/>
              <w:right w:w="100" w:type="dxa"/>
            </w:tcMar>
          </w:tcPr>
          <w:p w14:paraId="6EDF2645" w14:textId="77777777" w:rsidR="00744659" w:rsidRPr="00C53C14" w:rsidRDefault="002C38C9">
            <w:pPr>
              <w:spacing w:line="360" w:lineRule="auto"/>
              <w:rPr>
                <w:sz w:val="20"/>
                <w:szCs w:val="20"/>
                <w:lang w:val="en-US"/>
              </w:rPr>
            </w:pPr>
            <w:r w:rsidRPr="00C53C14">
              <w:rPr>
                <w:sz w:val="20"/>
                <w:szCs w:val="20"/>
                <w:lang w:val="en-US"/>
              </w:rPr>
              <w:t>- Mortality</w:t>
            </w:r>
          </w:p>
          <w:p w14:paraId="6EDF2646" w14:textId="77777777" w:rsidR="00744659" w:rsidRPr="00C53C14" w:rsidRDefault="002C38C9">
            <w:pPr>
              <w:spacing w:line="360" w:lineRule="auto"/>
              <w:rPr>
                <w:sz w:val="20"/>
                <w:szCs w:val="20"/>
                <w:lang w:val="en-US"/>
              </w:rPr>
            </w:pPr>
            <w:r w:rsidRPr="00C53C14">
              <w:rPr>
                <w:sz w:val="20"/>
                <w:szCs w:val="20"/>
                <w:lang w:val="en-US"/>
              </w:rPr>
              <w:t>- Morbidity</w:t>
            </w:r>
          </w:p>
          <w:p w14:paraId="6EDF2647" w14:textId="77777777" w:rsidR="00744659" w:rsidRPr="00C53C14" w:rsidRDefault="002C38C9">
            <w:pPr>
              <w:spacing w:line="360" w:lineRule="auto"/>
              <w:rPr>
                <w:sz w:val="20"/>
                <w:szCs w:val="20"/>
                <w:lang w:val="en-US"/>
              </w:rPr>
            </w:pPr>
            <w:r w:rsidRPr="00C53C14">
              <w:rPr>
                <w:sz w:val="20"/>
                <w:szCs w:val="20"/>
                <w:lang w:val="en-US"/>
              </w:rPr>
              <w:t>- Admission to hospital</w:t>
            </w:r>
          </w:p>
        </w:tc>
      </w:tr>
    </w:tbl>
    <w:p w14:paraId="6EDF2649" w14:textId="77777777" w:rsidR="00744659" w:rsidRPr="00C53C14" w:rsidRDefault="00744659">
      <w:pPr>
        <w:spacing w:line="360" w:lineRule="auto"/>
        <w:rPr>
          <w:rFonts w:ascii="Calibri" w:eastAsia="Calibri" w:hAnsi="Calibri" w:cs="Calibri"/>
          <w:sz w:val="20"/>
          <w:szCs w:val="20"/>
          <w:lang w:val="en-US"/>
        </w:rPr>
      </w:pPr>
    </w:p>
    <w:p w14:paraId="6EDF264A"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A2.3: Adults</w:t>
      </w:r>
    </w:p>
    <w:p w14:paraId="6EDF264B"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Three adult studies were included from the additional literature review (8, 20, 29).</w:t>
      </w:r>
    </w:p>
    <w:p w14:paraId="6EDF264C" w14:textId="77777777" w:rsidR="00744659" w:rsidRPr="00C53C14" w:rsidRDefault="00744659">
      <w:pPr>
        <w:spacing w:line="360" w:lineRule="auto"/>
        <w:rPr>
          <w:rFonts w:ascii="Calibri" w:eastAsia="Calibri" w:hAnsi="Calibri" w:cs="Calibri"/>
          <w:sz w:val="20"/>
          <w:szCs w:val="20"/>
          <w:lang w:val="en-US"/>
        </w:rPr>
      </w:pPr>
    </w:p>
    <w:p w14:paraId="6EDF264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 characteristics of the included studies are stated in the evidence table below. The studies differ from each other in patient population and in methodology. </w:t>
      </w:r>
    </w:p>
    <w:p w14:paraId="6EDF264E" w14:textId="77777777" w:rsidR="00744659" w:rsidRPr="00C53C14" w:rsidRDefault="00744659">
      <w:pPr>
        <w:spacing w:line="360" w:lineRule="auto"/>
        <w:rPr>
          <w:rFonts w:ascii="Calibri" w:eastAsia="Calibri" w:hAnsi="Calibri" w:cs="Calibri"/>
          <w:b/>
          <w:sz w:val="20"/>
          <w:szCs w:val="20"/>
          <w:lang w:val="en-US"/>
        </w:rPr>
      </w:pPr>
    </w:p>
    <w:p w14:paraId="6EDF264F"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Table 2.</w:t>
      </w:r>
      <w:r w:rsidRPr="00C53C14">
        <w:rPr>
          <w:rFonts w:ascii="Calibri" w:eastAsia="Calibri" w:hAnsi="Calibri" w:cs="Calibri"/>
          <w:sz w:val="20"/>
          <w:szCs w:val="20"/>
          <w:lang w:val="en-US"/>
        </w:rPr>
        <w:t xml:space="preserve"> Characteristics of the included studies regarding adults. </w:t>
      </w:r>
    </w:p>
    <w:tbl>
      <w:tblPr>
        <w:tblStyle w:val="afb"/>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693"/>
        <w:gridCol w:w="2126"/>
        <w:gridCol w:w="2127"/>
        <w:gridCol w:w="3118"/>
      </w:tblGrid>
      <w:tr w:rsidR="00744659" w14:paraId="6EDF2651" w14:textId="77777777">
        <w:trPr>
          <w:trHeight w:val="71"/>
        </w:trPr>
        <w:tc>
          <w:tcPr>
            <w:tcW w:w="11623" w:type="dxa"/>
            <w:gridSpan w:val="5"/>
            <w:shd w:val="clear" w:color="auto" w:fill="000000"/>
            <w:tcMar>
              <w:top w:w="100" w:type="dxa"/>
              <w:left w:w="100" w:type="dxa"/>
              <w:bottom w:w="100" w:type="dxa"/>
              <w:right w:w="100" w:type="dxa"/>
            </w:tcMar>
          </w:tcPr>
          <w:p w14:paraId="6EDF2650" w14:textId="77777777" w:rsidR="00744659" w:rsidRDefault="002C38C9">
            <w:pPr>
              <w:spacing w:line="360" w:lineRule="auto"/>
              <w:rPr>
                <w:b/>
                <w:color w:val="FFFFFF"/>
                <w:sz w:val="20"/>
                <w:szCs w:val="20"/>
              </w:rPr>
            </w:pPr>
            <w:r>
              <w:rPr>
                <w:b/>
                <w:color w:val="FFFFFF"/>
                <w:sz w:val="20"/>
                <w:szCs w:val="20"/>
              </w:rPr>
              <w:t>Included studies</w:t>
            </w:r>
          </w:p>
        </w:tc>
      </w:tr>
      <w:tr w:rsidR="00744659" w14:paraId="6EDF2657" w14:textId="77777777">
        <w:trPr>
          <w:trHeight w:val="179"/>
        </w:trPr>
        <w:tc>
          <w:tcPr>
            <w:tcW w:w="1559" w:type="dxa"/>
            <w:shd w:val="clear" w:color="auto" w:fill="D9D9D9"/>
            <w:tcMar>
              <w:top w:w="100" w:type="dxa"/>
              <w:left w:w="100" w:type="dxa"/>
              <w:bottom w:w="100" w:type="dxa"/>
              <w:right w:w="100" w:type="dxa"/>
            </w:tcMar>
          </w:tcPr>
          <w:p w14:paraId="6EDF2652" w14:textId="77777777" w:rsidR="00744659" w:rsidRDefault="002C38C9">
            <w:pPr>
              <w:spacing w:line="360" w:lineRule="auto"/>
              <w:rPr>
                <w:b/>
                <w:sz w:val="20"/>
                <w:szCs w:val="20"/>
              </w:rPr>
            </w:pPr>
            <w:r>
              <w:rPr>
                <w:b/>
                <w:sz w:val="20"/>
                <w:szCs w:val="20"/>
              </w:rPr>
              <w:t>Study</w:t>
            </w:r>
          </w:p>
        </w:tc>
        <w:tc>
          <w:tcPr>
            <w:tcW w:w="2693" w:type="dxa"/>
            <w:shd w:val="clear" w:color="auto" w:fill="D9D9D9"/>
            <w:tcMar>
              <w:top w:w="100" w:type="dxa"/>
              <w:left w:w="100" w:type="dxa"/>
              <w:bottom w:w="100" w:type="dxa"/>
              <w:right w:w="100" w:type="dxa"/>
            </w:tcMar>
          </w:tcPr>
          <w:p w14:paraId="6EDF2653" w14:textId="77777777" w:rsidR="00744659" w:rsidRDefault="002C38C9">
            <w:pPr>
              <w:spacing w:line="360" w:lineRule="auto"/>
              <w:rPr>
                <w:b/>
                <w:sz w:val="20"/>
                <w:szCs w:val="20"/>
              </w:rPr>
            </w:pPr>
            <w:r>
              <w:rPr>
                <w:b/>
                <w:sz w:val="20"/>
                <w:szCs w:val="20"/>
              </w:rPr>
              <w:t>Population</w:t>
            </w:r>
          </w:p>
        </w:tc>
        <w:tc>
          <w:tcPr>
            <w:tcW w:w="2126" w:type="dxa"/>
            <w:shd w:val="clear" w:color="auto" w:fill="D9D9D9"/>
            <w:tcMar>
              <w:top w:w="100" w:type="dxa"/>
              <w:left w:w="100" w:type="dxa"/>
              <w:bottom w:w="100" w:type="dxa"/>
              <w:right w:w="100" w:type="dxa"/>
            </w:tcMar>
          </w:tcPr>
          <w:p w14:paraId="6EDF2654" w14:textId="77777777" w:rsidR="00744659" w:rsidRDefault="002C38C9">
            <w:pPr>
              <w:spacing w:line="360" w:lineRule="auto"/>
              <w:rPr>
                <w:b/>
                <w:sz w:val="20"/>
                <w:szCs w:val="20"/>
              </w:rPr>
            </w:pPr>
            <w:r>
              <w:rPr>
                <w:b/>
                <w:sz w:val="20"/>
                <w:szCs w:val="20"/>
              </w:rPr>
              <w:t>Liberal threshold</w:t>
            </w:r>
          </w:p>
        </w:tc>
        <w:tc>
          <w:tcPr>
            <w:tcW w:w="2127" w:type="dxa"/>
            <w:shd w:val="clear" w:color="auto" w:fill="D9D9D9"/>
            <w:tcMar>
              <w:top w:w="100" w:type="dxa"/>
              <w:left w:w="100" w:type="dxa"/>
              <w:bottom w:w="100" w:type="dxa"/>
              <w:right w:w="100" w:type="dxa"/>
            </w:tcMar>
          </w:tcPr>
          <w:p w14:paraId="6EDF2655" w14:textId="77777777" w:rsidR="00744659" w:rsidRDefault="002C38C9">
            <w:pPr>
              <w:spacing w:line="360" w:lineRule="auto"/>
              <w:rPr>
                <w:b/>
                <w:sz w:val="20"/>
                <w:szCs w:val="20"/>
              </w:rPr>
            </w:pPr>
            <w:r>
              <w:rPr>
                <w:b/>
                <w:sz w:val="20"/>
                <w:szCs w:val="20"/>
              </w:rPr>
              <w:t>Restrictive threshold</w:t>
            </w:r>
          </w:p>
        </w:tc>
        <w:tc>
          <w:tcPr>
            <w:tcW w:w="3118" w:type="dxa"/>
            <w:shd w:val="clear" w:color="auto" w:fill="D9D9D9"/>
            <w:tcMar>
              <w:top w:w="100" w:type="dxa"/>
              <w:left w:w="100" w:type="dxa"/>
              <w:bottom w:w="100" w:type="dxa"/>
              <w:right w:w="100" w:type="dxa"/>
            </w:tcMar>
          </w:tcPr>
          <w:p w14:paraId="6EDF2656" w14:textId="77777777" w:rsidR="00744659" w:rsidRDefault="002C38C9">
            <w:pPr>
              <w:spacing w:line="360" w:lineRule="auto"/>
              <w:rPr>
                <w:b/>
                <w:sz w:val="20"/>
                <w:szCs w:val="20"/>
              </w:rPr>
            </w:pPr>
            <w:r>
              <w:rPr>
                <w:b/>
                <w:sz w:val="20"/>
                <w:szCs w:val="20"/>
              </w:rPr>
              <w:t xml:space="preserve">Outcomes </w:t>
            </w:r>
          </w:p>
        </w:tc>
      </w:tr>
      <w:tr w:rsidR="00744659" w14:paraId="6EDF265E" w14:textId="77777777">
        <w:trPr>
          <w:trHeight w:val="360"/>
        </w:trPr>
        <w:tc>
          <w:tcPr>
            <w:tcW w:w="1559" w:type="dxa"/>
            <w:tcMar>
              <w:top w:w="100" w:type="dxa"/>
              <w:left w:w="100" w:type="dxa"/>
              <w:bottom w:w="100" w:type="dxa"/>
              <w:right w:w="100" w:type="dxa"/>
            </w:tcMar>
          </w:tcPr>
          <w:p w14:paraId="6EDF2658" w14:textId="77777777" w:rsidR="00744659" w:rsidRDefault="002C38C9">
            <w:pPr>
              <w:spacing w:line="360" w:lineRule="auto"/>
              <w:rPr>
                <w:i/>
                <w:sz w:val="20"/>
                <w:szCs w:val="20"/>
              </w:rPr>
            </w:pPr>
            <w:r>
              <w:rPr>
                <w:i/>
                <w:sz w:val="20"/>
                <w:szCs w:val="20"/>
              </w:rPr>
              <w:t>Carson (2002)</w:t>
            </w:r>
          </w:p>
          <w:p w14:paraId="6EDF2659" w14:textId="77777777" w:rsidR="00744659" w:rsidRDefault="002C38C9">
            <w:pPr>
              <w:spacing w:line="360" w:lineRule="auto"/>
              <w:rPr>
                <w:i/>
                <w:sz w:val="20"/>
                <w:szCs w:val="20"/>
              </w:rPr>
            </w:pPr>
            <w:r>
              <w:rPr>
                <w:i/>
                <w:sz w:val="20"/>
                <w:szCs w:val="20"/>
              </w:rPr>
              <w:t>Retrospective study</w:t>
            </w:r>
          </w:p>
        </w:tc>
        <w:tc>
          <w:tcPr>
            <w:tcW w:w="2693" w:type="dxa"/>
            <w:tcMar>
              <w:top w:w="100" w:type="dxa"/>
              <w:left w:w="100" w:type="dxa"/>
              <w:bottom w:w="100" w:type="dxa"/>
              <w:right w:w="100" w:type="dxa"/>
            </w:tcMar>
          </w:tcPr>
          <w:p w14:paraId="6EDF265A" w14:textId="77777777" w:rsidR="00744659" w:rsidRPr="00C53C14" w:rsidRDefault="002C38C9">
            <w:pPr>
              <w:spacing w:line="360" w:lineRule="auto"/>
              <w:rPr>
                <w:sz w:val="20"/>
                <w:szCs w:val="20"/>
                <w:lang w:val="en-US"/>
              </w:rPr>
            </w:pPr>
            <w:r w:rsidRPr="00C53C14">
              <w:rPr>
                <w:sz w:val="20"/>
                <w:szCs w:val="20"/>
                <w:lang w:val="en-US"/>
              </w:rPr>
              <w:t>300 adults with a postoperative Hb of 5.0 with cardiovasculair comorbidities</w:t>
            </w:r>
          </w:p>
        </w:tc>
        <w:tc>
          <w:tcPr>
            <w:tcW w:w="4253" w:type="dxa"/>
            <w:gridSpan w:val="2"/>
            <w:tcMar>
              <w:top w:w="100" w:type="dxa"/>
              <w:left w:w="100" w:type="dxa"/>
              <w:bottom w:w="100" w:type="dxa"/>
              <w:right w:w="100" w:type="dxa"/>
            </w:tcMar>
          </w:tcPr>
          <w:p w14:paraId="6EDF265B" w14:textId="77777777" w:rsidR="00744659" w:rsidRDefault="002C38C9">
            <w:pPr>
              <w:spacing w:line="360" w:lineRule="auto"/>
              <w:rPr>
                <w:sz w:val="20"/>
                <w:szCs w:val="20"/>
              </w:rPr>
            </w:pPr>
            <w:r>
              <w:rPr>
                <w:sz w:val="20"/>
                <w:szCs w:val="20"/>
              </w:rPr>
              <w:t>Different Hb levels</w:t>
            </w:r>
          </w:p>
        </w:tc>
        <w:tc>
          <w:tcPr>
            <w:tcW w:w="3118" w:type="dxa"/>
            <w:tcMar>
              <w:top w:w="100" w:type="dxa"/>
              <w:left w:w="100" w:type="dxa"/>
              <w:bottom w:w="100" w:type="dxa"/>
              <w:right w:w="100" w:type="dxa"/>
            </w:tcMar>
          </w:tcPr>
          <w:p w14:paraId="6EDF265C" w14:textId="77777777" w:rsidR="00744659" w:rsidRDefault="002C38C9">
            <w:pPr>
              <w:spacing w:line="360" w:lineRule="auto"/>
              <w:rPr>
                <w:sz w:val="20"/>
                <w:szCs w:val="20"/>
              </w:rPr>
            </w:pPr>
            <w:r>
              <w:rPr>
                <w:sz w:val="20"/>
                <w:szCs w:val="20"/>
              </w:rPr>
              <w:t>- Mortality</w:t>
            </w:r>
          </w:p>
          <w:p w14:paraId="6EDF265D" w14:textId="77777777" w:rsidR="00744659" w:rsidRDefault="00744659">
            <w:pPr>
              <w:spacing w:line="360" w:lineRule="auto"/>
              <w:rPr>
                <w:sz w:val="20"/>
                <w:szCs w:val="20"/>
              </w:rPr>
            </w:pPr>
          </w:p>
        </w:tc>
      </w:tr>
      <w:tr w:rsidR="00744659" w:rsidRPr="00C53C14" w14:paraId="6EDF2667" w14:textId="77777777">
        <w:trPr>
          <w:trHeight w:val="360"/>
        </w:trPr>
        <w:tc>
          <w:tcPr>
            <w:tcW w:w="1559" w:type="dxa"/>
            <w:tcMar>
              <w:top w:w="100" w:type="dxa"/>
              <w:left w:w="100" w:type="dxa"/>
              <w:bottom w:w="100" w:type="dxa"/>
              <w:right w:w="100" w:type="dxa"/>
            </w:tcMar>
          </w:tcPr>
          <w:p w14:paraId="6EDF265F" w14:textId="77777777" w:rsidR="00744659" w:rsidRDefault="002C38C9">
            <w:pPr>
              <w:spacing w:line="360" w:lineRule="auto"/>
              <w:rPr>
                <w:i/>
                <w:sz w:val="20"/>
                <w:szCs w:val="20"/>
              </w:rPr>
            </w:pPr>
            <w:r>
              <w:rPr>
                <w:i/>
                <w:sz w:val="20"/>
                <w:szCs w:val="20"/>
              </w:rPr>
              <w:lastRenderedPageBreak/>
              <w:t>Hajjar (2010)</w:t>
            </w:r>
          </w:p>
          <w:p w14:paraId="6EDF2660"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661" w14:textId="77777777" w:rsidR="00744659" w:rsidRPr="00C53C14" w:rsidRDefault="002C38C9">
            <w:pPr>
              <w:spacing w:line="360" w:lineRule="auto"/>
              <w:rPr>
                <w:sz w:val="20"/>
                <w:szCs w:val="20"/>
                <w:lang w:val="en-US"/>
              </w:rPr>
            </w:pPr>
            <w:r w:rsidRPr="00C53C14">
              <w:rPr>
                <w:sz w:val="20"/>
                <w:szCs w:val="20"/>
                <w:lang w:val="en-US"/>
              </w:rPr>
              <w:t>RCT including 512 adults undergoing elective cardiac surgery</w:t>
            </w:r>
          </w:p>
        </w:tc>
        <w:tc>
          <w:tcPr>
            <w:tcW w:w="2126" w:type="dxa"/>
            <w:tcMar>
              <w:top w:w="100" w:type="dxa"/>
              <w:left w:w="100" w:type="dxa"/>
              <w:bottom w:w="100" w:type="dxa"/>
              <w:right w:w="100" w:type="dxa"/>
            </w:tcMar>
          </w:tcPr>
          <w:p w14:paraId="6EDF2662" w14:textId="77777777" w:rsidR="00744659" w:rsidRDefault="002C38C9">
            <w:pPr>
              <w:spacing w:line="360" w:lineRule="auto"/>
              <w:rPr>
                <w:sz w:val="20"/>
                <w:szCs w:val="20"/>
              </w:rPr>
            </w:pPr>
            <w:r>
              <w:rPr>
                <w:sz w:val="20"/>
                <w:szCs w:val="20"/>
              </w:rPr>
              <w:t>- Hematocrit 0.30 L/L</w:t>
            </w:r>
          </w:p>
        </w:tc>
        <w:tc>
          <w:tcPr>
            <w:tcW w:w="2127" w:type="dxa"/>
            <w:tcMar>
              <w:top w:w="100" w:type="dxa"/>
              <w:left w:w="100" w:type="dxa"/>
              <w:bottom w:w="100" w:type="dxa"/>
              <w:right w:w="100" w:type="dxa"/>
            </w:tcMar>
          </w:tcPr>
          <w:p w14:paraId="6EDF2663" w14:textId="77777777" w:rsidR="00744659" w:rsidRDefault="002C38C9">
            <w:pPr>
              <w:spacing w:line="360" w:lineRule="auto"/>
              <w:rPr>
                <w:sz w:val="20"/>
                <w:szCs w:val="20"/>
              </w:rPr>
            </w:pPr>
            <w:r>
              <w:rPr>
                <w:sz w:val="20"/>
                <w:szCs w:val="20"/>
              </w:rPr>
              <w:t>- Hematocrit 0.24 L/L</w:t>
            </w:r>
          </w:p>
        </w:tc>
        <w:tc>
          <w:tcPr>
            <w:tcW w:w="3118" w:type="dxa"/>
            <w:tcMar>
              <w:top w:w="100" w:type="dxa"/>
              <w:left w:w="100" w:type="dxa"/>
              <w:bottom w:w="100" w:type="dxa"/>
              <w:right w:w="100" w:type="dxa"/>
            </w:tcMar>
          </w:tcPr>
          <w:p w14:paraId="6EDF2664" w14:textId="77777777" w:rsidR="00744659" w:rsidRPr="00C53C14" w:rsidRDefault="002C38C9">
            <w:pPr>
              <w:spacing w:line="360" w:lineRule="auto"/>
              <w:rPr>
                <w:sz w:val="20"/>
                <w:szCs w:val="20"/>
                <w:lang w:val="en-US"/>
              </w:rPr>
            </w:pPr>
            <w:r w:rsidRPr="00C53C14">
              <w:rPr>
                <w:sz w:val="20"/>
                <w:szCs w:val="20"/>
                <w:lang w:val="en-US"/>
              </w:rPr>
              <w:t>- Mortality</w:t>
            </w:r>
          </w:p>
          <w:p w14:paraId="6EDF2665" w14:textId="77777777" w:rsidR="00744659" w:rsidRPr="00C53C14" w:rsidRDefault="002C38C9">
            <w:pPr>
              <w:spacing w:line="360" w:lineRule="auto"/>
              <w:rPr>
                <w:sz w:val="20"/>
                <w:szCs w:val="20"/>
                <w:lang w:val="en-US"/>
              </w:rPr>
            </w:pPr>
            <w:r w:rsidRPr="00C53C14">
              <w:rPr>
                <w:sz w:val="20"/>
                <w:szCs w:val="20"/>
                <w:lang w:val="en-US"/>
              </w:rPr>
              <w:t>- Morbidity</w:t>
            </w:r>
          </w:p>
          <w:p w14:paraId="6EDF2666" w14:textId="77777777" w:rsidR="00744659" w:rsidRPr="00C53C14" w:rsidRDefault="002C38C9">
            <w:pPr>
              <w:spacing w:line="360" w:lineRule="auto"/>
              <w:rPr>
                <w:sz w:val="20"/>
                <w:szCs w:val="20"/>
                <w:lang w:val="en-US"/>
              </w:rPr>
            </w:pPr>
            <w:r w:rsidRPr="00C53C14">
              <w:rPr>
                <w:sz w:val="20"/>
                <w:szCs w:val="20"/>
                <w:lang w:val="en-US"/>
              </w:rPr>
              <w:t>- Admission to hospital</w:t>
            </w:r>
          </w:p>
        </w:tc>
      </w:tr>
      <w:tr w:rsidR="00744659" w:rsidRPr="00C53C14" w14:paraId="6EDF2671" w14:textId="77777777">
        <w:trPr>
          <w:trHeight w:val="360"/>
        </w:trPr>
        <w:tc>
          <w:tcPr>
            <w:tcW w:w="1559" w:type="dxa"/>
            <w:tcMar>
              <w:top w:w="100" w:type="dxa"/>
              <w:left w:w="100" w:type="dxa"/>
              <w:bottom w:w="100" w:type="dxa"/>
              <w:right w:w="100" w:type="dxa"/>
            </w:tcMar>
          </w:tcPr>
          <w:p w14:paraId="6EDF2668" w14:textId="77777777" w:rsidR="00744659" w:rsidRDefault="002C38C9">
            <w:pPr>
              <w:spacing w:line="360" w:lineRule="auto"/>
              <w:rPr>
                <w:i/>
                <w:sz w:val="20"/>
                <w:szCs w:val="20"/>
              </w:rPr>
            </w:pPr>
            <w:r>
              <w:rPr>
                <w:i/>
                <w:sz w:val="20"/>
                <w:szCs w:val="20"/>
              </w:rPr>
              <w:t>Carson (2011)</w:t>
            </w:r>
          </w:p>
          <w:p w14:paraId="6EDF2669"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66A" w14:textId="77777777" w:rsidR="00744659" w:rsidRPr="00C53C14" w:rsidRDefault="002C38C9">
            <w:pPr>
              <w:spacing w:line="360" w:lineRule="auto"/>
              <w:rPr>
                <w:sz w:val="20"/>
                <w:szCs w:val="20"/>
                <w:lang w:val="en-US"/>
              </w:rPr>
            </w:pPr>
            <w:r w:rsidRPr="00C53C14">
              <w:rPr>
                <w:sz w:val="20"/>
                <w:szCs w:val="20"/>
                <w:lang w:val="en-US"/>
              </w:rPr>
              <w:t>2016 adults with either a history of or risk factors for cardiovascular disease and whose Hb level was of 6.2 mmol/L after hip-fracture surgery</w:t>
            </w:r>
          </w:p>
        </w:tc>
        <w:tc>
          <w:tcPr>
            <w:tcW w:w="2126" w:type="dxa"/>
            <w:tcMar>
              <w:top w:w="100" w:type="dxa"/>
              <w:left w:w="100" w:type="dxa"/>
              <w:bottom w:w="100" w:type="dxa"/>
              <w:right w:w="100" w:type="dxa"/>
            </w:tcMar>
          </w:tcPr>
          <w:p w14:paraId="6EDF266B" w14:textId="77777777" w:rsidR="00744659" w:rsidRDefault="002C38C9">
            <w:pPr>
              <w:spacing w:line="360" w:lineRule="auto"/>
              <w:rPr>
                <w:sz w:val="20"/>
                <w:szCs w:val="20"/>
              </w:rPr>
            </w:pPr>
            <w:r>
              <w:rPr>
                <w:sz w:val="20"/>
                <w:szCs w:val="20"/>
              </w:rPr>
              <w:t>- 6.2 mmol/L</w:t>
            </w:r>
          </w:p>
        </w:tc>
        <w:tc>
          <w:tcPr>
            <w:tcW w:w="2127" w:type="dxa"/>
            <w:tcMar>
              <w:top w:w="100" w:type="dxa"/>
              <w:left w:w="100" w:type="dxa"/>
              <w:bottom w:w="100" w:type="dxa"/>
              <w:right w:w="100" w:type="dxa"/>
            </w:tcMar>
          </w:tcPr>
          <w:p w14:paraId="6EDF266C" w14:textId="77777777" w:rsidR="00744659" w:rsidRDefault="002C38C9">
            <w:pPr>
              <w:spacing w:line="360" w:lineRule="auto"/>
              <w:rPr>
                <w:sz w:val="20"/>
                <w:szCs w:val="20"/>
              </w:rPr>
            </w:pPr>
            <w:r>
              <w:rPr>
                <w:sz w:val="20"/>
                <w:szCs w:val="20"/>
              </w:rPr>
              <w:t>- 5.0 mmol/L</w:t>
            </w:r>
          </w:p>
        </w:tc>
        <w:tc>
          <w:tcPr>
            <w:tcW w:w="3118" w:type="dxa"/>
            <w:tcMar>
              <w:top w:w="100" w:type="dxa"/>
              <w:left w:w="100" w:type="dxa"/>
              <w:bottom w:w="100" w:type="dxa"/>
              <w:right w:w="100" w:type="dxa"/>
            </w:tcMar>
          </w:tcPr>
          <w:p w14:paraId="6EDF266D" w14:textId="77777777" w:rsidR="00744659" w:rsidRPr="00C53C14" w:rsidRDefault="002C38C9">
            <w:pPr>
              <w:spacing w:line="360" w:lineRule="auto"/>
              <w:rPr>
                <w:sz w:val="20"/>
                <w:szCs w:val="20"/>
                <w:lang w:val="en-US"/>
              </w:rPr>
            </w:pPr>
            <w:r w:rsidRPr="00C53C14">
              <w:rPr>
                <w:sz w:val="20"/>
                <w:szCs w:val="20"/>
                <w:lang w:val="en-US"/>
              </w:rPr>
              <w:t>- Mortality</w:t>
            </w:r>
          </w:p>
          <w:p w14:paraId="6EDF266E" w14:textId="77777777" w:rsidR="00744659" w:rsidRPr="00C53C14" w:rsidRDefault="002C38C9">
            <w:pPr>
              <w:spacing w:line="360" w:lineRule="auto"/>
              <w:rPr>
                <w:sz w:val="20"/>
                <w:szCs w:val="20"/>
                <w:lang w:val="en-US"/>
              </w:rPr>
            </w:pPr>
            <w:r w:rsidRPr="00C53C14">
              <w:rPr>
                <w:sz w:val="20"/>
                <w:szCs w:val="20"/>
                <w:lang w:val="en-US"/>
              </w:rPr>
              <w:t>- Morbidity</w:t>
            </w:r>
          </w:p>
          <w:p w14:paraId="6EDF266F" w14:textId="77777777" w:rsidR="00744659" w:rsidRPr="00C53C14" w:rsidRDefault="002C38C9">
            <w:pPr>
              <w:spacing w:line="360" w:lineRule="auto"/>
              <w:rPr>
                <w:sz w:val="20"/>
                <w:szCs w:val="20"/>
                <w:lang w:val="en-US"/>
              </w:rPr>
            </w:pPr>
            <w:r w:rsidRPr="00C53C14">
              <w:rPr>
                <w:sz w:val="20"/>
                <w:szCs w:val="20"/>
                <w:lang w:val="en-US"/>
              </w:rPr>
              <w:t>- Admission to hospital</w:t>
            </w:r>
          </w:p>
          <w:p w14:paraId="6EDF2670" w14:textId="77777777" w:rsidR="00744659" w:rsidRPr="00C53C14" w:rsidRDefault="002C38C9">
            <w:pPr>
              <w:spacing w:line="360" w:lineRule="auto"/>
              <w:rPr>
                <w:sz w:val="20"/>
                <w:szCs w:val="20"/>
                <w:lang w:val="en-US"/>
              </w:rPr>
            </w:pPr>
            <w:r w:rsidRPr="00C53C14">
              <w:rPr>
                <w:sz w:val="20"/>
                <w:szCs w:val="20"/>
                <w:lang w:val="en-US"/>
              </w:rPr>
              <w:t>- Quality of life</w:t>
            </w:r>
          </w:p>
        </w:tc>
      </w:tr>
    </w:tbl>
    <w:p w14:paraId="6EDF2672" w14:textId="77777777" w:rsidR="00744659" w:rsidRPr="00C53C14" w:rsidRDefault="00744659">
      <w:pPr>
        <w:spacing w:line="360" w:lineRule="auto"/>
        <w:rPr>
          <w:rFonts w:ascii="Calibri" w:eastAsia="Calibri" w:hAnsi="Calibri" w:cs="Calibri"/>
          <w:i/>
          <w:sz w:val="20"/>
          <w:szCs w:val="20"/>
          <w:lang w:val="en-US"/>
        </w:rPr>
      </w:pPr>
    </w:p>
    <w:p w14:paraId="6EDF2673" w14:textId="77777777" w:rsidR="00744659" w:rsidRDefault="002C38C9">
      <w:pPr>
        <w:spacing w:line="360" w:lineRule="auto"/>
        <w:rPr>
          <w:rFonts w:ascii="Calibri" w:eastAsia="Calibri" w:hAnsi="Calibri" w:cs="Calibri"/>
          <w:sz w:val="20"/>
          <w:szCs w:val="20"/>
          <w:u w:val="single"/>
        </w:rPr>
      </w:pPr>
      <w:r>
        <w:rPr>
          <w:rFonts w:ascii="Calibri" w:eastAsia="Calibri" w:hAnsi="Calibri" w:cs="Calibri"/>
          <w:sz w:val="20"/>
          <w:szCs w:val="20"/>
          <w:u w:val="single"/>
        </w:rPr>
        <w:t>A2.4: Excluded studies</w:t>
      </w:r>
    </w:p>
    <w:tbl>
      <w:tblPr>
        <w:tblStyle w:val="afc"/>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10064"/>
      </w:tblGrid>
      <w:tr w:rsidR="00744659" w14:paraId="6EDF2675" w14:textId="77777777">
        <w:trPr>
          <w:trHeight w:val="71"/>
        </w:trPr>
        <w:tc>
          <w:tcPr>
            <w:tcW w:w="11623" w:type="dxa"/>
            <w:gridSpan w:val="2"/>
            <w:shd w:val="clear" w:color="auto" w:fill="000000"/>
            <w:tcMar>
              <w:top w:w="100" w:type="dxa"/>
              <w:left w:w="100" w:type="dxa"/>
              <w:bottom w:w="100" w:type="dxa"/>
              <w:right w:w="100" w:type="dxa"/>
            </w:tcMar>
          </w:tcPr>
          <w:p w14:paraId="6EDF2674" w14:textId="77777777" w:rsidR="00744659" w:rsidRDefault="002C38C9">
            <w:pPr>
              <w:spacing w:line="360" w:lineRule="auto"/>
              <w:rPr>
                <w:b/>
                <w:color w:val="FFFFFF"/>
                <w:sz w:val="20"/>
                <w:szCs w:val="20"/>
              </w:rPr>
            </w:pPr>
            <w:r>
              <w:rPr>
                <w:b/>
                <w:color w:val="FFFFFF"/>
                <w:sz w:val="20"/>
                <w:szCs w:val="20"/>
              </w:rPr>
              <w:t>Excluded studies</w:t>
            </w:r>
          </w:p>
        </w:tc>
      </w:tr>
      <w:tr w:rsidR="00744659" w14:paraId="6EDF2678" w14:textId="77777777">
        <w:trPr>
          <w:trHeight w:val="179"/>
        </w:trPr>
        <w:tc>
          <w:tcPr>
            <w:tcW w:w="1559" w:type="dxa"/>
            <w:shd w:val="clear" w:color="auto" w:fill="D9D9D9"/>
            <w:tcMar>
              <w:top w:w="100" w:type="dxa"/>
              <w:left w:w="100" w:type="dxa"/>
              <w:bottom w:w="100" w:type="dxa"/>
              <w:right w:w="100" w:type="dxa"/>
            </w:tcMar>
          </w:tcPr>
          <w:p w14:paraId="6EDF2676" w14:textId="77777777" w:rsidR="00744659" w:rsidRDefault="002C38C9">
            <w:pPr>
              <w:spacing w:line="360" w:lineRule="auto"/>
              <w:rPr>
                <w:b/>
                <w:sz w:val="20"/>
                <w:szCs w:val="20"/>
              </w:rPr>
            </w:pPr>
            <w:r>
              <w:rPr>
                <w:b/>
                <w:sz w:val="20"/>
                <w:szCs w:val="20"/>
              </w:rPr>
              <w:t>Study</w:t>
            </w:r>
          </w:p>
        </w:tc>
        <w:tc>
          <w:tcPr>
            <w:tcW w:w="10064" w:type="dxa"/>
            <w:shd w:val="clear" w:color="auto" w:fill="D9D9D9"/>
            <w:tcMar>
              <w:top w:w="100" w:type="dxa"/>
              <w:left w:w="100" w:type="dxa"/>
              <w:bottom w:w="100" w:type="dxa"/>
              <w:right w:w="100" w:type="dxa"/>
            </w:tcMar>
          </w:tcPr>
          <w:p w14:paraId="6EDF2677" w14:textId="77777777" w:rsidR="00744659" w:rsidRDefault="002C38C9">
            <w:pPr>
              <w:spacing w:line="360" w:lineRule="auto"/>
              <w:rPr>
                <w:b/>
                <w:sz w:val="20"/>
                <w:szCs w:val="20"/>
              </w:rPr>
            </w:pPr>
            <w:r>
              <w:rPr>
                <w:b/>
                <w:sz w:val="20"/>
                <w:szCs w:val="20"/>
              </w:rPr>
              <w:t xml:space="preserve">Reasons for exclusion </w:t>
            </w:r>
          </w:p>
        </w:tc>
      </w:tr>
      <w:tr w:rsidR="00744659" w:rsidRPr="00C53C14" w14:paraId="6EDF267B" w14:textId="77777777">
        <w:trPr>
          <w:trHeight w:val="458"/>
        </w:trPr>
        <w:tc>
          <w:tcPr>
            <w:tcW w:w="1559" w:type="dxa"/>
            <w:tcMar>
              <w:top w:w="100" w:type="dxa"/>
              <w:left w:w="100" w:type="dxa"/>
              <w:bottom w:w="100" w:type="dxa"/>
              <w:right w:w="100" w:type="dxa"/>
            </w:tcMar>
          </w:tcPr>
          <w:p w14:paraId="6EDF2679" w14:textId="77777777" w:rsidR="00744659" w:rsidRDefault="002C38C9">
            <w:pPr>
              <w:spacing w:line="360" w:lineRule="auto"/>
              <w:rPr>
                <w:i/>
                <w:sz w:val="20"/>
                <w:szCs w:val="20"/>
              </w:rPr>
            </w:pPr>
            <w:r>
              <w:rPr>
                <w:i/>
                <w:sz w:val="20"/>
                <w:szCs w:val="20"/>
              </w:rPr>
              <w:t>Lacroix (2007)</w:t>
            </w:r>
          </w:p>
        </w:tc>
        <w:tc>
          <w:tcPr>
            <w:tcW w:w="10064" w:type="dxa"/>
            <w:tcMar>
              <w:top w:w="100" w:type="dxa"/>
              <w:left w:w="100" w:type="dxa"/>
              <w:bottom w:w="100" w:type="dxa"/>
              <w:right w:w="100" w:type="dxa"/>
            </w:tcMar>
          </w:tcPr>
          <w:p w14:paraId="6EDF267A" w14:textId="77777777" w:rsidR="00744659" w:rsidRPr="00C53C14" w:rsidRDefault="002C38C9">
            <w:pPr>
              <w:spacing w:line="360" w:lineRule="auto"/>
              <w:rPr>
                <w:sz w:val="20"/>
                <w:szCs w:val="20"/>
                <w:lang w:val="en-US"/>
              </w:rPr>
            </w:pPr>
            <w:r w:rsidRPr="00C53C14">
              <w:rPr>
                <w:sz w:val="20"/>
                <w:szCs w:val="20"/>
                <w:lang w:val="en-US"/>
              </w:rPr>
              <w:t>This study included children in general. For this section the subanalysis of Lacroix (2012) was included.</w:t>
            </w:r>
          </w:p>
        </w:tc>
      </w:tr>
      <w:tr w:rsidR="00744659" w:rsidRPr="00C53C14" w14:paraId="6EDF267E" w14:textId="77777777">
        <w:trPr>
          <w:trHeight w:val="458"/>
        </w:trPr>
        <w:tc>
          <w:tcPr>
            <w:tcW w:w="1559" w:type="dxa"/>
            <w:tcMar>
              <w:top w:w="100" w:type="dxa"/>
              <w:left w:w="100" w:type="dxa"/>
              <w:bottom w:w="100" w:type="dxa"/>
              <w:right w:w="100" w:type="dxa"/>
            </w:tcMar>
          </w:tcPr>
          <w:p w14:paraId="6EDF267C" w14:textId="77777777" w:rsidR="00744659" w:rsidRDefault="002C38C9">
            <w:pPr>
              <w:spacing w:line="360" w:lineRule="auto"/>
              <w:rPr>
                <w:i/>
                <w:sz w:val="20"/>
                <w:szCs w:val="20"/>
              </w:rPr>
            </w:pPr>
            <w:r>
              <w:rPr>
                <w:i/>
                <w:sz w:val="20"/>
                <w:szCs w:val="20"/>
              </w:rPr>
              <w:t>Lackritz (1992)</w:t>
            </w:r>
          </w:p>
        </w:tc>
        <w:tc>
          <w:tcPr>
            <w:tcW w:w="10064" w:type="dxa"/>
            <w:tcMar>
              <w:top w:w="100" w:type="dxa"/>
              <w:left w:w="100" w:type="dxa"/>
              <w:bottom w:w="100" w:type="dxa"/>
              <w:right w:w="100" w:type="dxa"/>
            </w:tcMar>
          </w:tcPr>
          <w:p w14:paraId="6EDF267D" w14:textId="77777777" w:rsidR="00744659" w:rsidRPr="00C53C14" w:rsidRDefault="002C38C9">
            <w:pPr>
              <w:spacing w:line="360" w:lineRule="auto"/>
              <w:rPr>
                <w:sz w:val="20"/>
                <w:szCs w:val="20"/>
                <w:lang w:val="en-US"/>
              </w:rPr>
            </w:pPr>
            <w:r w:rsidRPr="00C53C14">
              <w:rPr>
                <w:sz w:val="20"/>
                <w:szCs w:val="20"/>
                <w:lang w:val="en-US"/>
              </w:rPr>
              <w:t>This study included children in general and was included in the section “Children with cancer”.</w:t>
            </w:r>
          </w:p>
        </w:tc>
      </w:tr>
      <w:tr w:rsidR="00744659" w:rsidRPr="00C53C14" w14:paraId="6EDF2681" w14:textId="77777777">
        <w:trPr>
          <w:trHeight w:val="458"/>
        </w:trPr>
        <w:tc>
          <w:tcPr>
            <w:tcW w:w="1559" w:type="dxa"/>
            <w:tcMar>
              <w:top w:w="100" w:type="dxa"/>
              <w:left w:w="100" w:type="dxa"/>
              <w:bottom w:w="100" w:type="dxa"/>
              <w:right w:w="100" w:type="dxa"/>
            </w:tcMar>
          </w:tcPr>
          <w:p w14:paraId="6EDF267F" w14:textId="77777777" w:rsidR="00744659" w:rsidRDefault="002C38C9">
            <w:pPr>
              <w:spacing w:line="360" w:lineRule="auto"/>
              <w:rPr>
                <w:i/>
                <w:sz w:val="20"/>
                <w:szCs w:val="20"/>
              </w:rPr>
            </w:pPr>
            <w:r>
              <w:rPr>
                <w:i/>
                <w:sz w:val="20"/>
                <w:szCs w:val="20"/>
              </w:rPr>
              <w:t>Viele &amp; Weiskopf (1994)</w:t>
            </w:r>
          </w:p>
        </w:tc>
        <w:tc>
          <w:tcPr>
            <w:tcW w:w="10064" w:type="dxa"/>
            <w:tcMar>
              <w:top w:w="100" w:type="dxa"/>
              <w:left w:w="100" w:type="dxa"/>
              <w:bottom w:w="100" w:type="dxa"/>
              <w:right w:w="100" w:type="dxa"/>
            </w:tcMar>
          </w:tcPr>
          <w:p w14:paraId="6EDF2680" w14:textId="77777777" w:rsidR="00744659" w:rsidRPr="00C53C14" w:rsidRDefault="002C38C9">
            <w:pPr>
              <w:spacing w:line="360" w:lineRule="auto"/>
              <w:rPr>
                <w:sz w:val="20"/>
                <w:szCs w:val="20"/>
                <w:lang w:val="en-US"/>
              </w:rPr>
            </w:pPr>
            <w:r w:rsidRPr="00C53C14">
              <w:rPr>
                <w:sz w:val="20"/>
                <w:szCs w:val="20"/>
                <w:lang w:val="en-US"/>
              </w:rPr>
              <w:t>This study included adults in general and was included in the section “Children with cancer”.</w:t>
            </w:r>
          </w:p>
        </w:tc>
      </w:tr>
      <w:tr w:rsidR="00744659" w:rsidRPr="00C53C14" w14:paraId="6EDF2684" w14:textId="77777777">
        <w:trPr>
          <w:trHeight w:val="458"/>
        </w:trPr>
        <w:tc>
          <w:tcPr>
            <w:tcW w:w="1559" w:type="dxa"/>
            <w:tcMar>
              <w:top w:w="100" w:type="dxa"/>
              <w:left w:w="100" w:type="dxa"/>
              <w:bottom w:w="100" w:type="dxa"/>
              <w:right w:w="100" w:type="dxa"/>
            </w:tcMar>
          </w:tcPr>
          <w:p w14:paraId="6EDF2682" w14:textId="77777777" w:rsidR="00744659" w:rsidRDefault="002C38C9">
            <w:pPr>
              <w:spacing w:line="360" w:lineRule="auto"/>
              <w:rPr>
                <w:i/>
                <w:sz w:val="20"/>
                <w:szCs w:val="20"/>
              </w:rPr>
            </w:pPr>
            <w:r>
              <w:rPr>
                <w:i/>
                <w:sz w:val="20"/>
                <w:szCs w:val="20"/>
              </w:rPr>
              <w:t>Carson (2002)</w:t>
            </w:r>
          </w:p>
        </w:tc>
        <w:tc>
          <w:tcPr>
            <w:tcW w:w="10064" w:type="dxa"/>
            <w:tcMar>
              <w:top w:w="100" w:type="dxa"/>
              <w:left w:w="100" w:type="dxa"/>
              <w:bottom w:w="100" w:type="dxa"/>
              <w:right w:w="100" w:type="dxa"/>
            </w:tcMar>
          </w:tcPr>
          <w:p w14:paraId="6EDF2683" w14:textId="77777777" w:rsidR="00744659" w:rsidRPr="00C53C14" w:rsidRDefault="002C38C9">
            <w:pPr>
              <w:spacing w:line="360" w:lineRule="auto"/>
              <w:rPr>
                <w:sz w:val="20"/>
                <w:szCs w:val="20"/>
                <w:lang w:val="en-US"/>
              </w:rPr>
            </w:pPr>
            <w:r w:rsidRPr="00C53C14">
              <w:rPr>
                <w:sz w:val="20"/>
                <w:szCs w:val="20"/>
                <w:lang w:val="en-US"/>
              </w:rPr>
              <w:t>This study included adults in general and was included in the section “Children with cancer”.</w:t>
            </w:r>
          </w:p>
        </w:tc>
      </w:tr>
      <w:tr w:rsidR="00744659" w:rsidRPr="00C53C14" w14:paraId="6EDF2687" w14:textId="77777777">
        <w:trPr>
          <w:trHeight w:val="458"/>
        </w:trPr>
        <w:tc>
          <w:tcPr>
            <w:tcW w:w="1559" w:type="dxa"/>
            <w:tcMar>
              <w:top w:w="100" w:type="dxa"/>
              <w:left w:w="100" w:type="dxa"/>
              <w:bottom w:w="100" w:type="dxa"/>
              <w:right w:w="100" w:type="dxa"/>
            </w:tcMar>
          </w:tcPr>
          <w:p w14:paraId="6EDF2685" w14:textId="77777777" w:rsidR="00744659" w:rsidRDefault="002C38C9">
            <w:pPr>
              <w:spacing w:line="360" w:lineRule="auto"/>
              <w:rPr>
                <w:i/>
                <w:sz w:val="20"/>
                <w:szCs w:val="20"/>
              </w:rPr>
            </w:pPr>
            <w:r>
              <w:rPr>
                <w:i/>
                <w:sz w:val="20"/>
                <w:szCs w:val="20"/>
              </w:rPr>
              <w:t>Shander (2014)</w:t>
            </w:r>
          </w:p>
        </w:tc>
        <w:tc>
          <w:tcPr>
            <w:tcW w:w="10064" w:type="dxa"/>
            <w:tcMar>
              <w:top w:w="100" w:type="dxa"/>
              <w:left w:w="100" w:type="dxa"/>
              <w:bottom w:w="100" w:type="dxa"/>
              <w:right w:w="100" w:type="dxa"/>
            </w:tcMar>
          </w:tcPr>
          <w:p w14:paraId="6EDF2686" w14:textId="77777777" w:rsidR="00744659" w:rsidRPr="00C53C14" w:rsidRDefault="002C38C9">
            <w:pPr>
              <w:spacing w:line="360" w:lineRule="auto"/>
              <w:rPr>
                <w:sz w:val="20"/>
                <w:szCs w:val="20"/>
                <w:lang w:val="en-US"/>
              </w:rPr>
            </w:pPr>
            <w:r w:rsidRPr="00C53C14">
              <w:rPr>
                <w:sz w:val="20"/>
                <w:szCs w:val="20"/>
                <w:lang w:val="en-US"/>
              </w:rPr>
              <w:t>This study included adults in general and was included in the section “Children with cancer”.</w:t>
            </w:r>
          </w:p>
        </w:tc>
      </w:tr>
      <w:tr w:rsidR="00744659" w:rsidRPr="00C53C14" w14:paraId="6EDF268A" w14:textId="77777777">
        <w:trPr>
          <w:trHeight w:val="458"/>
        </w:trPr>
        <w:tc>
          <w:tcPr>
            <w:tcW w:w="1559" w:type="dxa"/>
            <w:tcMar>
              <w:top w:w="100" w:type="dxa"/>
              <w:left w:w="100" w:type="dxa"/>
              <w:bottom w:w="100" w:type="dxa"/>
              <w:right w:w="100" w:type="dxa"/>
            </w:tcMar>
          </w:tcPr>
          <w:p w14:paraId="6EDF2688" w14:textId="77777777" w:rsidR="00744659" w:rsidRDefault="002C38C9">
            <w:pPr>
              <w:spacing w:line="360" w:lineRule="auto"/>
              <w:rPr>
                <w:i/>
                <w:sz w:val="20"/>
                <w:szCs w:val="20"/>
              </w:rPr>
            </w:pPr>
            <w:r>
              <w:rPr>
                <w:i/>
                <w:sz w:val="20"/>
                <w:szCs w:val="20"/>
              </w:rPr>
              <w:t>Carson (2012)</w:t>
            </w:r>
          </w:p>
        </w:tc>
        <w:tc>
          <w:tcPr>
            <w:tcW w:w="10064" w:type="dxa"/>
            <w:tcMar>
              <w:top w:w="100" w:type="dxa"/>
              <w:left w:w="100" w:type="dxa"/>
              <w:bottom w:w="100" w:type="dxa"/>
              <w:right w:w="100" w:type="dxa"/>
            </w:tcMar>
          </w:tcPr>
          <w:p w14:paraId="6EDF2689" w14:textId="77777777" w:rsidR="00744659" w:rsidRPr="00C53C14" w:rsidRDefault="002C38C9">
            <w:pPr>
              <w:spacing w:line="360" w:lineRule="auto"/>
              <w:rPr>
                <w:sz w:val="20"/>
                <w:szCs w:val="20"/>
                <w:lang w:val="en-US"/>
              </w:rPr>
            </w:pPr>
            <w:r w:rsidRPr="00C53C14">
              <w:rPr>
                <w:sz w:val="20"/>
                <w:szCs w:val="20"/>
                <w:lang w:val="en-US"/>
              </w:rPr>
              <w:t>This study included adults in general and was included in the section “Children with cancer”.</w:t>
            </w:r>
          </w:p>
        </w:tc>
      </w:tr>
      <w:tr w:rsidR="00744659" w:rsidRPr="00C53C14" w14:paraId="6EDF268D" w14:textId="77777777">
        <w:trPr>
          <w:trHeight w:val="458"/>
        </w:trPr>
        <w:tc>
          <w:tcPr>
            <w:tcW w:w="1559" w:type="dxa"/>
            <w:tcMar>
              <w:top w:w="100" w:type="dxa"/>
              <w:left w:w="100" w:type="dxa"/>
              <w:bottom w:w="100" w:type="dxa"/>
              <w:right w:w="100" w:type="dxa"/>
            </w:tcMar>
          </w:tcPr>
          <w:p w14:paraId="6EDF268B" w14:textId="77777777" w:rsidR="00744659" w:rsidRDefault="002C38C9">
            <w:pPr>
              <w:spacing w:line="360" w:lineRule="auto"/>
              <w:rPr>
                <w:i/>
                <w:sz w:val="20"/>
                <w:szCs w:val="20"/>
              </w:rPr>
            </w:pPr>
            <w:r>
              <w:rPr>
                <w:i/>
                <w:sz w:val="20"/>
                <w:szCs w:val="20"/>
              </w:rPr>
              <w:t>BCSH (2013)</w:t>
            </w:r>
          </w:p>
        </w:tc>
        <w:tc>
          <w:tcPr>
            <w:tcW w:w="10064" w:type="dxa"/>
            <w:tcMar>
              <w:top w:w="100" w:type="dxa"/>
              <w:left w:w="100" w:type="dxa"/>
              <w:bottom w:w="100" w:type="dxa"/>
              <w:right w:w="100" w:type="dxa"/>
            </w:tcMar>
          </w:tcPr>
          <w:p w14:paraId="6EDF268C" w14:textId="77777777" w:rsidR="00744659" w:rsidRPr="00C53C14" w:rsidRDefault="002C38C9">
            <w:pPr>
              <w:spacing w:line="360" w:lineRule="auto"/>
              <w:rPr>
                <w:sz w:val="20"/>
                <w:szCs w:val="20"/>
                <w:lang w:val="en-US"/>
              </w:rPr>
            </w:pPr>
            <w:r w:rsidRPr="00C53C14">
              <w:rPr>
                <w:sz w:val="20"/>
                <w:szCs w:val="20"/>
                <w:lang w:val="en-US"/>
              </w:rPr>
              <w:t xml:space="preserve">This is a former guideline from the BCSH group and was thus not included. </w:t>
            </w:r>
          </w:p>
        </w:tc>
      </w:tr>
      <w:tr w:rsidR="00744659" w:rsidRPr="00C53C14" w14:paraId="6EDF2690" w14:textId="77777777">
        <w:trPr>
          <w:trHeight w:val="458"/>
        </w:trPr>
        <w:tc>
          <w:tcPr>
            <w:tcW w:w="1559" w:type="dxa"/>
            <w:tcMar>
              <w:top w:w="100" w:type="dxa"/>
              <w:left w:w="100" w:type="dxa"/>
              <w:bottom w:w="100" w:type="dxa"/>
              <w:right w:w="100" w:type="dxa"/>
            </w:tcMar>
          </w:tcPr>
          <w:p w14:paraId="6EDF268E" w14:textId="77777777" w:rsidR="00744659" w:rsidRDefault="002C38C9">
            <w:pPr>
              <w:spacing w:line="360" w:lineRule="auto"/>
              <w:rPr>
                <w:i/>
                <w:sz w:val="20"/>
                <w:szCs w:val="20"/>
              </w:rPr>
            </w:pPr>
            <w:r>
              <w:rPr>
                <w:i/>
                <w:sz w:val="20"/>
                <w:szCs w:val="20"/>
              </w:rPr>
              <w:t>Hébert (1999)</w:t>
            </w:r>
          </w:p>
        </w:tc>
        <w:tc>
          <w:tcPr>
            <w:tcW w:w="10064" w:type="dxa"/>
            <w:tcMar>
              <w:top w:w="100" w:type="dxa"/>
              <w:left w:w="100" w:type="dxa"/>
              <w:bottom w:w="100" w:type="dxa"/>
              <w:right w:w="100" w:type="dxa"/>
            </w:tcMar>
          </w:tcPr>
          <w:p w14:paraId="6EDF268F" w14:textId="77777777" w:rsidR="00744659" w:rsidRPr="00C53C14" w:rsidRDefault="002C38C9">
            <w:pPr>
              <w:tabs>
                <w:tab w:val="left" w:pos="2252"/>
              </w:tabs>
              <w:spacing w:line="360" w:lineRule="auto"/>
              <w:rPr>
                <w:sz w:val="20"/>
                <w:szCs w:val="20"/>
                <w:lang w:val="en-US"/>
              </w:rPr>
            </w:pPr>
            <w:r w:rsidRPr="00C53C14">
              <w:rPr>
                <w:sz w:val="20"/>
                <w:szCs w:val="20"/>
                <w:lang w:val="en-US"/>
              </w:rPr>
              <w:t>This study included adults in general and was included in the section “Children with cancer”.</w:t>
            </w:r>
          </w:p>
        </w:tc>
      </w:tr>
    </w:tbl>
    <w:p w14:paraId="6EDF2691" w14:textId="77777777" w:rsidR="00744659" w:rsidRPr="00C53C14" w:rsidRDefault="00744659">
      <w:pPr>
        <w:spacing w:line="360" w:lineRule="auto"/>
        <w:rPr>
          <w:rFonts w:ascii="Calibri" w:eastAsia="Calibri" w:hAnsi="Calibri" w:cs="Calibri"/>
          <w:i/>
          <w:sz w:val="20"/>
          <w:szCs w:val="20"/>
          <w:lang w:val="en-US"/>
        </w:rPr>
      </w:pPr>
    </w:p>
    <w:p w14:paraId="6EDF2692"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693"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B1.1: Hb of 4.3 mmol/L versus Hb greater than 4.3 mmol/L</w:t>
      </w:r>
    </w:p>
    <w:tbl>
      <w:tblPr>
        <w:tblStyle w:val="afd"/>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3964"/>
        <w:gridCol w:w="2835"/>
        <w:gridCol w:w="2552"/>
      </w:tblGrid>
      <w:tr w:rsidR="00744659" w14:paraId="6EDF2697"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8" w:space="0" w:color="FFFFFF"/>
            </w:tcBorders>
          </w:tcPr>
          <w:p w14:paraId="6EDF2694" w14:textId="77777777" w:rsidR="00744659" w:rsidRDefault="002C38C9">
            <w:pPr>
              <w:spacing w:line="360" w:lineRule="auto"/>
              <w:rPr>
                <w:sz w:val="20"/>
                <w:szCs w:val="20"/>
              </w:rPr>
            </w:pPr>
            <w:r>
              <w:rPr>
                <w:sz w:val="20"/>
                <w:szCs w:val="20"/>
              </w:rPr>
              <w:t>Conclusion of evidence</w:t>
            </w:r>
          </w:p>
        </w:tc>
        <w:tc>
          <w:tcPr>
            <w:tcW w:w="2835" w:type="dxa"/>
            <w:tcBorders>
              <w:top w:val="single" w:sz="8" w:space="0" w:color="FFFFFF"/>
            </w:tcBorders>
          </w:tcPr>
          <w:p w14:paraId="6EDF2695"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552" w:type="dxa"/>
            <w:tcBorders>
              <w:top w:val="single" w:sz="8" w:space="0" w:color="FFFFFF"/>
            </w:tcBorders>
          </w:tcPr>
          <w:p w14:paraId="6EDF2696"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699"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698"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69D"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69A" w14:textId="77777777" w:rsidR="00744659" w:rsidRDefault="002C38C9">
            <w:pPr>
              <w:spacing w:line="360" w:lineRule="auto"/>
              <w:rPr>
                <w:sz w:val="20"/>
                <w:szCs w:val="20"/>
              </w:rPr>
            </w:pPr>
            <w:r>
              <w:rPr>
                <w:b w:val="0"/>
                <w:sz w:val="20"/>
                <w:szCs w:val="20"/>
              </w:rPr>
              <w:lastRenderedPageBreak/>
              <w:t>No studies</w:t>
            </w:r>
          </w:p>
        </w:tc>
        <w:tc>
          <w:tcPr>
            <w:tcW w:w="2835" w:type="dxa"/>
            <w:shd w:val="clear" w:color="auto" w:fill="auto"/>
          </w:tcPr>
          <w:p w14:paraId="6EDF269B"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552" w:type="dxa"/>
            <w:shd w:val="clear" w:color="auto" w:fill="auto"/>
          </w:tcPr>
          <w:p w14:paraId="6EDF269C"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69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69E"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6A1" w14:textId="77777777" w:rsidTr="00744659">
        <w:trPr>
          <w:trHeight w:val="18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6A0" w14:textId="77777777" w:rsidR="00744659" w:rsidRDefault="002C38C9">
            <w:pPr>
              <w:spacing w:line="360" w:lineRule="auto"/>
              <w:rPr>
                <w:sz w:val="20"/>
                <w:szCs w:val="20"/>
                <w:u w:val="single"/>
              </w:rPr>
            </w:pPr>
            <w:r>
              <w:rPr>
                <w:b w:val="0"/>
                <w:sz w:val="20"/>
                <w:szCs w:val="20"/>
                <w:u w:val="single"/>
              </w:rPr>
              <w:t>Mortality</w:t>
            </w:r>
          </w:p>
        </w:tc>
      </w:tr>
      <w:tr w:rsidR="00744659" w14:paraId="6EDF26A5"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6A2" w14:textId="77777777" w:rsidR="00744659" w:rsidRPr="00C53C14" w:rsidRDefault="002C38C9">
            <w:pPr>
              <w:spacing w:line="360" w:lineRule="auto"/>
              <w:rPr>
                <w:sz w:val="20"/>
                <w:szCs w:val="20"/>
                <w:lang w:val="en-US"/>
              </w:rPr>
            </w:pPr>
            <w:r w:rsidRPr="00C53C14">
              <w:rPr>
                <w:b w:val="0"/>
                <w:sz w:val="20"/>
                <w:szCs w:val="20"/>
                <w:lang w:val="en-US"/>
              </w:rPr>
              <w:t xml:space="preserve">No significant differences regarding mortality when comparing an Hb of 4.3 mmol/L with 5.0 mmol/L. </w:t>
            </w:r>
          </w:p>
        </w:tc>
        <w:tc>
          <w:tcPr>
            <w:tcW w:w="2835" w:type="dxa"/>
            <w:shd w:val="clear" w:color="auto" w:fill="auto"/>
          </w:tcPr>
          <w:p w14:paraId="6EDF26A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0.98 (95% CI 0.14 - 6.77)*</w:t>
            </w:r>
          </w:p>
        </w:tc>
        <w:tc>
          <w:tcPr>
            <w:tcW w:w="2552" w:type="dxa"/>
            <w:shd w:val="clear" w:color="auto" w:fill="auto"/>
          </w:tcPr>
          <w:p w14:paraId="6EDF26A4"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Very low**</w:t>
            </w:r>
            <w:r>
              <w:rPr>
                <w:sz w:val="20"/>
                <w:szCs w:val="20"/>
              </w:rPr>
              <w:t xml:space="preserve"> / Willems 2010</w:t>
            </w:r>
          </w:p>
        </w:tc>
      </w:tr>
      <w:tr w:rsidR="00744659" w14:paraId="6EDF26A7"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6A6" w14:textId="77777777" w:rsidR="00744659" w:rsidRDefault="002C38C9">
            <w:pPr>
              <w:spacing w:line="360" w:lineRule="auto"/>
              <w:rPr>
                <w:sz w:val="20"/>
                <w:szCs w:val="20"/>
                <w:u w:val="single"/>
              </w:rPr>
            </w:pPr>
            <w:r>
              <w:rPr>
                <w:b w:val="0"/>
                <w:sz w:val="20"/>
                <w:szCs w:val="20"/>
                <w:u w:val="single"/>
              </w:rPr>
              <w:t>Morbidity</w:t>
            </w:r>
          </w:p>
        </w:tc>
      </w:tr>
      <w:tr w:rsidR="00744659" w14:paraId="6EDF26A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6A8" w14:textId="77777777" w:rsidR="00744659" w:rsidRPr="00C53C14" w:rsidRDefault="002C38C9">
            <w:pPr>
              <w:spacing w:line="360" w:lineRule="auto"/>
              <w:rPr>
                <w:sz w:val="20"/>
                <w:szCs w:val="20"/>
                <w:lang w:val="en-US"/>
              </w:rPr>
            </w:pPr>
            <w:r w:rsidRPr="00C53C14">
              <w:rPr>
                <w:b w:val="0"/>
                <w:sz w:val="20"/>
                <w:szCs w:val="20"/>
                <w:lang w:val="en-US"/>
              </w:rPr>
              <w:t xml:space="preserve">No significant differences regarding morbidity when comparing an Hb of 4.3 mmol/L with 5.0 mmol/L. </w:t>
            </w:r>
          </w:p>
        </w:tc>
        <w:tc>
          <w:tcPr>
            <w:tcW w:w="2835" w:type="dxa"/>
            <w:shd w:val="clear" w:color="auto" w:fill="auto"/>
          </w:tcPr>
          <w:p w14:paraId="6EDF26A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0.99 (95% CI 0.64 - 1.54)</w:t>
            </w:r>
          </w:p>
          <w:p w14:paraId="6EDF26AA"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p w14:paraId="6EDF26AB"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1.97 (95% CI 0.62 - 6.20)</w:t>
            </w:r>
          </w:p>
        </w:tc>
        <w:tc>
          <w:tcPr>
            <w:tcW w:w="2552" w:type="dxa"/>
            <w:shd w:val="clear" w:color="auto" w:fill="auto"/>
          </w:tcPr>
          <w:p w14:paraId="6EDF26AC"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Very low**</w:t>
            </w:r>
            <w:r w:rsidRPr="00C53C14">
              <w:rPr>
                <w:sz w:val="20"/>
                <w:szCs w:val="20"/>
                <w:lang w:val="en-US"/>
              </w:rPr>
              <w:t xml:space="preserve"> / Lacroix 2012 (respiratory distress)</w:t>
            </w:r>
          </w:p>
          <w:p w14:paraId="6EDF26AD"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Very low**</w:t>
            </w:r>
            <w:r>
              <w:rPr>
                <w:sz w:val="20"/>
                <w:szCs w:val="20"/>
              </w:rPr>
              <w:t xml:space="preserve"> / Willems 2010</w:t>
            </w:r>
          </w:p>
        </w:tc>
      </w:tr>
      <w:tr w:rsidR="00744659" w14:paraId="6EDF26B0"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6AF" w14:textId="77777777" w:rsidR="00744659" w:rsidRDefault="002C38C9">
            <w:pPr>
              <w:spacing w:line="360" w:lineRule="auto"/>
              <w:rPr>
                <w:sz w:val="20"/>
                <w:szCs w:val="20"/>
                <w:u w:val="single"/>
              </w:rPr>
            </w:pPr>
            <w:r>
              <w:rPr>
                <w:b w:val="0"/>
                <w:sz w:val="20"/>
                <w:szCs w:val="20"/>
                <w:u w:val="single"/>
              </w:rPr>
              <w:t>Admission to hospital</w:t>
            </w:r>
          </w:p>
        </w:tc>
      </w:tr>
      <w:tr w:rsidR="00744659" w:rsidRPr="00C53C14" w14:paraId="6EDF26B6"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6B1" w14:textId="77777777" w:rsidR="00744659" w:rsidRPr="00C53C14" w:rsidRDefault="002C38C9">
            <w:pPr>
              <w:spacing w:line="360" w:lineRule="auto"/>
              <w:rPr>
                <w:sz w:val="20"/>
                <w:szCs w:val="20"/>
                <w:lang w:val="en-US"/>
              </w:rPr>
            </w:pPr>
            <w:r w:rsidRPr="00C53C14">
              <w:rPr>
                <w:b w:val="0"/>
                <w:sz w:val="20"/>
                <w:szCs w:val="20"/>
                <w:lang w:val="en-US"/>
              </w:rPr>
              <w:t xml:space="preserve">No significant differences regarding admission to hospital when comparing an Hb of 4.3 mmol/L with 5.0 mmol/L. </w:t>
            </w:r>
          </w:p>
        </w:tc>
        <w:tc>
          <w:tcPr>
            <w:tcW w:w="2835" w:type="dxa"/>
            <w:shd w:val="clear" w:color="auto" w:fill="auto"/>
          </w:tcPr>
          <w:p w14:paraId="6EDF26B2"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MD 0.10 (95% CI -0.78 - 0.98) </w:t>
            </w:r>
          </w:p>
          <w:p w14:paraId="6EDF26B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MD -0.40 (95% CI -2.42 - 1.62)*</w:t>
            </w:r>
          </w:p>
        </w:tc>
        <w:tc>
          <w:tcPr>
            <w:tcW w:w="2552" w:type="dxa"/>
            <w:shd w:val="clear" w:color="auto" w:fill="auto"/>
          </w:tcPr>
          <w:p w14:paraId="6EDF26B4"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Very low**</w:t>
            </w:r>
            <w:r w:rsidRPr="00C53C14">
              <w:rPr>
                <w:sz w:val="20"/>
                <w:szCs w:val="20"/>
                <w:lang w:val="en-US"/>
              </w:rPr>
              <w:t xml:space="preserve"> / Lacroix 2012</w:t>
            </w:r>
          </w:p>
          <w:p w14:paraId="6EDF26B5"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Very low**</w:t>
            </w:r>
            <w:r w:rsidRPr="00C53C14">
              <w:rPr>
                <w:sz w:val="20"/>
                <w:szCs w:val="20"/>
                <w:lang w:val="en-US"/>
              </w:rPr>
              <w:t xml:space="preserve"> / Willems 2010</w:t>
            </w:r>
          </w:p>
        </w:tc>
      </w:tr>
      <w:tr w:rsidR="00744659" w:rsidRPr="00C53C14" w14:paraId="6EDF26B8"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6B7"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6B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6B9" w14:textId="77777777" w:rsidR="00744659" w:rsidRDefault="002C38C9">
            <w:pPr>
              <w:spacing w:line="360" w:lineRule="auto"/>
              <w:rPr>
                <w:sz w:val="20"/>
                <w:szCs w:val="20"/>
              </w:rPr>
            </w:pPr>
            <w:r>
              <w:rPr>
                <w:b w:val="0"/>
                <w:sz w:val="20"/>
                <w:szCs w:val="20"/>
                <w:u w:val="single"/>
              </w:rPr>
              <w:t>Mortality</w:t>
            </w:r>
          </w:p>
        </w:tc>
      </w:tr>
      <w:tr w:rsidR="00744659" w14:paraId="6EDF26BE"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6BB" w14:textId="77777777" w:rsidR="00744659" w:rsidRPr="00C53C14" w:rsidRDefault="002C38C9">
            <w:pPr>
              <w:spacing w:line="360" w:lineRule="auto"/>
              <w:rPr>
                <w:sz w:val="20"/>
                <w:szCs w:val="20"/>
                <w:lang w:val="en-US"/>
              </w:rPr>
            </w:pPr>
            <w:r w:rsidRPr="00C53C14">
              <w:rPr>
                <w:b w:val="0"/>
                <w:sz w:val="20"/>
                <w:szCs w:val="20"/>
                <w:lang w:val="en-US"/>
              </w:rPr>
              <w:t xml:space="preserve">No significant differences regarding mortality when comparing an Hb of 4.3 mmol/L with 5.0 mmol/L. </w:t>
            </w:r>
          </w:p>
        </w:tc>
        <w:tc>
          <w:tcPr>
            <w:tcW w:w="2835" w:type="dxa"/>
            <w:shd w:val="clear" w:color="auto" w:fill="auto"/>
          </w:tcPr>
          <w:p w14:paraId="6EDF26BC"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None died (not estimable)</w:t>
            </w:r>
          </w:p>
        </w:tc>
        <w:tc>
          <w:tcPr>
            <w:tcW w:w="2552" w:type="dxa"/>
            <w:shd w:val="clear" w:color="auto" w:fill="auto"/>
          </w:tcPr>
          <w:p w14:paraId="6EDF26BD"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i/>
                <w:sz w:val="20"/>
                <w:szCs w:val="20"/>
              </w:rPr>
              <w:t>Very low**</w:t>
            </w:r>
            <w:r>
              <w:rPr>
                <w:sz w:val="20"/>
                <w:szCs w:val="20"/>
              </w:rPr>
              <w:t xml:space="preserve"> / Carson 2002</w:t>
            </w:r>
          </w:p>
        </w:tc>
      </w:tr>
    </w:tbl>
    <w:p w14:paraId="6EDF26BF"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Results could not be pooled due to different study populations or outcome measures. </w:t>
      </w:r>
    </w:p>
    <w:p w14:paraId="6EDF26C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6C1" w14:textId="77777777" w:rsidR="00744659" w:rsidRPr="00C53C14" w:rsidRDefault="00744659">
      <w:pPr>
        <w:spacing w:line="360" w:lineRule="auto"/>
        <w:rPr>
          <w:rFonts w:ascii="Calibri" w:eastAsia="Calibri" w:hAnsi="Calibri" w:cs="Calibri"/>
          <w:sz w:val="20"/>
          <w:szCs w:val="20"/>
          <w:lang w:val="en-US"/>
        </w:rPr>
      </w:pPr>
    </w:p>
    <w:p w14:paraId="6EDF26C2"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B1.2: Hb of 5.0 mmol/L versus Hb greater than 5.0 mmol/L</w:t>
      </w:r>
    </w:p>
    <w:tbl>
      <w:tblPr>
        <w:tblStyle w:val="afe"/>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3964"/>
        <w:gridCol w:w="2835"/>
        <w:gridCol w:w="2552"/>
      </w:tblGrid>
      <w:tr w:rsidR="00744659" w14:paraId="6EDF26C6"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8" w:space="0" w:color="FFFFFF"/>
            </w:tcBorders>
          </w:tcPr>
          <w:p w14:paraId="6EDF26C3" w14:textId="77777777" w:rsidR="00744659" w:rsidRDefault="002C38C9">
            <w:pPr>
              <w:spacing w:line="360" w:lineRule="auto"/>
              <w:rPr>
                <w:sz w:val="20"/>
                <w:szCs w:val="20"/>
              </w:rPr>
            </w:pPr>
            <w:r>
              <w:rPr>
                <w:sz w:val="20"/>
                <w:szCs w:val="20"/>
              </w:rPr>
              <w:t>Conclusion of evidence</w:t>
            </w:r>
          </w:p>
        </w:tc>
        <w:tc>
          <w:tcPr>
            <w:tcW w:w="2835" w:type="dxa"/>
            <w:tcBorders>
              <w:top w:val="single" w:sz="8" w:space="0" w:color="FFFFFF"/>
            </w:tcBorders>
          </w:tcPr>
          <w:p w14:paraId="6EDF26C4"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552" w:type="dxa"/>
            <w:tcBorders>
              <w:top w:val="single" w:sz="8" w:space="0" w:color="FFFFFF"/>
            </w:tcBorders>
          </w:tcPr>
          <w:p w14:paraId="6EDF26C5"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6C8"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6C7"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6CC"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6C9" w14:textId="77777777" w:rsidR="00744659" w:rsidRDefault="002C38C9">
            <w:pPr>
              <w:spacing w:line="360" w:lineRule="auto"/>
              <w:rPr>
                <w:sz w:val="20"/>
                <w:szCs w:val="20"/>
              </w:rPr>
            </w:pPr>
            <w:r>
              <w:rPr>
                <w:b w:val="0"/>
                <w:sz w:val="20"/>
                <w:szCs w:val="20"/>
              </w:rPr>
              <w:t>No studies</w:t>
            </w:r>
          </w:p>
        </w:tc>
        <w:tc>
          <w:tcPr>
            <w:tcW w:w="2835" w:type="dxa"/>
            <w:shd w:val="clear" w:color="auto" w:fill="auto"/>
          </w:tcPr>
          <w:p w14:paraId="6EDF26CA"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552" w:type="dxa"/>
            <w:shd w:val="clear" w:color="auto" w:fill="auto"/>
          </w:tcPr>
          <w:p w14:paraId="6EDF26CB"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6C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6CD"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6D2"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6CF" w14:textId="77777777" w:rsidR="00744659" w:rsidRDefault="002C38C9">
            <w:pPr>
              <w:spacing w:line="360" w:lineRule="auto"/>
              <w:rPr>
                <w:sz w:val="20"/>
                <w:szCs w:val="20"/>
              </w:rPr>
            </w:pPr>
            <w:r>
              <w:rPr>
                <w:b w:val="0"/>
                <w:sz w:val="20"/>
                <w:szCs w:val="20"/>
              </w:rPr>
              <w:lastRenderedPageBreak/>
              <w:t>No studies</w:t>
            </w:r>
          </w:p>
        </w:tc>
        <w:tc>
          <w:tcPr>
            <w:tcW w:w="2835" w:type="dxa"/>
            <w:shd w:val="clear" w:color="auto" w:fill="auto"/>
          </w:tcPr>
          <w:p w14:paraId="6EDF26D0"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552" w:type="dxa"/>
            <w:shd w:val="clear" w:color="auto" w:fill="auto"/>
          </w:tcPr>
          <w:p w14:paraId="6EDF26D1"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6D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6D3"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6D6"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6D5" w14:textId="77777777" w:rsidR="00744659" w:rsidRDefault="002C38C9">
            <w:pPr>
              <w:spacing w:line="360" w:lineRule="auto"/>
              <w:rPr>
                <w:sz w:val="20"/>
                <w:szCs w:val="20"/>
                <w:u w:val="single"/>
              </w:rPr>
            </w:pPr>
            <w:r>
              <w:rPr>
                <w:b w:val="0"/>
                <w:sz w:val="20"/>
                <w:szCs w:val="20"/>
                <w:u w:val="single"/>
              </w:rPr>
              <w:t>Mortality</w:t>
            </w:r>
          </w:p>
        </w:tc>
      </w:tr>
      <w:tr w:rsidR="00744659" w:rsidRPr="00C53C14" w14:paraId="6EDF26DC"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6D7" w14:textId="77777777" w:rsidR="00744659" w:rsidRPr="00C53C14" w:rsidRDefault="002C38C9">
            <w:pPr>
              <w:spacing w:line="360" w:lineRule="auto"/>
              <w:rPr>
                <w:sz w:val="20"/>
                <w:szCs w:val="20"/>
                <w:lang w:val="en-US"/>
              </w:rPr>
            </w:pPr>
            <w:r w:rsidRPr="00C53C14">
              <w:rPr>
                <w:b w:val="0"/>
                <w:sz w:val="20"/>
                <w:szCs w:val="20"/>
                <w:lang w:val="en-US"/>
              </w:rPr>
              <w:t xml:space="preserve">No significant differences regarding mortality when comparing an Hb of 5.0 mmol/L with 6.2 mmol/L. </w:t>
            </w:r>
          </w:p>
        </w:tc>
        <w:tc>
          <w:tcPr>
            <w:tcW w:w="2835" w:type="dxa"/>
            <w:shd w:val="clear" w:color="auto" w:fill="auto"/>
          </w:tcPr>
          <w:p w14:paraId="6EDF26D8"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1.16 (95% CI 0.56 - 2.39)</w:t>
            </w:r>
          </w:p>
          <w:p w14:paraId="6EDF26D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0.87 (95% CI 0.63 - 1.19)*</w:t>
            </w:r>
          </w:p>
        </w:tc>
        <w:tc>
          <w:tcPr>
            <w:tcW w:w="2552" w:type="dxa"/>
            <w:shd w:val="clear" w:color="auto" w:fill="auto"/>
          </w:tcPr>
          <w:p w14:paraId="6EDF26DA"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Moderate** </w:t>
            </w:r>
            <w:r w:rsidRPr="00C53C14">
              <w:rPr>
                <w:sz w:val="20"/>
                <w:szCs w:val="20"/>
                <w:lang w:val="en-US"/>
              </w:rPr>
              <w:t xml:space="preserve">/ Hajjar 2010 </w:t>
            </w:r>
          </w:p>
          <w:p w14:paraId="6EDF26DB"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Very low**</w:t>
            </w:r>
            <w:r w:rsidRPr="00C53C14">
              <w:rPr>
                <w:sz w:val="20"/>
                <w:szCs w:val="20"/>
                <w:lang w:val="en-US"/>
              </w:rPr>
              <w:t xml:space="preserve"> / Carson 2011</w:t>
            </w:r>
          </w:p>
        </w:tc>
      </w:tr>
      <w:tr w:rsidR="00744659" w14:paraId="6EDF26DE"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6DD" w14:textId="77777777" w:rsidR="00744659" w:rsidRDefault="002C38C9">
            <w:pPr>
              <w:spacing w:line="360" w:lineRule="auto"/>
              <w:rPr>
                <w:sz w:val="20"/>
                <w:szCs w:val="20"/>
                <w:u w:val="single"/>
              </w:rPr>
            </w:pPr>
            <w:r>
              <w:rPr>
                <w:b w:val="0"/>
                <w:sz w:val="20"/>
                <w:szCs w:val="20"/>
                <w:u w:val="single"/>
              </w:rPr>
              <w:t>Morbidity</w:t>
            </w:r>
          </w:p>
        </w:tc>
      </w:tr>
      <w:tr w:rsidR="00744659" w:rsidRPr="00C53C14" w14:paraId="6EDF26E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6DF" w14:textId="77777777" w:rsidR="00744659" w:rsidRPr="00C53C14" w:rsidRDefault="002C38C9">
            <w:pPr>
              <w:spacing w:line="360" w:lineRule="auto"/>
              <w:rPr>
                <w:sz w:val="20"/>
                <w:szCs w:val="20"/>
                <w:lang w:val="en-US"/>
              </w:rPr>
            </w:pPr>
            <w:r w:rsidRPr="00C53C14">
              <w:rPr>
                <w:b w:val="0"/>
                <w:sz w:val="20"/>
                <w:szCs w:val="20"/>
                <w:lang w:val="en-US"/>
              </w:rPr>
              <w:t xml:space="preserve">No significant differences regarding morbidity when comparing an Hb of 5.0 mmol/L with 6.2 mmol/L. </w:t>
            </w:r>
          </w:p>
        </w:tc>
        <w:tc>
          <w:tcPr>
            <w:tcW w:w="2835" w:type="dxa"/>
            <w:shd w:val="clear" w:color="auto" w:fill="auto"/>
          </w:tcPr>
          <w:p w14:paraId="6EDF26E0"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p w14:paraId="6EDF26E1"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552" w:type="dxa"/>
            <w:shd w:val="clear" w:color="auto" w:fill="auto"/>
          </w:tcPr>
          <w:p w14:paraId="6EDF26E2"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Moderate** </w:t>
            </w:r>
            <w:r w:rsidRPr="00C53C14">
              <w:rPr>
                <w:sz w:val="20"/>
                <w:szCs w:val="20"/>
                <w:lang w:val="en-US"/>
              </w:rPr>
              <w:t>/ Hajjar 2010</w:t>
            </w:r>
          </w:p>
          <w:p w14:paraId="6EDF26E3"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Very low**</w:t>
            </w:r>
            <w:r w:rsidRPr="00C53C14">
              <w:rPr>
                <w:sz w:val="20"/>
                <w:szCs w:val="20"/>
                <w:lang w:val="en-US"/>
              </w:rPr>
              <w:t xml:space="preserve"> / Carson 2011</w:t>
            </w:r>
          </w:p>
        </w:tc>
      </w:tr>
      <w:tr w:rsidR="00744659" w14:paraId="6EDF26E6"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6E5" w14:textId="77777777" w:rsidR="00744659" w:rsidRDefault="002C38C9">
            <w:pPr>
              <w:spacing w:line="360" w:lineRule="auto"/>
              <w:rPr>
                <w:sz w:val="20"/>
                <w:szCs w:val="20"/>
                <w:u w:val="single"/>
              </w:rPr>
            </w:pPr>
            <w:r>
              <w:rPr>
                <w:b w:val="0"/>
                <w:sz w:val="20"/>
                <w:szCs w:val="20"/>
                <w:u w:val="single"/>
              </w:rPr>
              <w:t>Quality of life</w:t>
            </w:r>
          </w:p>
        </w:tc>
      </w:tr>
      <w:tr w:rsidR="00744659" w14:paraId="6EDF26EB"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FFFFFF"/>
          </w:tcPr>
          <w:p w14:paraId="6EDF26E7" w14:textId="77777777" w:rsidR="00744659" w:rsidRPr="00C53C14" w:rsidRDefault="002C38C9">
            <w:pPr>
              <w:spacing w:line="360" w:lineRule="auto"/>
              <w:rPr>
                <w:sz w:val="20"/>
                <w:szCs w:val="20"/>
                <w:u w:val="single"/>
                <w:lang w:val="en-US"/>
              </w:rPr>
            </w:pPr>
            <w:r w:rsidRPr="00C53C14">
              <w:rPr>
                <w:b w:val="0"/>
                <w:sz w:val="20"/>
                <w:szCs w:val="20"/>
                <w:lang w:val="en-US"/>
              </w:rPr>
              <w:t xml:space="preserve">No significant differences regarding quality of life when comparing an Hb of 5.0 mmol/L with 6.2 mmol/L. </w:t>
            </w:r>
          </w:p>
        </w:tc>
        <w:tc>
          <w:tcPr>
            <w:tcW w:w="2835" w:type="dxa"/>
            <w:shd w:val="clear" w:color="auto" w:fill="auto"/>
          </w:tcPr>
          <w:p w14:paraId="6EDF26E8"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p w14:paraId="6EDF26E9"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552" w:type="dxa"/>
            <w:shd w:val="clear" w:color="auto" w:fill="FFFFFF"/>
          </w:tcPr>
          <w:p w14:paraId="6EDF26EA"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Very low**</w:t>
            </w:r>
            <w:r>
              <w:rPr>
                <w:sz w:val="20"/>
                <w:szCs w:val="20"/>
              </w:rPr>
              <w:t xml:space="preserve"> / Carson 2011</w:t>
            </w:r>
          </w:p>
        </w:tc>
      </w:tr>
      <w:tr w:rsidR="00744659" w14:paraId="6EDF26ED" w14:textId="77777777" w:rsidTr="00744659">
        <w:trPr>
          <w:trHeight w:val="18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6EC" w14:textId="77777777" w:rsidR="00744659" w:rsidRDefault="002C38C9">
            <w:pPr>
              <w:spacing w:line="360" w:lineRule="auto"/>
              <w:rPr>
                <w:sz w:val="20"/>
                <w:szCs w:val="20"/>
                <w:u w:val="single"/>
              </w:rPr>
            </w:pPr>
            <w:r>
              <w:rPr>
                <w:b w:val="0"/>
                <w:sz w:val="20"/>
                <w:szCs w:val="20"/>
                <w:u w:val="single"/>
              </w:rPr>
              <w:t>Admission to hospital</w:t>
            </w:r>
          </w:p>
        </w:tc>
      </w:tr>
      <w:tr w:rsidR="00744659" w:rsidRPr="00C53C14" w14:paraId="6EDF26F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FFFFFF"/>
          </w:tcPr>
          <w:p w14:paraId="6EDF26EE" w14:textId="77777777" w:rsidR="00744659" w:rsidRPr="00C53C14" w:rsidRDefault="002C38C9">
            <w:pPr>
              <w:spacing w:line="360" w:lineRule="auto"/>
              <w:rPr>
                <w:sz w:val="20"/>
                <w:szCs w:val="20"/>
                <w:lang w:val="en-US"/>
              </w:rPr>
            </w:pPr>
            <w:r w:rsidRPr="00C53C14">
              <w:rPr>
                <w:b w:val="0"/>
                <w:sz w:val="20"/>
                <w:szCs w:val="20"/>
                <w:lang w:val="en-US"/>
              </w:rPr>
              <w:t xml:space="preserve">No significant differences regarding admission to hospital when comparing an Hb of 5.0 mmol/L with 6.2 mmol/L. </w:t>
            </w:r>
          </w:p>
        </w:tc>
        <w:tc>
          <w:tcPr>
            <w:tcW w:w="2835" w:type="dxa"/>
            <w:shd w:val="clear" w:color="auto" w:fill="auto"/>
          </w:tcPr>
          <w:p w14:paraId="6EDF26EF"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p w14:paraId="6EDF26F0"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MD 0.30 (95% CI -0.11 - 0.71)</w:t>
            </w:r>
          </w:p>
        </w:tc>
        <w:tc>
          <w:tcPr>
            <w:tcW w:w="2552" w:type="dxa"/>
            <w:shd w:val="clear" w:color="auto" w:fill="FFFFFF"/>
          </w:tcPr>
          <w:p w14:paraId="6EDF26F1"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 xml:space="preserve">Moderate** </w:t>
            </w:r>
            <w:r w:rsidRPr="00C53C14">
              <w:rPr>
                <w:sz w:val="20"/>
                <w:szCs w:val="20"/>
                <w:lang w:val="en-US"/>
              </w:rPr>
              <w:t>/ Hajjar 2011</w:t>
            </w:r>
          </w:p>
          <w:p w14:paraId="6EDF26F2"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6F3"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Very low**</w:t>
            </w:r>
            <w:r w:rsidRPr="00C53C14">
              <w:rPr>
                <w:sz w:val="20"/>
                <w:szCs w:val="20"/>
                <w:lang w:val="en-US"/>
              </w:rPr>
              <w:t xml:space="preserve"> / Carson 2011</w:t>
            </w:r>
          </w:p>
        </w:tc>
      </w:tr>
    </w:tbl>
    <w:p w14:paraId="6EDF26F5"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Results could not be pooled due to different study populations or oucome measures. </w:t>
      </w:r>
    </w:p>
    <w:p w14:paraId="6EDF26F6"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6F7" w14:textId="77777777" w:rsidR="00744659" w:rsidRPr="00C53C14" w:rsidRDefault="00744659">
      <w:pPr>
        <w:spacing w:line="360" w:lineRule="auto"/>
        <w:rPr>
          <w:rFonts w:ascii="Calibri" w:eastAsia="Calibri" w:hAnsi="Calibri" w:cs="Calibri"/>
          <w:sz w:val="20"/>
          <w:szCs w:val="20"/>
          <w:lang w:val="en-US"/>
        </w:rPr>
      </w:pPr>
    </w:p>
    <w:p w14:paraId="6EDF26F8"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B1.3: Hb of 5.6 mmol/L versus Hb greater than 5.6 mmol/L</w:t>
      </w:r>
    </w:p>
    <w:tbl>
      <w:tblPr>
        <w:tblStyle w:val="aff"/>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3964"/>
        <w:gridCol w:w="2835"/>
        <w:gridCol w:w="2552"/>
      </w:tblGrid>
      <w:tr w:rsidR="00744659" w14:paraId="6EDF26FC"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8" w:space="0" w:color="FFFFFF"/>
            </w:tcBorders>
          </w:tcPr>
          <w:p w14:paraId="6EDF26F9" w14:textId="77777777" w:rsidR="00744659" w:rsidRDefault="002C38C9">
            <w:pPr>
              <w:spacing w:line="360" w:lineRule="auto"/>
              <w:rPr>
                <w:sz w:val="20"/>
                <w:szCs w:val="20"/>
              </w:rPr>
            </w:pPr>
            <w:r>
              <w:rPr>
                <w:sz w:val="20"/>
                <w:szCs w:val="20"/>
              </w:rPr>
              <w:t>Conclusion of evidence</w:t>
            </w:r>
          </w:p>
        </w:tc>
        <w:tc>
          <w:tcPr>
            <w:tcW w:w="2835" w:type="dxa"/>
            <w:tcBorders>
              <w:top w:val="single" w:sz="8" w:space="0" w:color="FFFFFF"/>
            </w:tcBorders>
          </w:tcPr>
          <w:p w14:paraId="6EDF26FA"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552" w:type="dxa"/>
            <w:tcBorders>
              <w:top w:val="single" w:sz="8" w:space="0" w:color="FFFFFF"/>
            </w:tcBorders>
          </w:tcPr>
          <w:p w14:paraId="6EDF26FB"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6F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6FD"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702" w14:textId="77777777" w:rsidTr="00744659">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6FF" w14:textId="77777777" w:rsidR="00744659" w:rsidRDefault="002C38C9">
            <w:pPr>
              <w:spacing w:line="360" w:lineRule="auto"/>
              <w:rPr>
                <w:sz w:val="20"/>
                <w:szCs w:val="20"/>
              </w:rPr>
            </w:pPr>
            <w:r>
              <w:rPr>
                <w:b w:val="0"/>
                <w:sz w:val="20"/>
                <w:szCs w:val="20"/>
              </w:rPr>
              <w:t>No studies</w:t>
            </w:r>
          </w:p>
        </w:tc>
        <w:tc>
          <w:tcPr>
            <w:tcW w:w="2835" w:type="dxa"/>
            <w:shd w:val="clear" w:color="auto" w:fill="auto"/>
          </w:tcPr>
          <w:p w14:paraId="6EDF2700"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552" w:type="dxa"/>
            <w:shd w:val="clear" w:color="auto" w:fill="auto"/>
          </w:tcPr>
          <w:p w14:paraId="6EDF2701"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70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703"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706"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705" w14:textId="77777777" w:rsidR="00744659" w:rsidRDefault="002C38C9">
            <w:pPr>
              <w:spacing w:line="360" w:lineRule="auto"/>
              <w:rPr>
                <w:sz w:val="20"/>
                <w:szCs w:val="20"/>
                <w:u w:val="single"/>
              </w:rPr>
            </w:pPr>
            <w:r>
              <w:rPr>
                <w:b w:val="0"/>
                <w:sz w:val="20"/>
                <w:szCs w:val="20"/>
                <w:u w:val="single"/>
              </w:rPr>
              <w:t>Mortality</w:t>
            </w:r>
          </w:p>
        </w:tc>
      </w:tr>
      <w:tr w:rsidR="00744659" w14:paraId="6EDF270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707" w14:textId="77777777" w:rsidR="00744659" w:rsidRPr="00C53C14" w:rsidRDefault="002C38C9">
            <w:pPr>
              <w:spacing w:line="360" w:lineRule="auto"/>
              <w:rPr>
                <w:sz w:val="20"/>
                <w:szCs w:val="20"/>
                <w:lang w:val="en-US"/>
              </w:rPr>
            </w:pPr>
            <w:r w:rsidRPr="00C53C14">
              <w:rPr>
                <w:b w:val="0"/>
                <w:sz w:val="20"/>
                <w:szCs w:val="20"/>
                <w:lang w:val="en-US"/>
              </w:rPr>
              <w:lastRenderedPageBreak/>
              <w:t xml:space="preserve">No significant differences regarding mortality when comparing an Hb of 5.6 mmol/L with 8.07 mmol/L. </w:t>
            </w:r>
          </w:p>
        </w:tc>
        <w:tc>
          <w:tcPr>
            <w:tcW w:w="2835" w:type="dxa"/>
            <w:shd w:val="clear" w:color="auto" w:fill="auto"/>
          </w:tcPr>
          <w:p w14:paraId="6EDF2708"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0.33 (95% CI 0.01 - 7.87)</w:t>
            </w:r>
          </w:p>
        </w:tc>
        <w:tc>
          <w:tcPr>
            <w:tcW w:w="2552" w:type="dxa"/>
            <w:shd w:val="clear" w:color="auto" w:fill="auto"/>
          </w:tcPr>
          <w:p w14:paraId="6EDF270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Very low**</w:t>
            </w:r>
            <w:r>
              <w:rPr>
                <w:sz w:val="20"/>
                <w:szCs w:val="20"/>
              </w:rPr>
              <w:t xml:space="preserve"> / Cholette 2011</w:t>
            </w:r>
          </w:p>
        </w:tc>
      </w:tr>
      <w:tr w:rsidR="00744659" w14:paraId="6EDF270C"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70B" w14:textId="77777777" w:rsidR="00744659" w:rsidRDefault="002C38C9">
            <w:pPr>
              <w:spacing w:line="360" w:lineRule="auto"/>
              <w:rPr>
                <w:sz w:val="20"/>
                <w:szCs w:val="20"/>
                <w:u w:val="single"/>
              </w:rPr>
            </w:pPr>
            <w:r>
              <w:rPr>
                <w:b w:val="0"/>
                <w:sz w:val="20"/>
                <w:szCs w:val="20"/>
                <w:u w:val="single"/>
              </w:rPr>
              <w:t>Admission to hospital</w:t>
            </w:r>
          </w:p>
        </w:tc>
      </w:tr>
      <w:tr w:rsidR="00744659" w14:paraId="6EDF2710"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FFFFFF"/>
          </w:tcPr>
          <w:p w14:paraId="6EDF270D" w14:textId="77777777" w:rsidR="00744659" w:rsidRPr="00C53C14" w:rsidRDefault="002C38C9">
            <w:pPr>
              <w:spacing w:line="360" w:lineRule="auto"/>
              <w:rPr>
                <w:sz w:val="20"/>
                <w:szCs w:val="20"/>
                <w:lang w:val="en-US"/>
              </w:rPr>
            </w:pPr>
            <w:r w:rsidRPr="00C53C14">
              <w:rPr>
                <w:b w:val="0"/>
                <w:sz w:val="20"/>
                <w:szCs w:val="20"/>
                <w:lang w:val="en-US"/>
              </w:rPr>
              <w:t xml:space="preserve">No significant differences regarding admission to hospital when comparing an Hb of 5.6 mmol/L with 8.07 mmol/L. </w:t>
            </w:r>
          </w:p>
        </w:tc>
        <w:tc>
          <w:tcPr>
            <w:tcW w:w="2835" w:type="dxa"/>
            <w:shd w:val="clear" w:color="auto" w:fill="auto"/>
          </w:tcPr>
          <w:p w14:paraId="6EDF270E"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552" w:type="dxa"/>
            <w:shd w:val="clear" w:color="auto" w:fill="FFFFFF"/>
          </w:tcPr>
          <w:p w14:paraId="6EDF270F"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Very low**</w:t>
            </w:r>
            <w:r>
              <w:rPr>
                <w:sz w:val="20"/>
                <w:szCs w:val="20"/>
              </w:rPr>
              <w:t xml:space="preserve"> / Cholette 2011</w:t>
            </w:r>
          </w:p>
        </w:tc>
      </w:tr>
      <w:tr w:rsidR="00744659" w:rsidRPr="00C53C14" w14:paraId="6EDF2712"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711"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716"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EDF2713" w14:textId="77777777" w:rsidR="00744659" w:rsidRDefault="002C38C9">
            <w:pPr>
              <w:spacing w:line="360" w:lineRule="auto"/>
              <w:rPr>
                <w:sz w:val="20"/>
                <w:szCs w:val="20"/>
              </w:rPr>
            </w:pPr>
            <w:r>
              <w:rPr>
                <w:b w:val="0"/>
                <w:sz w:val="20"/>
                <w:szCs w:val="20"/>
              </w:rPr>
              <w:t>No studies</w:t>
            </w:r>
          </w:p>
        </w:tc>
        <w:tc>
          <w:tcPr>
            <w:tcW w:w="2835" w:type="dxa"/>
            <w:shd w:val="clear" w:color="auto" w:fill="auto"/>
          </w:tcPr>
          <w:p w14:paraId="6EDF2714"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552" w:type="dxa"/>
            <w:shd w:val="clear" w:color="auto" w:fill="auto"/>
          </w:tcPr>
          <w:p w14:paraId="6EDF2715"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717"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718" w14:textId="77777777" w:rsidR="00744659" w:rsidRPr="00C53C14" w:rsidRDefault="00744659">
      <w:pPr>
        <w:spacing w:line="360" w:lineRule="auto"/>
        <w:rPr>
          <w:rFonts w:ascii="Calibri" w:eastAsia="Calibri" w:hAnsi="Calibri" w:cs="Calibri"/>
          <w:b/>
          <w:sz w:val="20"/>
          <w:szCs w:val="20"/>
          <w:lang w:val="en-US"/>
        </w:rPr>
      </w:pPr>
    </w:p>
    <w:p w14:paraId="6EDF2719" w14:textId="77777777" w:rsidR="00744659" w:rsidRPr="00C53C14" w:rsidRDefault="002C38C9">
      <w:pPr>
        <w:spacing w:line="360" w:lineRule="auto"/>
        <w:rPr>
          <w:rFonts w:ascii="Calibri" w:eastAsia="Calibri" w:hAnsi="Calibri" w:cs="Calibri"/>
          <w:b/>
          <w:sz w:val="20"/>
          <w:szCs w:val="20"/>
          <w:lang w:val="en-US"/>
        </w:rPr>
      </w:pPr>
      <w:r w:rsidRPr="00C53C14">
        <w:rPr>
          <w:lang w:val="en-US"/>
        </w:rPr>
        <w:br w:type="page"/>
      </w:r>
    </w:p>
    <w:p w14:paraId="6EDF271A" w14:textId="77777777" w:rsidR="00744659" w:rsidRDefault="002C38C9">
      <w:pPr>
        <w:spacing w:line="360" w:lineRule="auto"/>
        <w:rPr>
          <w:rFonts w:ascii="Calibri" w:eastAsia="Calibri" w:hAnsi="Calibri" w:cs="Calibri"/>
          <w:sz w:val="20"/>
          <w:szCs w:val="20"/>
        </w:rPr>
      </w:pPr>
      <w:r>
        <w:rPr>
          <w:rFonts w:ascii="Calibri" w:eastAsia="Calibri" w:hAnsi="Calibri" w:cs="Calibri"/>
          <w:b/>
          <w:sz w:val="20"/>
          <w:szCs w:val="20"/>
        </w:rPr>
        <w:lastRenderedPageBreak/>
        <w:t>C. Conclusions</w:t>
      </w:r>
    </w:p>
    <w:tbl>
      <w:tblPr>
        <w:tblStyle w:val="aff0"/>
        <w:tblW w:w="10665" w:type="dxa"/>
        <w:tblInd w:w="-5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8835"/>
      </w:tblGrid>
      <w:tr w:rsidR="00744659" w14:paraId="6EDF2720" w14:textId="77777777">
        <w:tc>
          <w:tcPr>
            <w:tcW w:w="1830" w:type="dxa"/>
            <w:shd w:val="clear" w:color="auto" w:fill="EFEFEF"/>
            <w:tcMar>
              <w:top w:w="100" w:type="dxa"/>
              <w:left w:w="100" w:type="dxa"/>
              <w:bottom w:w="100" w:type="dxa"/>
              <w:right w:w="100" w:type="dxa"/>
            </w:tcMar>
            <w:vAlign w:val="center"/>
          </w:tcPr>
          <w:p w14:paraId="6EDF271B" w14:textId="77777777" w:rsidR="00744659" w:rsidRPr="00C53C14" w:rsidRDefault="002C38C9">
            <w:pPr>
              <w:widowControl w:val="0"/>
              <w:spacing w:line="360" w:lineRule="auto"/>
              <w:jc w:val="center"/>
              <w:rPr>
                <w:b/>
                <w:sz w:val="20"/>
                <w:szCs w:val="20"/>
                <w:vertAlign w:val="superscript"/>
                <w:lang w:val="en-US"/>
              </w:rPr>
            </w:pPr>
            <w:r w:rsidRPr="00C53C14">
              <w:rPr>
                <w:b/>
                <w:sz w:val="20"/>
                <w:szCs w:val="20"/>
                <w:lang w:val="en-US"/>
              </w:rPr>
              <w:t>VERY LOW QUALITY OF EVIDENCE (GRADE)</w:t>
            </w:r>
          </w:p>
        </w:tc>
        <w:tc>
          <w:tcPr>
            <w:tcW w:w="8835" w:type="dxa"/>
            <w:shd w:val="clear" w:color="auto" w:fill="auto"/>
            <w:tcMar>
              <w:top w:w="100" w:type="dxa"/>
              <w:left w:w="100" w:type="dxa"/>
              <w:bottom w:w="100" w:type="dxa"/>
              <w:right w:w="100" w:type="dxa"/>
            </w:tcMar>
            <w:vAlign w:val="center"/>
          </w:tcPr>
          <w:p w14:paraId="6EDF271C" w14:textId="77777777" w:rsidR="00744659" w:rsidRPr="00C53C14" w:rsidRDefault="00744659">
            <w:pPr>
              <w:spacing w:line="360" w:lineRule="auto"/>
              <w:rPr>
                <w:sz w:val="20"/>
                <w:szCs w:val="20"/>
                <w:lang w:val="en-US"/>
              </w:rPr>
            </w:pPr>
          </w:p>
          <w:p w14:paraId="6EDF271D" w14:textId="77777777" w:rsidR="00744659" w:rsidRPr="00C53C14" w:rsidRDefault="002C38C9">
            <w:pPr>
              <w:spacing w:line="360" w:lineRule="auto"/>
              <w:rPr>
                <w:i/>
                <w:sz w:val="20"/>
                <w:szCs w:val="20"/>
                <w:lang w:val="en-US"/>
              </w:rPr>
            </w:pPr>
            <w:r w:rsidRPr="00C53C14">
              <w:rPr>
                <w:sz w:val="20"/>
                <w:szCs w:val="20"/>
                <w:lang w:val="en-US"/>
              </w:rPr>
              <w:t xml:space="preserve">No significant difference regarding mortality, morbidity, and admission to hospital in both children and adults with cardiac and pulmonary comorbidities with </w:t>
            </w:r>
            <w:r w:rsidRPr="00C53C14">
              <w:rPr>
                <w:i/>
                <w:sz w:val="20"/>
                <w:szCs w:val="20"/>
                <w:lang w:val="en-US"/>
              </w:rPr>
              <w:t>a hemoglobin (Hb) of 4.3 mmol/L versus a hemoglobin (Hb) greater than 4.3 mmol/L</w:t>
            </w:r>
            <w:r w:rsidRPr="00C53C14">
              <w:rPr>
                <w:sz w:val="20"/>
                <w:szCs w:val="20"/>
                <w:lang w:val="en-US"/>
              </w:rPr>
              <w:t xml:space="preserve"> in 3 studies.</w:t>
            </w:r>
          </w:p>
          <w:p w14:paraId="6EDF271E" w14:textId="77777777" w:rsidR="00744659" w:rsidRPr="00C53C14" w:rsidRDefault="00744659">
            <w:pPr>
              <w:spacing w:line="360" w:lineRule="auto"/>
              <w:rPr>
                <w:sz w:val="20"/>
                <w:szCs w:val="20"/>
                <w:lang w:val="en-US"/>
              </w:rPr>
            </w:pPr>
          </w:p>
          <w:p w14:paraId="6EDF271F" w14:textId="77777777" w:rsidR="00744659" w:rsidRDefault="002C38C9">
            <w:pPr>
              <w:spacing w:line="360" w:lineRule="auto"/>
              <w:rPr>
                <w:sz w:val="20"/>
                <w:szCs w:val="20"/>
              </w:rPr>
            </w:pPr>
            <w:r>
              <w:rPr>
                <w:sz w:val="20"/>
                <w:szCs w:val="20"/>
              </w:rPr>
              <w:t>Sources (</w:t>
            </w:r>
            <w:r>
              <w:rPr>
                <w:i/>
                <w:sz w:val="20"/>
                <w:szCs w:val="20"/>
              </w:rPr>
              <w:t>Lacroix, 2012; Carson, 2002; Willems, 2010</w:t>
            </w:r>
            <w:r>
              <w:rPr>
                <w:sz w:val="20"/>
                <w:szCs w:val="20"/>
              </w:rPr>
              <w:t xml:space="preserve">) </w:t>
            </w:r>
          </w:p>
        </w:tc>
      </w:tr>
    </w:tbl>
    <w:p w14:paraId="6EDF2721" w14:textId="77777777" w:rsidR="00744659" w:rsidRDefault="002C38C9">
      <w:pPr>
        <w:spacing w:line="360" w:lineRule="auto"/>
        <w:rPr>
          <w:rFonts w:ascii="Calibri" w:eastAsia="Calibri" w:hAnsi="Calibri" w:cs="Calibri"/>
          <w:sz w:val="20"/>
          <w:szCs w:val="20"/>
        </w:rPr>
      </w:pPr>
      <w:r>
        <w:rPr>
          <w:rFonts w:ascii="Calibri" w:eastAsia="Calibri" w:hAnsi="Calibri" w:cs="Calibri"/>
          <w:sz w:val="20"/>
          <w:szCs w:val="20"/>
        </w:rPr>
        <w:t xml:space="preserve"> </w:t>
      </w:r>
    </w:p>
    <w:p w14:paraId="6EDF2722"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4.2 PROPHYLACTIC RED BLOOD CELL TRANSFUSION IN NEONATES WITH CANCER WITH CARDIAC AND/OR PULMONARY COMORBIDITIES</w:t>
      </w:r>
    </w:p>
    <w:p w14:paraId="6EDF2723"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A. Discussion of the literature</w:t>
      </w:r>
    </w:p>
    <w:p w14:paraId="6EDF2724"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A1: Discussion of the evidence</w:t>
      </w:r>
    </w:p>
    <w:p w14:paraId="6EDF2725"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A1.1: Evidence in pediatric oncology</w:t>
      </w:r>
    </w:p>
    <w:p w14:paraId="6EDF2726"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No pediatric oncology studies included neonates.</w:t>
      </w:r>
    </w:p>
    <w:p w14:paraId="6EDF2727" w14:textId="77777777" w:rsidR="00744659" w:rsidRPr="00C53C14" w:rsidRDefault="00744659">
      <w:pPr>
        <w:spacing w:line="360" w:lineRule="auto"/>
        <w:rPr>
          <w:rFonts w:ascii="Calibri" w:eastAsia="Calibri" w:hAnsi="Calibri" w:cs="Calibri"/>
          <w:sz w:val="20"/>
          <w:szCs w:val="20"/>
          <w:u w:val="single"/>
          <w:lang w:val="en-US"/>
        </w:rPr>
      </w:pPr>
    </w:p>
    <w:p w14:paraId="6EDF2728"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A1.2: Recommendations and evidence derived from guidelines</w:t>
      </w:r>
    </w:p>
    <w:p w14:paraId="6EDF2729" w14:textId="7C6917AD"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Four out of seven guidelines included recommendations for neonates with cardiac and/or pulmonary comorbidities. The Dutch Association of Medical Specialists (21) have recommended a hemoglobin (Hb) threshold of 7.5 mmol/L in neonates less than 1 week old, between weeks 2-3 an Hb threshold of 6.5 and to maintain an Hb threshold of 5.5 mmol/L in neonates older than 3 weeks (49-53). JPAC (2013) (</w:t>
      </w:r>
      <w:r w:rsidR="00E445B1">
        <w:rPr>
          <w:rFonts w:ascii="Calibri" w:eastAsia="Calibri" w:hAnsi="Calibri" w:cs="Calibri"/>
          <w:sz w:val="20"/>
          <w:szCs w:val="20"/>
          <w:lang w:val="en-US"/>
        </w:rPr>
        <w:t>41</w:t>
      </w:r>
      <w:r w:rsidRPr="00C53C14">
        <w:rPr>
          <w:rFonts w:ascii="Calibri" w:eastAsia="Calibri" w:hAnsi="Calibri" w:cs="Calibri"/>
          <w:sz w:val="20"/>
          <w:szCs w:val="20"/>
          <w:lang w:val="en-US"/>
        </w:rPr>
        <w:t>) have based their recommendations on the BCSH (2016) (</w:t>
      </w:r>
      <w:r>
        <w:rPr>
          <w:rFonts w:ascii="Calibri" w:eastAsia="Calibri" w:hAnsi="Calibri" w:cs="Calibri"/>
          <w:sz w:val="20"/>
          <w:szCs w:val="20"/>
          <w:lang w:val="en-US"/>
        </w:rPr>
        <w:t>44</w:t>
      </w:r>
      <w:r w:rsidRPr="00C53C14">
        <w:rPr>
          <w:rFonts w:ascii="Calibri" w:eastAsia="Calibri" w:hAnsi="Calibri" w:cs="Calibri"/>
          <w:sz w:val="20"/>
          <w:szCs w:val="20"/>
          <w:lang w:val="en-US"/>
        </w:rPr>
        <w:t>). BCSH (2016) (</w:t>
      </w:r>
      <w:r>
        <w:rPr>
          <w:rFonts w:ascii="Calibri" w:eastAsia="Calibri" w:hAnsi="Calibri" w:cs="Calibri"/>
          <w:sz w:val="20"/>
          <w:szCs w:val="20"/>
          <w:lang w:val="en-US"/>
        </w:rPr>
        <w:t>44</w:t>
      </w:r>
      <w:r w:rsidRPr="00C53C14">
        <w:rPr>
          <w:rFonts w:ascii="Calibri" w:eastAsia="Calibri" w:hAnsi="Calibri" w:cs="Calibri"/>
          <w:sz w:val="20"/>
          <w:szCs w:val="20"/>
          <w:lang w:val="en-US"/>
        </w:rPr>
        <w:t>) have distinguished their recommendations between neonates on ventilation and neonates on oxygen or CPAP. In case of neonates on ventilation, their advice is to maintain an Hb greater than 7.5 mmol/L in neonates younger than 1 week old. In case of neonates older than 2 weeks old maintain the Hb greater than 6.2 mmol/L. In case of neonates on oxygen or CPAP, their advice is to maintain the Hb greater than 7.5 mmol/L in neonates less then 24 hours old. In case of neonates less than 1 week maintain an Hb greater than 6.2 mmol/L. Between 2 and 3 weeks old maintain the Hb greater than 5.9 mmol/L. In case of neonates older than 4 weeks old, maintain an Hb greater than 5.3 mmol/L (50-54). Valentine (2018) (3</w:t>
      </w:r>
      <w:r w:rsidR="00E445B1">
        <w:rPr>
          <w:rFonts w:ascii="Calibri" w:eastAsia="Calibri" w:hAnsi="Calibri" w:cs="Calibri"/>
          <w:sz w:val="20"/>
          <w:szCs w:val="20"/>
          <w:lang w:val="en-US"/>
        </w:rPr>
        <w:t>3</w:t>
      </w:r>
      <w:r w:rsidRPr="00C53C14">
        <w:rPr>
          <w:rFonts w:ascii="Calibri" w:eastAsia="Calibri" w:hAnsi="Calibri" w:cs="Calibri"/>
          <w:sz w:val="20"/>
          <w:szCs w:val="20"/>
          <w:lang w:val="en-US"/>
        </w:rPr>
        <w:t xml:space="preserve">) have advised in hemodynamically stable infants with uncorrected congenital heart disease an Hb threshold between 4.3 mmol/L and 5.6 mmol/L, depending on the degree of cardiopulmonary reserve. This recommendation is based on the TRIPICU study stating that an Hb greater than 4.3 mmol/dL is safe (15). However, there is no evidence that transfusion to the Hb greater than 5.6 mmol/dL is beneficial and might be of some risk. </w:t>
      </w:r>
    </w:p>
    <w:p w14:paraId="6EDF272A" w14:textId="77777777" w:rsidR="00744659" w:rsidRPr="00C53C14" w:rsidRDefault="00744659">
      <w:pPr>
        <w:spacing w:line="360" w:lineRule="auto"/>
        <w:rPr>
          <w:rFonts w:ascii="Calibri" w:eastAsia="Calibri" w:hAnsi="Calibri" w:cs="Calibri"/>
          <w:i/>
          <w:sz w:val="20"/>
          <w:szCs w:val="20"/>
          <w:lang w:val="en-US"/>
        </w:rPr>
      </w:pPr>
    </w:p>
    <w:p w14:paraId="6EDF272B"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72C"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A2.1: Pediatric oncology</w:t>
      </w:r>
    </w:p>
    <w:p w14:paraId="6EDF272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There were no primary pediatric oncology studies included from the systematic literature search. </w:t>
      </w:r>
    </w:p>
    <w:p w14:paraId="6EDF272E" w14:textId="77777777" w:rsidR="00744659" w:rsidRPr="00C53C14" w:rsidRDefault="00744659">
      <w:pPr>
        <w:spacing w:line="360" w:lineRule="auto"/>
        <w:rPr>
          <w:rFonts w:ascii="Calibri" w:eastAsia="Calibri" w:hAnsi="Calibri" w:cs="Calibri"/>
          <w:sz w:val="20"/>
          <w:szCs w:val="20"/>
          <w:lang w:val="en-US"/>
        </w:rPr>
      </w:pPr>
    </w:p>
    <w:p w14:paraId="6EDF272F"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lastRenderedPageBreak/>
        <w:t>A2.2: Neonates in general</w:t>
      </w:r>
    </w:p>
    <w:p w14:paraId="6EDF273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There were four studies included from the additional literature review (49-53). </w:t>
      </w:r>
    </w:p>
    <w:p w14:paraId="6EDF2731" w14:textId="77777777" w:rsidR="00744659" w:rsidRPr="00C53C14" w:rsidRDefault="00744659">
      <w:pPr>
        <w:spacing w:line="360" w:lineRule="auto"/>
        <w:rPr>
          <w:rFonts w:ascii="Calibri" w:eastAsia="Calibri" w:hAnsi="Calibri" w:cs="Calibri"/>
          <w:sz w:val="20"/>
          <w:szCs w:val="20"/>
          <w:lang w:val="en-US"/>
        </w:rPr>
      </w:pPr>
    </w:p>
    <w:p w14:paraId="6EDF2732"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 characteristics of the included studies are stated in the evidence table below. The studies differ from each other in patient population (gestational age and birth weight) and in methodology. </w:t>
      </w:r>
    </w:p>
    <w:p w14:paraId="6EDF2733" w14:textId="77777777" w:rsidR="00744659" w:rsidRPr="00C53C14" w:rsidRDefault="00744659">
      <w:pPr>
        <w:spacing w:line="360" w:lineRule="auto"/>
        <w:rPr>
          <w:rFonts w:ascii="Calibri" w:eastAsia="Calibri" w:hAnsi="Calibri" w:cs="Calibri"/>
          <w:sz w:val="20"/>
          <w:szCs w:val="20"/>
          <w:lang w:val="en-US"/>
        </w:rPr>
      </w:pPr>
    </w:p>
    <w:p w14:paraId="6EDF2734"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Table 1.</w:t>
      </w:r>
      <w:r w:rsidRPr="00C53C14">
        <w:rPr>
          <w:rFonts w:ascii="Calibri" w:eastAsia="Calibri" w:hAnsi="Calibri" w:cs="Calibri"/>
          <w:sz w:val="20"/>
          <w:szCs w:val="20"/>
          <w:lang w:val="en-US"/>
        </w:rPr>
        <w:t xml:space="preserve"> Characteristics of the included studies regarding neonates with cancer with cardiac and/or pulmonary comorbidities.</w:t>
      </w:r>
    </w:p>
    <w:tbl>
      <w:tblPr>
        <w:tblStyle w:val="aff1"/>
        <w:tblW w:w="11624"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4"/>
        <w:gridCol w:w="1560"/>
        <w:gridCol w:w="3969"/>
        <w:gridCol w:w="3827"/>
        <w:gridCol w:w="1134"/>
      </w:tblGrid>
      <w:tr w:rsidR="00744659" w14:paraId="6EDF2736" w14:textId="77777777">
        <w:trPr>
          <w:trHeight w:val="71"/>
        </w:trPr>
        <w:tc>
          <w:tcPr>
            <w:tcW w:w="11624" w:type="dxa"/>
            <w:gridSpan w:val="5"/>
            <w:shd w:val="clear" w:color="auto" w:fill="000000"/>
            <w:tcMar>
              <w:top w:w="100" w:type="dxa"/>
              <w:left w:w="100" w:type="dxa"/>
              <w:bottom w:w="100" w:type="dxa"/>
              <w:right w:w="100" w:type="dxa"/>
            </w:tcMar>
          </w:tcPr>
          <w:p w14:paraId="6EDF2735" w14:textId="77777777" w:rsidR="00744659" w:rsidRDefault="002C38C9">
            <w:pPr>
              <w:spacing w:line="360" w:lineRule="auto"/>
              <w:rPr>
                <w:b/>
                <w:color w:val="FFFFFF"/>
                <w:sz w:val="20"/>
                <w:szCs w:val="20"/>
              </w:rPr>
            </w:pPr>
            <w:r>
              <w:rPr>
                <w:b/>
                <w:color w:val="FFFFFF"/>
                <w:sz w:val="20"/>
                <w:szCs w:val="20"/>
              </w:rPr>
              <w:t>Included studies</w:t>
            </w:r>
          </w:p>
        </w:tc>
      </w:tr>
      <w:tr w:rsidR="00744659" w14:paraId="6EDF273C" w14:textId="77777777">
        <w:trPr>
          <w:trHeight w:val="360"/>
        </w:trPr>
        <w:tc>
          <w:tcPr>
            <w:tcW w:w="1134" w:type="dxa"/>
            <w:shd w:val="clear" w:color="auto" w:fill="EFEFEF"/>
            <w:tcMar>
              <w:top w:w="100" w:type="dxa"/>
              <w:left w:w="100" w:type="dxa"/>
              <w:bottom w:w="100" w:type="dxa"/>
              <w:right w:w="100" w:type="dxa"/>
            </w:tcMar>
          </w:tcPr>
          <w:p w14:paraId="6EDF2737" w14:textId="77777777" w:rsidR="00744659" w:rsidRDefault="002C38C9">
            <w:pPr>
              <w:spacing w:line="360" w:lineRule="auto"/>
              <w:rPr>
                <w:sz w:val="20"/>
                <w:szCs w:val="20"/>
                <w:u w:val="single"/>
              </w:rPr>
            </w:pPr>
            <w:r>
              <w:rPr>
                <w:sz w:val="20"/>
                <w:szCs w:val="20"/>
                <w:u w:val="single"/>
              </w:rPr>
              <w:t>Study</w:t>
            </w:r>
          </w:p>
        </w:tc>
        <w:tc>
          <w:tcPr>
            <w:tcW w:w="1560" w:type="dxa"/>
            <w:shd w:val="clear" w:color="auto" w:fill="EFEFEF"/>
            <w:tcMar>
              <w:top w:w="100" w:type="dxa"/>
              <w:left w:w="100" w:type="dxa"/>
              <w:bottom w:w="100" w:type="dxa"/>
              <w:right w:w="100" w:type="dxa"/>
            </w:tcMar>
          </w:tcPr>
          <w:p w14:paraId="6EDF2738" w14:textId="77777777" w:rsidR="00744659" w:rsidRDefault="002C38C9">
            <w:pPr>
              <w:spacing w:line="360" w:lineRule="auto"/>
              <w:rPr>
                <w:sz w:val="20"/>
                <w:szCs w:val="20"/>
                <w:u w:val="single"/>
              </w:rPr>
            </w:pPr>
            <w:r>
              <w:rPr>
                <w:sz w:val="20"/>
                <w:szCs w:val="20"/>
                <w:u w:val="single"/>
              </w:rPr>
              <w:t>Population</w:t>
            </w:r>
          </w:p>
        </w:tc>
        <w:tc>
          <w:tcPr>
            <w:tcW w:w="3969" w:type="dxa"/>
            <w:shd w:val="clear" w:color="auto" w:fill="EFEFEF"/>
            <w:tcMar>
              <w:top w:w="100" w:type="dxa"/>
              <w:left w:w="100" w:type="dxa"/>
              <w:bottom w:w="100" w:type="dxa"/>
              <w:right w:w="100" w:type="dxa"/>
            </w:tcMar>
          </w:tcPr>
          <w:p w14:paraId="6EDF2739" w14:textId="77777777" w:rsidR="00744659" w:rsidRDefault="002C38C9">
            <w:pPr>
              <w:spacing w:line="360" w:lineRule="auto"/>
              <w:rPr>
                <w:sz w:val="20"/>
                <w:szCs w:val="20"/>
                <w:u w:val="single"/>
              </w:rPr>
            </w:pPr>
            <w:r>
              <w:rPr>
                <w:sz w:val="20"/>
                <w:szCs w:val="20"/>
                <w:u w:val="single"/>
              </w:rPr>
              <w:t>Liberal threshold</w:t>
            </w:r>
          </w:p>
        </w:tc>
        <w:tc>
          <w:tcPr>
            <w:tcW w:w="3827" w:type="dxa"/>
            <w:shd w:val="clear" w:color="auto" w:fill="EFEFEF"/>
            <w:tcMar>
              <w:top w:w="100" w:type="dxa"/>
              <w:left w:w="100" w:type="dxa"/>
              <w:bottom w:w="100" w:type="dxa"/>
              <w:right w:w="100" w:type="dxa"/>
            </w:tcMar>
          </w:tcPr>
          <w:p w14:paraId="6EDF273A" w14:textId="77777777" w:rsidR="00744659" w:rsidRDefault="002C38C9">
            <w:pPr>
              <w:spacing w:line="360" w:lineRule="auto"/>
              <w:rPr>
                <w:sz w:val="20"/>
                <w:szCs w:val="20"/>
                <w:u w:val="single"/>
              </w:rPr>
            </w:pPr>
            <w:r>
              <w:rPr>
                <w:sz w:val="20"/>
                <w:szCs w:val="20"/>
                <w:u w:val="single"/>
              </w:rPr>
              <w:t>Restrictive threshold</w:t>
            </w:r>
          </w:p>
        </w:tc>
        <w:tc>
          <w:tcPr>
            <w:tcW w:w="1134" w:type="dxa"/>
            <w:shd w:val="clear" w:color="auto" w:fill="EFEFEF"/>
            <w:tcMar>
              <w:top w:w="100" w:type="dxa"/>
              <w:left w:w="100" w:type="dxa"/>
              <w:bottom w:w="100" w:type="dxa"/>
              <w:right w:w="100" w:type="dxa"/>
            </w:tcMar>
          </w:tcPr>
          <w:p w14:paraId="6EDF273B" w14:textId="77777777" w:rsidR="00744659" w:rsidRDefault="002C38C9">
            <w:pPr>
              <w:spacing w:line="360" w:lineRule="auto"/>
              <w:rPr>
                <w:sz w:val="20"/>
                <w:szCs w:val="20"/>
                <w:u w:val="single"/>
              </w:rPr>
            </w:pPr>
            <w:r>
              <w:rPr>
                <w:sz w:val="20"/>
                <w:szCs w:val="20"/>
                <w:u w:val="single"/>
              </w:rPr>
              <w:t xml:space="preserve">Outcomes </w:t>
            </w:r>
          </w:p>
        </w:tc>
      </w:tr>
      <w:tr w:rsidR="00744659" w14:paraId="6EDF2749" w14:textId="77777777">
        <w:trPr>
          <w:trHeight w:val="360"/>
        </w:trPr>
        <w:tc>
          <w:tcPr>
            <w:tcW w:w="1134" w:type="dxa"/>
            <w:tcMar>
              <w:top w:w="100" w:type="dxa"/>
              <w:left w:w="100" w:type="dxa"/>
              <w:bottom w:w="100" w:type="dxa"/>
              <w:right w:w="100" w:type="dxa"/>
            </w:tcMar>
          </w:tcPr>
          <w:p w14:paraId="6EDF273D" w14:textId="77777777" w:rsidR="00744659" w:rsidRDefault="002C38C9">
            <w:pPr>
              <w:spacing w:line="360" w:lineRule="auto"/>
              <w:rPr>
                <w:i/>
                <w:sz w:val="20"/>
                <w:szCs w:val="20"/>
              </w:rPr>
            </w:pPr>
            <w:r>
              <w:rPr>
                <w:sz w:val="20"/>
                <w:szCs w:val="20"/>
              </w:rPr>
              <w:t>Bell (2005)</w:t>
            </w:r>
            <w:r>
              <w:rPr>
                <w:sz w:val="20"/>
                <w:szCs w:val="20"/>
              </w:rPr>
              <w:br/>
            </w:r>
            <w:r>
              <w:rPr>
                <w:i/>
                <w:sz w:val="20"/>
                <w:szCs w:val="20"/>
              </w:rPr>
              <w:t>RCT</w:t>
            </w:r>
          </w:p>
        </w:tc>
        <w:tc>
          <w:tcPr>
            <w:tcW w:w="1560" w:type="dxa"/>
            <w:tcMar>
              <w:top w:w="100" w:type="dxa"/>
              <w:left w:w="100" w:type="dxa"/>
              <w:bottom w:w="100" w:type="dxa"/>
              <w:right w:w="100" w:type="dxa"/>
            </w:tcMar>
          </w:tcPr>
          <w:p w14:paraId="6EDF273E" w14:textId="77777777" w:rsidR="00744659" w:rsidRPr="00C53C14" w:rsidRDefault="002C38C9">
            <w:pPr>
              <w:spacing w:line="360" w:lineRule="auto"/>
              <w:rPr>
                <w:sz w:val="20"/>
                <w:szCs w:val="20"/>
                <w:lang w:val="en-US"/>
              </w:rPr>
            </w:pPr>
            <w:r w:rsidRPr="00C53C14">
              <w:rPr>
                <w:sz w:val="20"/>
                <w:szCs w:val="20"/>
                <w:lang w:val="en-US"/>
              </w:rPr>
              <w:t>103 neonates with very low birth weight (500 to 1300 grams)</w:t>
            </w:r>
          </w:p>
        </w:tc>
        <w:tc>
          <w:tcPr>
            <w:tcW w:w="3969" w:type="dxa"/>
            <w:tcMar>
              <w:top w:w="100" w:type="dxa"/>
              <w:left w:w="100" w:type="dxa"/>
              <w:bottom w:w="100" w:type="dxa"/>
              <w:right w:w="100" w:type="dxa"/>
            </w:tcMar>
          </w:tcPr>
          <w:p w14:paraId="6EDF273F" w14:textId="77777777" w:rsidR="00744659" w:rsidRPr="00C53C14" w:rsidRDefault="002C38C9">
            <w:pPr>
              <w:widowControl w:val="0"/>
              <w:spacing w:line="360" w:lineRule="auto"/>
              <w:rPr>
                <w:sz w:val="20"/>
                <w:szCs w:val="20"/>
                <w:lang w:val="en-US"/>
              </w:rPr>
            </w:pPr>
            <w:r w:rsidRPr="00C53C14">
              <w:rPr>
                <w:sz w:val="20"/>
                <w:szCs w:val="20"/>
                <w:lang w:val="en-US"/>
              </w:rPr>
              <w:t>- Neonates on ventilation 8.4 mmol/L</w:t>
            </w:r>
          </w:p>
          <w:p w14:paraId="6EDF2740" w14:textId="77777777" w:rsidR="00744659" w:rsidRPr="00C53C14" w:rsidRDefault="002C38C9">
            <w:pPr>
              <w:widowControl w:val="0"/>
              <w:spacing w:line="360" w:lineRule="auto"/>
              <w:rPr>
                <w:sz w:val="20"/>
                <w:szCs w:val="20"/>
                <w:lang w:val="en-US"/>
              </w:rPr>
            </w:pPr>
            <w:r w:rsidRPr="00C53C14">
              <w:rPr>
                <w:sz w:val="20"/>
                <w:szCs w:val="20"/>
                <w:lang w:val="en-US"/>
              </w:rPr>
              <w:t xml:space="preserve">- Neonates on oxygen/CPAP 6.9 mmol/L </w:t>
            </w:r>
          </w:p>
          <w:p w14:paraId="6EDF2741"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5.4 mmol/L</w:t>
            </w:r>
          </w:p>
        </w:tc>
        <w:tc>
          <w:tcPr>
            <w:tcW w:w="3827" w:type="dxa"/>
            <w:tcMar>
              <w:top w:w="100" w:type="dxa"/>
              <w:left w:w="100" w:type="dxa"/>
              <w:bottom w:w="100" w:type="dxa"/>
              <w:right w:w="100" w:type="dxa"/>
            </w:tcMar>
          </w:tcPr>
          <w:p w14:paraId="6EDF2742" w14:textId="77777777" w:rsidR="00744659" w:rsidRPr="00C53C14" w:rsidRDefault="002C38C9">
            <w:pPr>
              <w:widowControl w:val="0"/>
              <w:spacing w:line="360" w:lineRule="auto"/>
              <w:rPr>
                <w:sz w:val="20"/>
                <w:szCs w:val="20"/>
                <w:lang w:val="en-US"/>
              </w:rPr>
            </w:pPr>
            <w:r w:rsidRPr="00C53C14">
              <w:rPr>
                <w:sz w:val="20"/>
                <w:szCs w:val="20"/>
                <w:lang w:val="en-US"/>
              </w:rPr>
              <w:t>- Neonates on ventilation 6.2 mmol/L</w:t>
            </w:r>
          </w:p>
          <w:p w14:paraId="6EDF2743" w14:textId="77777777" w:rsidR="00744659" w:rsidRPr="00C53C14" w:rsidRDefault="002C38C9">
            <w:pPr>
              <w:widowControl w:val="0"/>
              <w:spacing w:line="360" w:lineRule="auto"/>
              <w:rPr>
                <w:sz w:val="20"/>
                <w:szCs w:val="20"/>
                <w:lang w:val="en-US"/>
              </w:rPr>
            </w:pPr>
            <w:r w:rsidRPr="00C53C14">
              <w:rPr>
                <w:sz w:val="20"/>
                <w:szCs w:val="20"/>
                <w:lang w:val="en-US"/>
              </w:rPr>
              <w:t>- Neonates on oxygen/CPAP 5.0 mmol/L</w:t>
            </w:r>
          </w:p>
          <w:p w14:paraId="6EDF2744"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4.4 mmol/L</w:t>
            </w:r>
          </w:p>
        </w:tc>
        <w:tc>
          <w:tcPr>
            <w:tcW w:w="1134" w:type="dxa"/>
            <w:tcMar>
              <w:top w:w="100" w:type="dxa"/>
              <w:left w:w="100" w:type="dxa"/>
              <w:bottom w:w="100" w:type="dxa"/>
              <w:right w:w="100" w:type="dxa"/>
            </w:tcMar>
          </w:tcPr>
          <w:p w14:paraId="6EDF2745" w14:textId="77777777" w:rsidR="00744659" w:rsidRDefault="002C38C9">
            <w:pPr>
              <w:spacing w:line="360" w:lineRule="auto"/>
              <w:rPr>
                <w:sz w:val="20"/>
                <w:szCs w:val="20"/>
              </w:rPr>
            </w:pPr>
            <w:r>
              <w:rPr>
                <w:sz w:val="20"/>
                <w:szCs w:val="20"/>
              </w:rPr>
              <w:t>- Mortality</w:t>
            </w:r>
          </w:p>
          <w:p w14:paraId="6EDF2746" w14:textId="77777777" w:rsidR="00744659" w:rsidRDefault="002C38C9">
            <w:pPr>
              <w:spacing w:line="360" w:lineRule="auto"/>
              <w:rPr>
                <w:sz w:val="20"/>
                <w:szCs w:val="20"/>
              </w:rPr>
            </w:pPr>
            <w:r>
              <w:rPr>
                <w:sz w:val="20"/>
                <w:szCs w:val="20"/>
              </w:rPr>
              <w:t>- Morbidity</w:t>
            </w:r>
          </w:p>
          <w:p w14:paraId="6EDF2747" w14:textId="77777777" w:rsidR="00744659" w:rsidRDefault="002C38C9">
            <w:pPr>
              <w:spacing w:line="360" w:lineRule="auto"/>
              <w:rPr>
                <w:sz w:val="20"/>
                <w:szCs w:val="20"/>
              </w:rPr>
            </w:pPr>
            <w:r>
              <w:rPr>
                <w:sz w:val="20"/>
                <w:szCs w:val="20"/>
              </w:rPr>
              <w:t>- Costs</w:t>
            </w:r>
          </w:p>
          <w:p w14:paraId="6EDF2748" w14:textId="77777777" w:rsidR="00744659" w:rsidRDefault="00744659">
            <w:pPr>
              <w:spacing w:line="360" w:lineRule="auto"/>
              <w:rPr>
                <w:sz w:val="20"/>
                <w:szCs w:val="20"/>
              </w:rPr>
            </w:pPr>
          </w:p>
        </w:tc>
      </w:tr>
      <w:tr w:rsidR="00744659" w14:paraId="6EDF2756" w14:textId="77777777">
        <w:trPr>
          <w:trHeight w:val="360"/>
        </w:trPr>
        <w:tc>
          <w:tcPr>
            <w:tcW w:w="1134" w:type="dxa"/>
            <w:tcMar>
              <w:top w:w="100" w:type="dxa"/>
              <w:left w:w="100" w:type="dxa"/>
              <w:bottom w:w="100" w:type="dxa"/>
              <w:right w:w="100" w:type="dxa"/>
            </w:tcMar>
          </w:tcPr>
          <w:p w14:paraId="6EDF274A" w14:textId="77777777" w:rsidR="00744659" w:rsidRDefault="002C38C9">
            <w:pPr>
              <w:spacing w:line="360" w:lineRule="auto"/>
              <w:rPr>
                <w:sz w:val="20"/>
                <w:szCs w:val="20"/>
              </w:rPr>
            </w:pPr>
            <w:r>
              <w:rPr>
                <w:sz w:val="20"/>
                <w:szCs w:val="20"/>
              </w:rPr>
              <w:t>Chen (2009)</w:t>
            </w:r>
          </w:p>
          <w:p w14:paraId="6EDF274B" w14:textId="77777777" w:rsidR="00744659" w:rsidRDefault="002C38C9">
            <w:pPr>
              <w:spacing w:line="360" w:lineRule="auto"/>
              <w:rPr>
                <w:i/>
                <w:sz w:val="20"/>
                <w:szCs w:val="20"/>
              </w:rPr>
            </w:pPr>
            <w:r>
              <w:rPr>
                <w:i/>
                <w:sz w:val="20"/>
                <w:szCs w:val="20"/>
              </w:rPr>
              <w:t>RCT</w:t>
            </w:r>
          </w:p>
        </w:tc>
        <w:tc>
          <w:tcPr>
            <w:tcW w:w="1560" w:type="dxa"/>
            <w:tcMar>
              <w:top w:w="100" w:type="dxa"/>
              <w:left w:w="100" w:type="dxa"/>
              <w:bottom w:w="100" w:type="dxa"/>
              <w:right w:w="100" w:type="dxa"/>
            </w:tcMar>
          </w:tcPr>
          <w:p w14:paraId="6EDF274C" w14:textId="77777777" w:rsidR="00744659" w:rsidRPr="00C53C14" w:rsidRDefault="002C38C9">
            <w:pPr>
              <w:widowControl w:val="0"/>
              <w:spacing w:line="360" w:lineRule="auto"/>
              <w:rPr>
                <w:sz w:val="20"/>
                <w:szCs w:val="20"/>
                <w:lang w:val="en-US"/>
              </w:rPr>
            </w:pPr>
            <w:r w:rsidRPr="00C53C14">
              <w:rPr>
                <w:sz w:val="20"/>
                <w:szCs w:val="20"/>
                <w:lang w:val="en-US"/>
              </w:rPr>
              <w:t xml:space="preserve">36 neonates with very low birth weight (&lt;1500 grams) </w:t>
            </w:r>
          </w:p>
        </w:tc>
        <w:tc>
          <w:tcPr>
            <w:tcW w:w="3969" w:type="dxa"/>
            <w:tcMar>
              <w:top w:w="100" w:type="dxa"/>
              <w:left w:w="100" w:type="dxa"/>
              <w:bottom w:w="100" w:type="dxa"/>
              <w:right w:w="100" w:type="dxa"/>
            </w:tcMar>
          </w:tcPr>
          <w:p w14:paraId="6EDF274D" w14:textId="77777777" w:rsidR="00744659" w:rsidRPr="00C53C14" w:rsidRDefault="002C38C9">
            <w:pPr>
              <w:widowControl w:val="0"/>
              <w:spacing w:line="360" w:lineRule="auto"/>
              <w:rPr>
                <w:sz w:val="20"/>
                <w:szCs w:val="20"/>
                <w:lang w:val="en-US"/>
              </w:rPr>
            </w:pPr>
            <w:r w:rsidRPr="00C53C14">
              <w:rPr>
                <w:sz w:val="20"/>
                <w:szCs w:val="20"/>
                <w:lang w:val="en-US"/>
              </w:rPr>
              <w:t>- Neonates on ventilation 9.1 mmol/L</w:t>
            </w:r>
          </w:p>
          <w:p w14:paraId="6EDF274E" w14:textId="77777777" w:rsidR="00744659" w:rsidRPr="00C53C14" w:rsidRDefault="002C38C9">
            <w:pPr>
              <w:widowControl w:val="0"/>
              <w:spacing w:line="360" w:lineRule="auto"/>
              <w:rPr>
                <w:sz w:val="20"/>
                <w:szCs w:val="20"/>
                <w:lang w:val="en-US"/>
              </w:rPr>
            </w:pPr>
            <w:r w:rsidRPr="00C53C14">
              <w:rPr>
                <w:sz w:val="20"/>
                <w:szCs w:val="20"/>
                <w:lang w:val="en-US"/>
              </w:rPr>
              <w:t xml:space="preserve">- Neonates on CPAP 8.3 mmol/L </w:t>
            </w:r>
          </w:p>
          <w:p w14:paraId="6EDF274F"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6.2 mmol/L</w:t>
            </w:r>
          </w:p>
        </w:tc>
        <w:tc>
          <w:tcPr>
            <w:tcW w:w="3827" w:type="dxa"/>
            <w:tcMar>
              <w:top w:w="100" w:type="dxa"/>
              <w:left w:w="100" w:type="dxa"/>
              <w:bottom w:w="100" w:type="dxa"/>
              <w:right w:w="100" w:type="dxa"/>
            </w:tcMar>
          </w:tcPr>
          <w:p w14:paraId="6EDF2750" w14:textId="77777777" w:rsidR="00744659" w:rsidRPr="00C53C14" w:rsidRDefault="002C38C9">
            <w:pPr>
              <w:widowControl w:val="0"/>
              <w:spacing w:line="360" w:lineRule="auto"/>
              <w:rPr>
                <w:sz w:val="20"/>
                <w:szCs w:val="20"/>
                <w:lang w:val="en-US"/>
              </w:rPr>
            </w:pPr>
            <w:r w:rsidRPr="00C53C14">
              <w:rPr>
                <w:sz w:val="20"/>
                <w:szCs w:val="20"/>
                <w:lang w:val="en-US"/>
              </w:rPr>
              <w:t>- Neonates on ventilation 7.2 mmol/L</w:t>
            </w:r>
          </w:p>
          <w:p w14:paraId="6EDF2751" w14:textId="77777777" w:rsidR="00744659" w:rsidRPr="00C53C14" w:rsidRDefault="002C38C9">
            <w:pPr>
              <w:widowControl w:val="0"/>
              <w:spacing w:line="360" w:lineRule="auto"/>
              <w:rPr>
                <w:sz w:val="20"/>
                <w:szCs w:val="20"/>
                <w:lang w:val="en-US"/>
              </w:rPr>
            </w:pPr>
            <w:r w:rsidRPr="00C53C14">
              <w:rPr>
                <w:sz w:val="20"/>
                <w:szCs w:val="20"/>
                <w:lang w:val="en-US"/>
              </w:rPr>
              <w:t>- Neonates on CPAP 6.2 mmol/L</w:t>
            </w:r>
          </w:p>
          <w:p w14:paraId="6EDF2752"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4.5 mmol/L</w:t>
            </w:r>
          </w:p>
        </w:tc>
        <w:tc>
          <w:tcPr>
            <w:tcW w:w="1134" w:type="dxa"/>
            <w:tcMar>
              <w:top w:w="100" w:type="dxa"/>
              <w:left w:w="100" w:type="dxa"/>
              <w:bottom w:w="100" w:type="dxa"/>
              <w:right w:w="100" w:type="dxa"/>
            </w:tcMar>
          </w:tcPr>
          <w:p w14:paraId="6EDF2753" w14:textId="77777777" w:rsidR="00744659" w:rsidRDefault="002C38C9">
            <w:pPr>
              <w:spacing w:line="360" w:lineRule="auto"/>
              <w:rPr>
                <w:sz w:val="20"/>
                <w:szCs w:val="20"/>
              </w:rPr>
            </w:pPr>
            <w:r>
              <w:rPr>
                <w:sz w:val="20"/>
                <w:szCs w:val="20"/>
              </w:rPr>
              <w:t>- Mortality</w:t>
            </w:r>
          </w:p>
          <w:p w14:paraId="6EDF2754" w14:textId="77777777" w:rsidR="00744659" w:rsidRDefault="002C38C9">
            <w:pPr>
              <w:spacing w:line="360" w:lineRule="auto"/>
              <w:rPr>
                <w:sz w:val="20"/>
                <w:szCs w:val="20"/>
              </w:rPr>
            </w:pPr>
            <w:r>
              <w:rPr>
                <w:sz w:val="20"/>
                <w:szCs w:val="20"/>
              </w:rPr>
              <w:t>- Morbidity</w:t>
            </w:r>
          </w:p>
          <w:p w14:paraId="6EDF2755" w14:textId="77777777" w:rsidR="00744659" w:rsidRDefault="002C38C9">
            <w:pPr>
              <w:spacing w:line="360" w:lineRule="auto"/>
              <w:rPr>
                <w:sz w:val="20"/>
                <w:szCs w:val="20"/>
              </w:rPr>
            </w:pPr>
            <w:r>
              <w:rPr>
                <w:sz w:val="20"/>
                <w:szCs w:val="20"/>
              </w:rPr>
              <w:t>- Costs</w:t>
            </w:r>
          </w:p>
        </w:tc>
      </w:tr>
      <w:tr w:rsidR="00744659" w14:paraId="6EDF2764" w14:textId="77777777">
        <w:trPr>
          <w:trHeight w:val="360"/>
        </w:trPr>
        <w:tc>
          <w:tcPr>
            <w:tcW w:w="1134" w:type="dxa"/>
            <w:tcMar>
              <w:top w:w="100" w:type="dxa"/>
              <w:left w:w="100" w:type="dxa"/>
              <w:bottom w:w="100" w:type="dxa"/>
              <w:right w:w="100" w:type="dxa"/>
            </w:tcMar>
          </w:tcPr>
          <w:p w14:paraId="6EDF2757" w14:textId="77777777" w:rsidR="00744659" w:rsidRDefault="002C38C9">
            <w:pPr>
              <w:spacing w:line="360" w:lineRule="auto"/>
              <w:rPr>
                <w:sz w:val="20"/>
                <w:szCs w:val="20"/>
              </w:rPr>
            </w:pPr>
            <w:r>
              <w:rPr>
                <w:sz w:val="20"/>
                <w:szCs w:val="20"/>
              </w:rPr>
              <w:t>Connelly (1999)</w:t>
            </w:r>
          </w:p>
          <w:p w14:paraId="6EDF2758" w14:textId="77777777" w:rsidR="00744659" w:rsidRDefault="002C38C9">
            <w:pPr>
              <w:spacing w:line="360" w:lineRule="auto"/>
              <w:rPr>
                <w:i/>
                <w:sz w:val="20"/>
                <w:szCs w:val="20"/>
              </w:rPr>
            </w:pPr>
            <w:r>
              <w:rPr>
                <w:i/>
                <w:sz w:val="20"/>
                <w:szCs w:val="20"/>
              </w:rPr>
              <w:t>Prospective study</w:t>
            </w:r>
          </w:p>
        </w:tc>
        <w:tc>
          <w:tcPr>
            <w:tcW w:w="1560" w:type="dxa"/>
            <w:tcMar>
              <w:top w:w="100" w:type="dxa"/>
              <w:left w:w="100" w:type="dxa"/>
              <w:bottom w:w="100" w:type="dxa"/>
              <w:right w:w="100" w:type="dxa"/>
            </w:tcMar>
          </w:tcPr>
          <w:p w14:paraId="6EDF2759" w14:textId="77777777" w:rsidR="00744659" w:rsidRPr="00C53C14" w:rsidRDefault="002C38C9">
            <w:pPr>
              <w:spacing w:line="360" w:lineRule="auto"/>
              <w:rPr>
                <w:sz w:val="20"/>
                <w:szCs w:val="20"/>
                <w:lang w:val="en-US"/>
              </w:rPr>
            </w:pPr>
            <w:r w:rsidRPr="00C53C14">
              <w:rPr>
                <w:sz w:val="20"/>
                <w:szCs w:val="20"/>
                <w:lang w:val="en-US"/>
              </w:rPr>
              <w:t>24 neonates with very low birth weight (&lt;1500 grams)</w:t>
            </w:r>
          </w:p>
        </w:tc>
        <w:tc>
          <w:tcPr>
            <w:tcW w:w="3969" w:type="dxa"/>
            <w:tcMar>
              <w:top w:w="100" w:type="dxa"/>
              <w:left w:w="100" w:type="dxa"/>
              <w:bottom w:w="100" w:type="dxa"/>
              <w:right w:w="100" w:type="dxa"/>
            </w:tcMar>
          </w:tcPr>
          <w:p w14:paraId="6EDF275A" w14:textId="77777777" w:rsidR="00744659" w:rsidRPr="00C53C14" w:rsidRDefault="002C38C9">
            <w:pPr>
              <w:widowControl w:val="0"/>
              <w:spacing w:line="360" w:lineRule="auto"/>
              <w:rPr>
                <w:sz w:val="20"/>
                <w:szCs w:val="20"/>
                <w:lang w:val="en-US"/>
              </w:rPr>
            </w:pPr>
            <w:r w:rsidRPr="00C53C14">
              <w:rPr>
                <w:sz w:val="20"/>
                <w:szCs w:val="20"/>
                <w:lang w:val="en-US"/>
              </w:rPr>
              <w:t>- First week of life 8.1 mmol/L</w:t>
            </w:r>
          </w:p>
          <w:p w14:paraId="6EDF275B" w14:textId="77777777" w:rsidR="00744659" w:rsidRPr="00C53C14" w:rsidRDefault="002C38C9">
            <w:pPr>
              <w:widowControl w:val="0"/>
              <w:spacing w:line="360" w:lineRule="auto"/>
              <w:rPr>
                <w:sz w:val="20"/>
                <w:szCs w:val="20"/>
                <w:lang w:val="en-US"/>
              </w:rPr>
            </w:pPr>
            <w:r w:rsidRPr="00C53C14">
              <w:rPr>
                <w:sz w:val="20"/>
                <w:szCs w:val="20"/>
                <w:lang w:val="en-US"/>
              </w:rPr>
              <w:t>- Second week of life with respiratory support 6.8 mmol/L</w:t>
            </w:r>
          </w:p>
          <w:p w14:paraId="6EDF275C" w14:textId="77777777" w:rsidR="00744659" w:rsidRPr="00C53C14" w:rsidRDefault="002C38C9">
            <w:pPr>
              <w:widowControl w:val="0"/>
              <w:spacing w:line="360" w:lineRule="auto"/>
              <w:rPr>
                <w:sz w:val="20"/>
                <w:szCs w:val="20"/>
                <w:lang w:val="en-US"/>
              </w:rPr>
            </w:pPr>
            <w:r w:rsidRPr="00C53C14">
              <w:rPr>
                <w:sz w:val="20"/>
                <w:szCs w:val="20"/>
                <w:lang w:val="en-US"/>
              </w:rPr>
              <w:t>- Third week of life 5.0 mmol/L</w:t>
            </w:r>
          </w:p>
        </w:tc>
        <w:tc>
          <w:tcPr>
            <w:tcW w:w="3827" w:type="dxa"/>
            <w:tcMar>
              <w:top w:w="100" w:type="dxa"/>
              <w:left w:w="100" w:type="dxa"/>
              <w:bottom w:w="100" w:type="dxa"/>
              <w:right w:w="100" w:type="dxa"/>
            </w:tcMar>
          </w:tcPr>
          <w:p w14:paraId="6EDF275D" w14:textId="77777777" w:rsidR="00744659" w:rsidRPr="00C53C14" w:rsidRDefault="002C38C9">
            <w:pPr>
              <w:widowControl w:val="0"/>
              <w:spacing w:line="360" w:lineRule="auto"/>
              <w:rPr>
                <w:sz w:val="20"/>
                <w:szCs w:val="20"/>
                <w:lang w:val="en-US"/>
              </w:rPr>
            </w:pPr>
            <w:r w:rsidRPr="00C53C14">
              <w:rPr>
                <w:sz w:val="20"/>
                <w:szCs w:val="20"/>
                <w:lang w:val="en-US"/>
              </w:rPr>
              <w:t>- First week of life 6.8 mmol/L</w:t>
            </w:r>
          </w:p>
          <w:p w14:paraId="6EDF275E" w14:textId="77777777" w:rsidR="00744659" w:rsidRPr="00C53C14" w:rsidRDefault="002C38C9">
            <w:pPr>
              <w:widowControl w:val="0"/>
              <w:spacing w:line="360" w:lineRule="auto"/>
              <w:rPr>
                <w:sz w:val="20"/>
                <w:szCs w:val="20"/>
                <w:lang w:val="en-US"/>
              </w:rPr>
            </w:pPr>
            <w:r w:rsidRPr="00C53C14">
              <w:rPr>
                <w:sz w:val="20"/>
                <w:szCs w:val="20"/>
                <w:lang w:val="en-US"/>
              </w:rPr>
              <w:t>- Second week of life with respiratory support 5.6 mmol/L</w:t>
            </w:r>
          </w:p>
          <w:p w14:paraId="6EDF275F" w14:textId="77777777" w:rsidR="00744659" w:rsidRPr="00C53C14" w:rsidRDefault="002C38C9">
            <w:pPr>
              <w:widowControl w:val="0"/>
              <w:spacing w:line="360" w:lineRule="auto"/>
              <w:rPr>
                <w:sz w:val="20"/>
                <w:szCs w:val="20"/>
                <w:lang w:val="en-US"/>
              </w:rPr>
            </w:pPr>
            <w:r w:rsidRPr="00C53C14">
              <w:rPr>
                <w:sz w:val="20"/>
                <w:szCs w:val="20"/>
                <w:lang w:val="en-US"/>
              </w:rPr>
              <w:t>- Third week of life 5.0 mmol/L</w:t>
            </w:r>
          </w:p>
        </w:tc>
        <w:tc>
          <w:tcPr>
            <w:tcW w:w="1134" w:type="dxa"/>
            <w:tcMar>
              <w:top w:w="100" w:type="dxa"/>
              <w:left w:w="100" w:type="dxa"/>
              <w:bottom w:w="100" w:type="dxa"/>
              <w:right w:w="100" w:type="dxa"/>
            </w:tcMar>
          </w:tcPr>
          <w:p w14:paraId="6EDF2760" w14:textId="77777777" w:rsidR="00744659" w:rsidRDefault="002C38C9">
            <w:pPr>
              <w:spacing w:line="360" w:lineRule="auto"/>
              <w:rPr>
                <w:sz w:val="20"/>
                <w:szCs w:val="20"/>
              </w:rPr>
            </w:pPr>
            <w:r>
              <w:rPr>
                <w:sz w:val="20"/>
                <w:szCs w:val="20"/>
              </w:rPr>
              <w:t>- Mortality</w:t>
            </w:r>
          </w:p>
          <w:p w14:paraId="6EDF2761" w14:textId="77777777" w:rsidR="00744659" w:rsidRDefault="002C38C9">
            <w:pPr>
              <w:spacing w:line="360" w:lineRule="auto"/>
              <w:rPr>
                <w:sz w:val="20"/>
                <w:szCs w:val="20"/>
              </w:rPr>
            </w:pPr>
            <w:r>
              <w:rPr>
                <w:sz w:val="20"/>
                <w:szCs w:val="20"/>
              </w:rPr>
              <w:t>- Morbidity</w:t>
            </w:r>
          </w:p>
          <w:p w14:paraId="6EDF2762" w14:textId="77777777" w:rsidR="00744659" w:rsidRDefault="002C38C9">
            <w:pPr>
              <w:spacing w:line="360" w:lineRule="auto"/>
              <w:rPr>
                <w:sz w:val="20"/>
                <w:szCs w:val="20"/>
              </w:rPr>
            </w:pPr>
            <w:r>
              <w:rPr>
                <w:sz w:val="20"/>
                <w:szCs w:val="20"/>
              </w:rPr>
              <w:t>- Costs</w:t>
            </w:r>
          </w:p>
          <w:p w14:paraId="6EDF2763" w14:textId="77777777" w:rsidR="00744659" w:rsidRDefault="00744659">
            <w:pPr>
              <w:spacing w:line="360" w:lineRule="auto"/>
              <w:rPr>
                <w:sz w:val="20"/>
                <w:szCs w:val="20"/>
              </w:rPr>
            </w:pPr>
          </w:p>
        </w:tc>
      </w:tr>
      <w:tr w:rsidR="00744659" w14:paraId="6EDF2779" w14:textId="77777777">
        <w:trPr>
          <w:trHeight w:val="360"/>
        </w:trPr>
        <w:tc>
          <w:tcPr>
            <w:tcW w:w="1134" w:type="dxa"/>
            <w:tcMar>
              <w:top w:w="100" w:type="dxa"/>
              <w:left w:w="100" w:type="dxa"/>
              <w:bottom w:w="100" w:type="dxa"/>
              <w:right w:w="100" w:type="dxa"/>
            </w:tcMar>
          </w:tcPr>
          <w:p w14:paraId="6EDF2765" w14:textId="77777777" w:rsidR="00744659" w:rsidRDefault="002C38C9">
            <w:pPr>
              <w:spacing w:line="360" w:lineRule="auto"/>
              <w:rPr>
                <w:sz w:val="20"/>
                <w:szCs w:val="20"/>
              </w:rPr>
            </w:pPr>
            <w:r>
              <w:rPr>
                <w:sz w:val="20"/>
                <w:szCs w:val="20"/>
              </w:rPr>
              <w:t>Whyte &amp; Kirpalani (2006)</w:t>
            </w:r>
          </w:p>
          <w:p w14:paraId="6EDF2766" w14:textId="77777777" w:rsidR="00744659" w:rsidRDefault="002C38C9">
            <w:pPr>
              <w:spacing w:line="360" w:lineRule="auto"/>
              <w:rPr>
                <w:i/>
                <w:sz w:val="20"/>
                <w:szCs w:val="20"/>
              </w:rPr>
            </w:pPr>
            <w:r>
              <w:rPr>
                <w:i/>
                <w:sz w:val="20"/>
                <w:szCs w:val="20"/>
              </w:rPr>
              <w:t>RCT</w:t>
            </w:r>
          </w:p>
        </w:tc>
        <w:tc>
          <w:tcPr>
            <w:tcW w:w="1560" w:type="dxa"/>
            <w:tcMar>
              <w:top w:w="100" w:type="dxa"/>
              <w:left w:w="100" w:type="dxa"/>
              <w:bottom w:w="100" w:type="dxa"/>
              <w:right w:w="100" w:type="dxa"/>
            </w:tcMar>
          </w:tcPr>
          <w:p w14:paraId="6EDF2767" w14:textId="77777777" w:rsidR="00744659" w:rsidRPr="00C53C14" w:rsidRDefault="002C38C9">
            <w:pPr>
              <w:spacing w:line="360" w:lineRule="auto"/>
              <w:rPr>
                <w:sz w:val="20"/>
                <w:szCs w:val="20"/>
                <w:lang w:val="en-US"/>
              </w:rPr>
            </w:pPr>
            <w:r w:rsidRPr="00C53C14">
              <w:rPr>
                <w:sz w:val="20"/>
                <w:szCs w:val="20"/>
                <w:lang w:val="en-US"/>
              </w:rPr>
              <w:t>451 neonates with very low birth weight (&lt;1000 gram)</w:t>
            </w:r>
          </w:p>
        </w:tc>
        <w:tc>
          <w:tcPr>
            <w:tcW w:w="3969" w:type="dxa"/>
            <w:tcMar>
              <w:top w:w="100" w:type="dxa"/>
              <w:left w:w="100" w:type="dxa"/>
              <w:bottom w:w="100" w:type="dxa"/>
              <w:right w:w="100" w:type="dxa"/>
            </w:tcMar>
          </w:tcPr>
          <w:p w14:paraId="6EDF2768"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in week 1 7.5 mmol/L</w:t>
            </w:r>
          </w:p>
          <w:p w14:paraId="6EDF2769"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in week 2 6.2 mmol/L</w:t>
            </w:r>
          </w:p>
          <w:p w14:paraId="6EDF276A" w14:textId="77777777" w:rsidR="00744659" w:rsidRPr="00C53C14" w:rsidRDefault="002C38C9">
            <w:pPr>
              <w:widowControl w:val="0"/>
              <w:spacing w:line="360" w:lineRule="auto"/>
              <w:rPr>
                <w:sz w:val="20"/>
                <w:szCs w:val="20"/>
                <w:lang w:val="en-US"/>
              </w:rPr>
            </w:pPr>
            <w:r w:rsidRPr="00C53C14">
              <w:rPr>
                <w:sz w:val="20"/>
                <w:szCs w:val="20"/>
                <w:lang w:val="en-US"/>
              </w:rPr>
              <w:t xml:space="preserve">- Neonates without respiratory support in week 3 5.3 mmol/L </w:t>
            </w:r>
          </w:p>
          <w:p w14:paraId="6EDF276B" w14:textId="77777777" w:rsidR="00744659" w:rsidRPr="00C53C14" w:rsidRDefault="00744659">
            <w:pPr>
              <w:widowControl w:val="0"/>
              <w:spacing w:line="360" w:lineRule="auto"/>
              <w:rPr>
                <w:sz w:val="20"/>
                <w:szCs w:val="20"/>
                <w:lang w:val="en-US"/>
              </w:rPr>
            </w:pPr>
          </w:p>
          <w:p w14:paraId="6EDF276C" w14:textId="77777777" w:rsidR="00744659" w:rsidRPr="00C53C14" w:rsidRDefault="002C38C9">
            <w:pPr>
              <w:widowControl w:val="0"/>
              <w:spacing w:line="360" w:lineRule="auto"/>
              <w:rPr>
                <w:sz w:val="20"/>
                <w:szCs w:val="20"/>
                <w:lang w:val="en-US"/>
              </w:rPr>
            </w:pPr>
            <w:r w:rsidRPr="00C53C14">
              <w:rPr>
                <w:sz w:val="20"/>
                <w:szCs w:val="20"/>
                <w:lang w:val="en-US"/>
              </w:rPr>
              <w:t>- Neonates on respiratory support in week 1 8.4 mmol/L</w:t>
            </w:r>
          </w:p>
          <w:p w14:paraId="6EDF276D" w14:textId="77777777" w:rsidR="00744659" w:rsidRPr="00C53C14" w:rsidRDefault="002C38C9">
            <w:pPr>
              <w:widowControl w:val="0"/>
              <w:spacing w:line="360" w:lineRule="auto"/>
              <w:rPr>
                <w:sz w:val="20"/>
                <w:szCs w:val="20"/>
                <w:lang w:val="en-US"/>
              </w:rPr>
            </w:pPr>
            <w:r w:rsidRPr="00C53C14">
              <w:rPr>
                <w:sz w:val="20"/>
                <w:szCs w:val="20"/>
                <w:lang w:val="en-US"/>
              </w:rPr>
              <w:t>- Neonates on respiratory support in week 2 7.5 mmol/L</w:t>
            </w:r>
          </w:p>
          <w:p w14:paraId="6EDF276E" w14:textId="77777777" w:rsidR="00744659" w:rsidRPr="00C53C14" w:rsidRDefault="002C38C9">
            <w:pPr>
              <w:widowControl w:val="0"/>
              <w:spacing w:line="360" w:lineRule="auto"/>
              <w:rPr>
                <w:sz w:val="20"/>
                <w:szCs w:val="20"/>
                <w:lang w:val="en-US"/>
              </w:rPr>
            </w:pPr>
            <w:r w:rsidRPr="00C53C14">
              <w:rPr>
                <w:sz w:val="20"/>
                <w:szCs w:val="20"/>
                <w:lang w:val="en-US"/>
              </w:rPr>
              <w:lastRenderedPageBreak/>
              <w:t>- Neonates on respiratory support in week 3 6.2 mmol/L</w:t>
            </w:r>
          </w:p>
        </w:tc>
        <w:tc>
          <w:tcPr>
            <w:tcW w:w="3827" w:type="dxa"/>
            <w:tcMar>
              <w:top w:w="100" w:type="dxa"/>
              <w:left w:w="100" w:type="dxa"/>
              <w:bottom w:w="100" w:type="dxa"/>
              <w:right w:w="100" w:type="dxa"/>
            </w:tcMar>
          </w:tcPr>
          <w:p w14:paraId="6EDF276F" w14:textId="77777777" w:rsidR="00744659" w:rsidRPr="00C53C14" w:rsidRDefault="002C38C9">
            <w:pPr>
              <w:widowControl w:val="0"/>
              <w:spacing w:line="360" w:lineRule="auto"/>
              <w:rPr>
                <w:sz w:val="20"/>
                <w:szCs w:val="20"/>
                <w:lang w:val="en-US"/>
              </w:rPr>
            </w:pPr>
            <w:r w:rsidRPr="00C53C14">
              <w:rPr>
                <w:sz w:val="20"/>
                <w:szCs w:val="20"/>
                <w:lang w:val="en-US"/>
              </w:rPr>
              <w:lastRenderedPageBreak/>
              <w:t>- Neonates without respiratory support in week 1 6.2 mmol/L</w:t>
            </w:r>
          </w:p>
          <w:p w14:paraId="6EDF2770"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in week 2 5.3 mmol/L</w:t>
            </w:r>
          </w:p>
          <w:p w14:paraId="6EDF2771" w14:textId="77777777" w:rsidR="00744659" w:rsidRPr="00C53C14" w:rsidRDefault="002C38C9">
            <w:pPr>
              <w:widowControl w:val="0"/>
              <w:spacing w:line="360" w:lineRule="auto"/>
              <w:rPr>
                <w:sz w:val="20"/>
                <w:szCs w:val="20"/>
                <w:lang w:val="en-US"/>
              </w:rPr>
            </w:pPr>
            <w:r w:rsidRPr="00C53C14">
              <w:rPr>
                <w:sz w:val="20"/>
                <w:szCs w:val="20"/>
                <w:lang w:val="en-US"/>
              </w:rPr>
              <w:t>- Neonates without respiratory support in week 3 4.7 mmol/L</w:t>
            </w:r>
          </w:p>
          <w:p w14:paraId="6EDF2772" w14:textId="77777777" w:rsidR="00744659" w:rsidRPr="00C53C14" w:rsidRDefault="00744659">
            <w:pPr>
              <w:widowControl w:val="0"/>
              <w:spacing w:line="360" w:lineRule="auto"/>
              <w:rPr>
                <w:sz w:val="20"/>
                <w:szCs w:val="20"/>
                <w:lang w:val="en-US"/>
              </w:rPr>
            </w:pPr>
          </w:p>
          <w:p w14:paraId="6EDF2773" w14:textId="77777777" w:rsidR="00744659" w:rsidRPr="00C53C14" w:rsidRDefault="002C38C9">
            <w:pPr>
              <w:widowControl w:val="0"/>
              <w:spacing w:line="360" w:lineRule="auto"/>
              <w:rPr>
                <w:sz w:val="20"/>
                <w:szCs w:val="20"/>
                <w:lang w:val="en-US"/>
              </w:rPr>
            </w:pPr>
            <w:r w:rsidRPr="00C53C14">
              <w:rPr>
                <w:sz w:val="20"/>
                <w:szCs w:val="20"/>
                <w:lang w:val="en-US"/>
              </w:rPr>
              <w:t>- Neonates on respiratory support in week 1 7.1 mmol/L</w:t>
            </w:r>
          </w:p>
          <w:p w14:paraId="6EDF2774" w14:textId="77777777" w:rsidR="00744659" w:rsidRPr="00C53C14" w:rsidRDefault="002C38C9">
            <w:pPr>
              <w:widowControl w:val="0"/>
              <w:spacing w:line="360" w:lineRule="auto"/>
              <w:rPr>
                <w:sz w:val="20"/>
                <w:szCs w:val="20"/>
                <w:lang w:val="en-US"/>
              </w:rPr>
            </w:pPr>
            <w:r w:rsidRPr="00C53C14">
              <w:rPr>
                <w:sz w:val="20"/>
                <w:szCs w:val="20"/>
                <w:lang w:val="en-US"/>
              </w:rPr>
              <w:t>- Neonates on respiratory support in week 2 6.2 mmol/L</w:t>
            </w:r>
          </w:p>
          <w:p w14:paraId="6EDF2775" w14:textId="77777777" w:rsidR="00744659" w:rsidRPr="00C53C14" w:rsidRDefault="002C38C9">
            <w:pPr>
              <w:widowControl w:val="0"/>
              <w:spacing w:line="360" w:lineRule="auto"/>
              <w:rPr>
                <w:sz w:val="20"/>
                <w:szCs w:val="20"/>
                <w:lang w:val="en-US"/>
              </w:rPr>
            </w:pPr>
            <w:r w:rsidRPr="00C53C14">
              <w:rPr>
                <w:sz w:val="20"/>
                <w:szCs w:val="20"/>
                <w:lang w:val="en-US"/>
              </w:rPr>
              <w:lastRenderedPageBreak/>
              <w:t>- Neonates on respiratory support in week 3 5.3 mmol/L</w:t>
            </w:r>
          </w:p>
        </w:tc>
        <w:tc>
          <w:tcPr>
            <w:tcW w:w="1134" w:type="dxa"/>
            <w:tcMar>
              <w:top w:w="100" w:type="dxa"/>
              <w:left w:w="100" w:type="dxa"/>
              <w:bottom w:w="100" w:type="dxa"/>
              <w:right w:w="100" w:type="dxa"/>
            </w:tcMar>
          </w:tcPr>
          <w:p w14:paraId="6EDF2776" w14:textId="77777777" w:rsidR="00744659" w:rsidRDefault="002C38C9">
            <w:pPr>
              <w:spacing w:line="360" w:lineRule="auto"/>
              <w:rPr>
                <w:sz w:val="20"/>
                <w:szCs w:val="20"/>
              </w:rPr>
            </w:pPr>
            <w:r>
              <w:rPr>
                <w:sz w:val="20"/>
                <w:szCs w:val="20"/>
              </w:rPr>
              <w:lastRenderedPageBreak/>
              <w:t>- Mortality</w:t>
            </w:r>
          </w:p>
          <w:p w14:paraId="6EDF2777" w14:textId="77777777" w:rsidR="00744659" w:rsidRDefault="002C38C9">
            <w:pPr>
              <w:spacing w:line="360" w:lineRule="auto"/>
              <w:rPr>
                <w:sz w:val="20"/>
                <w:szCs w:val="20"/>
              </w:rPr>
            </w:pPr>
            <w:r>
              <w:rPr>
                <w:sz w:val="20"/>
                <w:szCs w:val="20"/>
              </w:rPr>
              <w:t>- Morbidity</w:t>
            </w:r>
          </w:p>
          <w:p w14:paraId="6EDF2778" w14:textId="77777777" w:rsidR="00744659" w:rsidRDefault="002C38C9">
            <w:pPr>
              <w:spacing w:line="360" w:lineRule="auto"/>
              <w:rPr>
                <w:sz w:val="20"/>
                <w:szCs w:val="20"/>
              </w:rPr>
            </w:pPr>
            <w:r>
              <w:rPr>
                <w:sz w:val="20"/>
                <w:szCs w:val="20"/>
              </w:rPr>
              <w:t>- Costs</w:t>
            </w:r>
          </w:p>
        </w:tc>
      </w:tr>
    </w:tbl>
    <w:p w14:paraId="6EDF277A" w14:textId="77777777" w:rsidR="00744659" w:rsidRDefault="002C38C9">
      <w:pPr>
        <w:spacing w:line="360" w:lineRule="auto"/>
        <w:rPr>
          <w:rFonts w:ascii="Calibri" w:eastAsia="Calibri" w:hAnsi="Calibri" w:cs="Calibri"/>
          <w:sz w:val="20"/>
          <w:szCs w:val="20"/>
          <w:u w:val="single"/>
        </w:rPr>
      </w:pPr>
      <w:r>
        <w:rPr>
          <w:rFonts w:ascii="Calibri" w:eastAsia="Calibri" w:hAnsi="Calibri" w:cs="Calibri"/>
          <w:sz w:val="20"/>
          <w:szCs w:val="20"/>
          <w:u w:val="single"/>
        </w:rPr>
        <w:br/>
        <w:t>A2.3: Excluded studies</w:t>
      </w:r>
    </w:p>
    <w:tbl>
      <w:tblPr>
        <w:tblStyle w:val="aff2"/>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10064"/>
      </w:tblGrid>
      <w:tr w:rsidR="00744659" w14:paraId="6EDF277C" w14:textId="77777777">
        <w:trPr>
          <w:trHeight w:val="71"/>
        </w:trPr>
        <w:tc>
          <w:tcPr>
            <w:tcW w:w="11623" w:type="dxa"/>
            <w:gridSpan w:val="2"/>
            <w:shd w:val="clear" w:color="auto" w:fill="000000"/>
            <w:tcMar>
              <w:top w:w="100" w:type="dxa"/>
              <w:left w:w="100" w:type="dxa"/>
              <w:bottom w:w="100" w:type="dxa"/>
              <w:right w:w="100" w:type="dxa"/>
            </w:tcMar>
          </w:tcPr>
          <w:p w14:paraId="6EDF277B" w14:textId="77777777" w:rsidR="00744659" w:rsidRDefault="002C38C9">
            <w:pPr>
              <w:spacing w:line="360" w:lineRule="auto"/>
              <w:rPr>
                <w:b/>
                <w:color w:val="FFFFFF"/>
                <w:sz w:val="20"/>
                <w:szCs w:val="20"/>
              </w:rPr>
            </w:pPr>
            <w:r>
              <w:rPr>
                <w:b/>
                <w:color w:val="FFFFFF"/>
                <w:sz w:val="20"/>
                <w:szCs w:val="20"/>
              </w:rPr>
              <w:t>Excluded studies</w:t>
            </w:r>
          </w:p>
        </w:tc>
      </w:tr>
      <w:tr w:rsidR="00744659" w14:paraId="6EDF277F" w14:textId="77777777">
        <w:trPr>
          <w:trHeight w:val="179"/>
        </w:trPr>
        <w:tc>
          <w:tcPr>
            <w:tcW w:w="1559" w:type="dxa"/>
            <w:shd w:val="clear" w:color="auto" w:fill="D9D9D9"/>
            <w:tcMar>
              <w:top w:w="100" w:type="dxa"/>
              <w:left w:w="100" w:type="dxa"/>
              <w:bottom w:w="100" w:type="dxa"/>
              <w:right w:w="100" w:type="dxa"/>
            </w:tcMar>
          </w:tcPr>
          <w:p w14:paraId="6EDF277D" w14:textId="77777777" w:rsidR="00744659" w:rsidRDefault="002C38C9">
            <w:pPr>
              <w:spacing w:line="360" w:lineRule="auto"/>
              <w:rPr>
                <w:b/>
                <w:sz w:val="20"/>
                <w:szCs w:val="20"/>
              </w:rPr>
            </w:pPr>
            <w:r>
              <w:rPr>
                <w:b/>
                <w:sz w:val="20"/>
                <w:szCs w:val="20"/>
              </w:rPr>
              <w:t>Study</w:t>
            </w:r>
          </w:p>
        </w:tc>
        <w:tc>
          <w:tcPr>
            <w:tcW w:w="10064" w:type="dxa"/>
            <w:shd w:val="clear" w:color="auto" w:fill="D9D9D9"/>
            <w:tcMar>
              <w:top w:w="100" w:type="dxa"/>
              <w:left w:w="100" w:type="dxa"/>
              <w:bottom w:w="100" w:type="dxa"/>
              <w:right w:w="100" w:type="dxa"/>
            </w:tcMar>
          </w:tcPr>
          <w:p w14:paraId="6EDF277E" w14:textId="77777777" w:rsidR="00744659" w:rsidRDefault="002C38C9">
            <w:pPr>
              <w:spacing w:line="360" w:lineRule="auto"/>
              <w:rPr>
                <w:b/>
                <w:sz w:val="20"/>
                <w:szCs w:val="20"/>
              </w:rPr>
            </w:pPr>
            <w:r>
              <w:rPr>
                <w:b/>
                <w:sz w:val="20"/>
                <w:szCs w:val="20"/>
              </w:rPr>
              <w:t xml:space="preserve">Reasons for exclusion </w:t>
            </w:r>
          </w:p>
        </w:tc>
      </w:tr>
      <w:tr w:rsidR="00744659" w:rsidRPr="00C53C14" w14:paraId="6EDF2782" w14:textId="77777777">
        <w:trPr>
          <w:trHeight w:val="458"/>
        </w:trPr>
        <w:tc>
          <w:tcPr>
            <w:tcW w:w="1559" w:type="dxa"/>
            <w:tcMar>
              <w:top w:w="100" w:type="dxa"/>
              <w:left w:w="100" w:type="dxa"/>
              <w:bottom w:w="100" w:type="dxa"/>
              <w:right w:w="100" w:type="dxa"/>
            </w:tcMar>
          </w:tcPr>
          <w:p w14:paraId="6EDF2780" w14:textId="77777777" w:rsidR="00744659" w:rsidRDefault="002C38C9">
            <w:pPr>
              <w:spacing w:line="360" w:lineRule="auto"/>
              <w:rPr>
                <w:i/>
                <w:sz w:val="20"/>
                <w:szCs w:val="20"/>
              </w:rPr>
            </w:pPr>
            <w:r>
              <w:rPr>
                <w:i/>
                <w:sz w:val="20"/>
                <w:szCs w:val="20"/>
              </w:rPr>
              <w:t>Whyte &amp; Kirpalani (2011)</w:t>
            </w:r>
          </w:p>
        </w:tc>
        <w:tc>
          <w:tcPr>
            <w:tcW w:w="10064" w:type="dxa"/>
            <w:tcMar>
              <w:top w:w="100" w:type="dxa"/>
              <w:left w:w="100" w:type="dxa"/>
              <w:bottom w:w="100" w:type="dxa"/>
              <w:right w:w="100" w:type="dxa"/>
            </w:tcMar>
          </w:tcPr>
          <w:p w14:paraId="6EDF2781" w14:textId="77777777" w:rsidR="00744659" w:rsidRPr="00C53C14" w:rsidRDefault="002C38C9">
            <w:pPr>
              <w:spacing w:line="360" w:lineRule="auto"/>
              <w:rPr>
                <w:sz w:val="20"/>
                <w:szCs w:val="20"/>
                <w:lang w:val="en-US"/>
              </w:rPr>
            </w:pPr>
            <w:r w:rsidRPr="00C53C14">
              <w:rPr>
                <w:sz w:val="20"/>
                <w:szCs w:val="20"/>
                <w:lang w:val="en-US"/>
              </w:rPr>
              <w:t xml:space="preserve">This was a review, including the following studies: Connelly (1999), Bell (2005), Chen (2009), and Whyte &amp; Kirpalani (2006) and were all included. </w:t>
            </w:r>
          </w:p>
        </w:tc>
      </w:tr>
      <w:tr w:rsidR="00744659" w:rsidRPr="00C53C14" w14:paraId="6EDF2785" w14:textId="77777777">
        <w:trPr>
          <w:trHeight w:val="458"/>
        </w:trPr>
        <w:tc>
          <w:tcPr>
            <w:tcW w:w="1559" w:type="dxa"/>
            <w:tcMar>
              <w:top w:w="100" w:type="dxa"/>
              <w:left w:w="100" w:type="dxa"/>
              <w:bottom w:w="100" w:type="dxa"/>
              <w:right w:w="100" w:type="dxa"/>
            </w:tcMar>
          </w:tcPr>
          <w:p w14:paraId="6EDF2783" w14:textId="77777777" w:rsidR="00744659" w:rsidRDefault="002C38C9">
            <w:pPr>
              <w:spacing w:line="360" w:lineRule="auto"/>
              <w:rPr>
                <w:i/>
                <w:sz w:val="20"/>
                <w:szCs w:val="20"/>
              </w:rPr>
            </w:pPr>
            <w:r>
              <w:rPr>
                <w:i/>
                <w:sz w:val="20"/>
                <w:szCs w:val="20"/>
              </w:rPr>
              <w:t>Venkatesh (2012)</w:t>
            </w:r>
          </w:p>
        </w:tc>
        <w:tc>
          <w:tcPr>
            <w:tcW w:w="10064" w:type="dxa"/>
            <w:tcMar>
              <w:top w:w="100" w:type="dxa"/>
              <w:left w:w="100" w:type="dxa"/>
              <w:bottom w:w="100" w:type="dxa"/>
              <w:right w:w="100" w:type="dxa"/>
            </w:tcMar>
          </w:tcPr>
          <w:p w14:paraId="6EDF2784" w14:textId="77777777" w:rsidR="00744659" w:rsidRPr="00C53C14" w:rsidRDefault="002C38C9">
            <w:pPr>
              <w:spacing w:line="360" w:lineRule="auto"/>
              <w:rPr>
                <w:sz w:val="20"/>
                <w:szCs w:val="20"/>
                <w:lang w:val="en-US"/>
              </w:rPr>
            </w:pPr>
            <w:r w:rsidRPr="00C53C14">
              <w:rPr>
                <w:sz w:val="20"/>
                <w:szCs w:val="20"/>
                <w:lang w:val="en-US"/>
              </w:rPr>
              <w:t xml:space="preserve">This was a review, including the following studies: Bell (2005), Chen (2009), Whyte &amp; Kirpalani (2006), Brooks (1999), Mukhopadhya (2004), and Ransome (1989) and were all included except Ransome (1989) considering that this article was not found. </w:t>
            </w:r>
          </w:p>
        </w:tc>
      </w:tr>
      <w:tr w:rsidR="00744659" w:rsidRPr="00C53C14" w14:paraId="6EDF2788" w14:textId="77777777">
        <w:trPr>
          <w:trHeight w:val="342"/>
        </w:trPr>
        <w:tc>
          <w:tcPr>
            <w:tcW w:w="1559" w:type="dxa"/>
            <w:tcMar>
              <w:top w:w="100" w:type="dxa"/>
              <w:left w:w="100" w:type="dxa"/>
              <w:bottom w:w="100" w:type="dxa"/>
              <w:right w:w="100" w:type="dxa"/>
            </w:tcMar>
          </w:tcPr>
          <w:p w14:paraId="6EDF2786" w14:textId="77777777" w:rsidR="00744659" w:rsidRDefault="002C38C9">
            <w:pPr>
              <w:spacing w:line="360" w:lineRule="auto"/>
              <w:rPr>
                <w:i/>
                <w:sz w:val="20"/>
                <w:szCs w:val="20"/>
              </w:rPr>
            </w:pPr>
            <w:r>
              <w:rPr>
                <w:i/>
                <w:sz w:val="20"/>
                <w:szCs w:val="20"/>
              </w:rPr>
              <w:t>Lacroix (2007)</w:t>
            </w:r>
          </w:p>
        </w:tc>
        <w:tc>
          <w:tcPr>
            <w:tcW w:w="10064" w:type="dxa"/>
            <w:tcMar>
              <w:top w:w="100" w:type="dxa"/>
              <w:left w:w="100" w:type="dxa"/>
              <w:bottom w:w="100" w:type="dxa"/>
              <w:right w:w="100" w:type="dxa"/>
            </w:tcMar>
          </w:tcPr>
          <w:p w14:paraId="6EDF2787" w14:textId="77777777" w:rsidR="00744659" w:rsidRPr="00C53C14" w:rsidRDefault="002C38C9">
            <w:pPr>
              <w:spacing w:line="360" w:lineRule="auto"/>
              <w:rPr>
                <w:sz w:val="20"/>
                <w:szCs w:val="20"/>
                <w:lang w:val="en-US"/>
              </w:rPr>
            </w:pPr>
            <w:r w:rsidRPr="00C53C14">
              <w:rPr>
                <w:sz w:val="20"/>
                <w:szCs w:val="20"/>
                <w:lang w:val="en-US"/>
              </w:rPr>
              <w:t xml:space="preserve">This study included children in general and was thus included in the section “Children with cancer”. </w:t>
            </w:r>
          </w:p>
        </w:tc>
      </w:tr>
    </w:tbl>
    <w:p w14:paraId="6EDF2789" w14:textId="77777777" w:rsidR="00744659" w:rsidRPr="00C53C14" w:rsidRDefault="00744659">
      <w:pPr>
        <w:spacing w:line="360" w:lineRule="auto"/>
        <w:rPr>
          <w:rFonts w:ascii="Calibri" w:eastAsia="Calibri" w:hAnsi="Calibri" w:cs="Calibri"/>
          <w:i/>
          <w:sz w:val="20"/>
          <w:szCs w:val="20"/>
          <w:lang w:val="en-US"/>
        </w:rPr>
      </w:pPr>
    </w:p>
    <w:p w14:paraId="6EDF278A"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78B"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B1: Neonates on oxygen/CPAP</w:t>
      </w:r>
    </w:p>
    <w:p w14:paraId="6EDF278C"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B1.1: Hb of 5.0 mmol/L versus Hb greater than 5.0 mmol/L in neonates on oxygen/CPAP</w:t>
      </w:r>
    </w:p>
    <w:tbl>
      <w:tblPr>
        <w:tblStyle w:val="aff3"/>
        <w:tblW w:w="934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10"/>
        <w:gridCol w:w="2775"/>
        <w:gridCol w:w="2460"/>
      </w:tblGrid>
      <w:tr w:rsidR="00744659" w14:paraId="6EDF2790"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tcBorders>
              <w:top w:val="single" w:sz="8" w:space="0" w:color="FFFFFF"/>
            </w:tcBorders>
          </w:tcPr>
          <w:p w14:paraId="6EDF278D" w14:textId="77777777" w:rsidR="00744659" w:rsidRDefault="002C38C9">
            <w:pPr>
              <w:spacing w:line="360" w:lineRule="auto"/>
              <w:rPr>
                <w:sz w:val="20"/>
                <w:szCs w:val="20"/>
              </w:rPr>
            </w:pPr>
            <w:r>
              <w:rPr>
                <w:sz w:val="20"/>
                <w:szCs w:val="20"/>
              </w:rPr>
              <w:t>Conclusion of evidence</w:t>
            </w:r>
          </w:p>
        </w:tc>
        <w:tc>
          <w:tcPr>
            <w:tcW w:w="2775" w:type="dxa"/>
            <w:tcBorders>
              <w:top w:val="single" w:sz="8" w:space="0" w:color="FFFFFF"/>
            </w:tcBorders>
          </w:tcPr>
          <w:p w14:paraId="6EDF278E"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60" w:type="dxa"/>
            <w:tcBorders>
              <w:top w:val="single" w:sz="8" w:space="0" w:color="FFFFFF"/>
            </w:tcBorders>
          </w:tcPr>
          <w:p w14:paraId="6EDF278F"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792"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791"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796" w14:textId="77777777" w:rsidTr="00744659">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93" w14:textId="77777777" w:rsidR="00744659" w:rsidRDefault="002C38C9">
            <w:pPr>
              <w:spacing w:line="360" w:lineRule="auto"/>
              <w:rPr>
                <w:sz w:val="20"/>
                <w:szCs w:val="20"/>
              </w:rPr>
            </w:pPr>
            <w:r>
              <w:rPr>
                <w:b w:val="0"/>
                <w:sz w:val="20"/>
                <w:szCs w:val="20"/>
              </w:rPr>
              <w:t>No studies</w:t>
            </w:r>
          </w:p>
        </w:tc>
        <w:tc>
          <w:tcPr>
            <w:tcW w:w="2775" w:type="dxa"/>
            <w:shd w:val="clear" w:color="auto" w:fill="auto"/>
          </w:tcPr>
          <w:p w14:paraId="6EDF2794"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60" w:type="dxa"/>
            <w:shd w:val="clear" w:color="auto" w:fill="auto"/>
          </w:tcPr>
          <w:p w14:paraId="6EDF2795"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798"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797"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79A"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799" w14:textId="77777777" w:rsidR="00744659" w:rsidRDefault="002C38C9">
            <w:pPr>
              <w:spacing w:line="360" w:lineRule="auto"/>
              <w:rPr>
                <w:sz w:val="20"/>
                <w:szCs w:val="20"/>
                <w:u w:val="single"/>
              </w:rPr>
            </w:pPr>
            <w:r>
              <w:rPr>
                <w:b w:val="0"/>
                <w:sz w:val="20"/>
                <w:szCs w:val="20"/>
                <w:u w:val="single"/>
              </w:rPr>
              <w:t>Mortality</w:t>
            </w:r>
          </w:p>
        </w:tc>
      </w:tr>
      <w:tr w:rsidR="00744659" w14:paraId="6EDF279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9B"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mortality when comparing an Hb of 5.6 mmol/L vs. greater than 5.6 mmol/L in neonates.</w:t>
            </w:r>
          </w:p>
        </w:tc>
        <w:tc>
          <w:tcPr>
            <w:tcW w:w="2775" w:type="dxa"/>
            <w:shd w:val="clear" w:color="auto" w:fill="auto"/>
          </w:tcPr>
          <w:p w14:paraId="6EDF279C"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0.52 (95% CI 0.05 - 5.56).</w:t>
            </w:r>
            <w:r>
              <w:rPr>
                <w:sz w:val="20"/>
                <w:szCs w:val="20"/>
              </w:rPr>
              <w:br/>
            </w:r>
          </w:p>
        </w:tc>
        <w:tc>
          <w:tcPr>
            <w:tcW w:w="2460" w:type="dxa"/>
            <w:shd w:val="clear" w:color="auto" w:fill="auto"/>
          </w:tcPr>
          <w:p w14:paraId="6EDF279D"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Bell 2005</w:t>
            </w:r>
          </w:p>
        </w:tc>
      </w:tr>
      <w:tr w:rsidR="00744659" w14:paraId="6EDF27A0"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79F" w14:textId="77777777" w:rsidR="00744659" w:rsidRDefault="002C38C9">
            <w:pPr>
              <w:spacing w:line="360" w:lineRule="auto"/>
              <w:rPr>
                <w:sz w:val="20"/>
                <w:szCs w:val="20"/>
                <w:u w:val="single"/>
              </w:rPr>
            </w:pPr>
            <w:r>
              <w:rPr>
                <w:b w:val="0"/>
                <w:sz w:val="20"/>
                <w:szCs w:val="20"/>
                <w:u w:val="single"/>
              </w:rPr>
              <w:t>Morbidity</w:t>
            </w:r>
          </w:p>
        </w:tc>
      </w:tr>
      <w:tr w:rsidR="00744659" w14:paraId="6EDF27A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A1"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5.6 mmol/L vs. greater than 5.6 mmol/L in neonates.</w:t>
            </w:r>
          </w:p>
        </w:tc>
        <w:tc>
          <w:tcPr>
            <w:tcW w:w="2775" w:type="dxa"/>
            <w:shd w:val="clear" w:color="auto" w:fill="auto"/>
          </w:tcPr>
          <w:p w14:paraId="6EDF27A2"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460" w:type="dxa"/>
            <w:shd w:val="clear" w:color="auto" w:fill="auto"/>
          </w:tcPr>
          <w:p w14:paraId="6EDF27A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Bell 2005</w:t>
            </w:r>
          </w:p>
        </w:tc>
      </w:tr>
      <w:tr w:rsidR="00744659" w14:paraId="6EDF27A6"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7A5" w14:textId="77777777" w:rsidR="00744659" w:rsidRDefault="002C38C9">
            <w:pPr>
              <w:spacing w:line="360" w:lineRule="auto"/>
              <w:rPr>
                <w:sz w:val="20"/>
                <w:szCs w:val="20"/>
                <w:u w:val="single"/>
              </w:rPr>
            </w:pPr>
            <w:r>
              <w:rPr>
                <w:b w:val="0"/>
                <w:sz w:val="20"/>
                <w:szCs w:val="20"/>
                <w:u w:val="single"/>
              </w:rPr>
              <w:lastRenderedPageBreak/>
              <w:t>Costs</w:t>
            </w:r>
          </w:p>
        </w:tc>
      </w:tr>
      <w:tr w:rsidR="00744659" w14:paraId="6EDF27A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A7" w14:textId="77777777" w:rsidR="00744659" w:rsidRPr="00C53C14" w:rsidRDefault="002C38C9">
            <w:pPr>
              <w:spacing w:line="360" w:lineRule="auto"/>
              <w:rPr>
                <w:sz w:val="20"/>
                <w:szCs w:val="20"/>
                <w:lang w:val="en-US"/>
              </w:rPr>
            </w:pPr>
            <w:r w:rsidRPr="00C53C14">
              <w:rPr>
                <w:b w:val="0"/>
                <w:sz w:val="20"/>
                <w:szCs w:val="20"/>
                <w:lang w:val="en-US"/>
              </w:rPr>
              <w:t>There was a significant reduction regarding costs when comparing an Hb of 5.6 mmol/L vs. greater than 5.6 mmol/L in neonates.</w:t>
            </w:r>
          </w:p>
        </w:tc>
        <w:tc>
          <w:tcPr>
            <w:tcW w:w="2775" w:type="dxa"/>
            <w:shd w:val="clear" w:color="auto" w:fill="auto"/>
          </w:tcPr>
          <w:p w14:paraId="6EDF27A8"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u w:val="single"/>
              </w:rPr>
              <w:t>MD -1.10 (95% CI -2.10 - -0.10)</w:t>
            </w:r>
          </w:p>
        </w:tc>
        <w:tc>
          <w:tcPr>
            <w:tcW w:w="2460" w:type="dxa"/>
            <w:shd w:val="clear" w:color="auto" w:fill="auto"/>
          </w:tcPr>
          <w:p w14:paraId="6EDF27A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Bell 2005</w:t>
            </w:r>
          </w:p>
        </w:tc>
      </w:tr>
      <w:tr w:rsidR="00744659" w:rsidRPr="00C53C14" w14:paraId="6EDF27AC"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7AB"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7B0"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AD" w14:textId="77777777" w:rsidR="00744659" w:rsidRDefault="002C38C9">
            <w:pPr>
              <w:spacing w:line="360" w:lineRule="auto"/>
              <w:rPr>
                <w:sz w:val="20"/>
                <w:szCs w:val="20"/>
              </w:rPr>
            </w:pPr>
            <w:r>
              <w:rPr>
                <w:b w:val="0"/>
                <w:sz w:val="20"/>
                <w:szCs w:val="20"/>
              </w:rPr>
              <w:t>No studies</w:t>
            </w:r>
          </w:p>
        </w:tc>
        <w:tc>
          <w:tcPr>
            <w:tcW w:w="2775" w:type="dxa"/>
            <w:shd w:val="clear" w:color="auto" w:fill="auto"/>
          </w:tcPr>
          <w:p w14:paraId="6EDF27AE"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60" w:type="dxa"/>
            <w:shd w:val="clear" w:color="auto" w:fill="auto"/>
          </w:tcPr>
          <w:p w14:paraId="6EDF27AF"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7B1"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7B2" w14:textId="77777777" w:rsidR="00744659" w:rsidRPr="00C53C14" w:rsidRDefault="00744659">
      <w:pPr>
        <w:spacing w:line="360" w:lineRule="auto"/>
        <w:rPr>
          <w:rFonts w:ascii="Calibri" w:eastAsia="Calibri" w:hAnsi="Calibri" w:cs="Calibri"/>
          <w:sz w:val="20"/>
          <w:szCs w:val="20"/>
          <w:lang w:val="en-US"/>
        </w:rPr>
      </w:pPr>
    </w:p>
    <w:p w14:paraId="6EDF27B3"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B1.2: Hb of 6.2 mmol/L versus Hb greater than 6.2 mmol/L in neonates on oxygen/CPAP</w:t>
      </w:r>
    </w:p>
    <w:tbl>
      <w:tblPr>
        <w:tblStyle w:val="aff4"/>
        <w:tblW w:w="934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10"/>
        <w:gridCol w:w="2790"/>
        <w:gridCol w:w="2445"/>
      </w:tblGrid>
      <w:tr w:rsidR="00744659" w14:paraId="6EDF27B7"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tcBorders>
              <w:top w:val="single" w:sz="8" w:space="0" w:color="FFFFFF"/>
            </w:tcBorders>
          </w:tcPr>
          <w:p w14:paraId="6EDF27B4" w14:textId="77777777" w:rsidR="00744659" w:rsidRDefault="002C38C9">
            <w:pPr>
              <w:spacing w:line="360" w:lineRule="auto"/>
              <w:rPr>
                <w:sz w:val="20"/>
                <w:szCs w:val="20"/>
              </w:rPr>
            </w:pPr>
            <w:r>
              <w:rPr>
                <w:sz w:val="20"/>
                <w:szCs w:val="20"/>
              </w:rPr>
              <w:t>Conclusion of evidence</w:t>
            </w:r>
          </w:p>
        </w:tc>
        <w:tc>
          <w:tcPr>
            <w:tcW w:w="2790" w:type="dxa"/>
            <w:tcBorders>
              <w:top w:val="single" w:sz="8" w:space="0" w:color="FFFFFF"/>
            </w:tcBorders>
          </w:tcPr>
          <w:p w14:paraId="6EDF27B5"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45" w:type="dxa"/>
            <w:tcBorders>
              <w:top w:val="single" w:sz="8" w:space="0" w:color="FFFFFF"/>
            </w:tcBorders>
          </w:tcPr>
          <w:p w14:paraId="6EDF27B6"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7B9"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7B8"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7BD" w14:textId="77777777" w:rsidTr="00744659">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BA" w14:textId="77777777" w:rsidR="00744659" w:rsidRDefault="002C38C9">
            <w:pPr>
              <w:spacing w:line="360" w:lineRule="auto"/>
              <w:rPr>
                <w:sz w:val="20"/>
                <w:szCs w:val="20"/>
              </w:rPr>
            </w:pPr>
            <w:r>
              <w:rPr>
                <w:b w:val="0"/>
                <w:sz w:val="20"/>
                <w:szCs w:val="20"/>
              </w:rPr>
              <w:t>No studies</w:t>
            </w:r>
          </w:p>
        </w:tc>
        <w:tc>
          <w:tcPr>
            <w:tcW w:w="2790" w:type="dxa"/>
            <w:shd w:val="clear" w:color="auto" w:fill="auto"/>
          </w:tcPr>
          <w:p w14:paraId="6EDF27BB"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45" w:type="dxa"/>
            <w:shd w:val="clear" w:color="auto" w:fill="auto"/>
          </w:tcPr>
          <w:p w14:paraId="6EDF27BC"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7B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7BE"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7C1"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7C0" w14:textId="77777777" w:rsidR="00744659" w:rsidRDefault="002C38C9">
            <w:pPr>
              <w:spacing w:line="360" w:lineRule="auto"/>
              <w:rPr>
                <w:sz w:val="20"/>
                <w:szCs w:val="20"/>
                <w:u w:val="single"/>
              </w:rPr>
            </w:pPr>
            <w:r>
              <w:rPr>
                <w:b w:val="0"/>
                <w:sz w:val="20"/>
                <w:szCs w:val="20"/>
                <w:u w:val="single"/>
              </w:rPr>
              <w:t>Mortality</w:t>
            </w:r>
          </w:p>
        </w:tc>
      </w:tr>
      <w:tr w:rsidR="00744659" w14:paraId="6EDF27C7"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C2"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mortality when comparing an Hb of 6.2 mmol/L vs. greater than 6.2 mmol/L in neonates.</w:t>
            </w:r>
          </w:p>
        </w:tc>
        <w:tc>
          <w:tcPr>
            <w:tcW w:w="2790" w:type="dxa"/>
            <w:shd w:val="clear" w:color="auto" w:fill="auto"/>
          </w:tcPr>
          <w:p w14:paraId="6EDF27C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1.79 (95% CI 0.18 - 18.02)</w:t>
            </w:r>
          </w:p>
          <w:p w14:paraId="6EDF27C4"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2445" w:type="dxa"/>
            <w:shd w:val="clear" w:color="auto" w:fill="auto"/>
          </w:tcPr>
          <w:p w14:paraId="6EDF27C5"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Chen 2009</w:t>
            </w:r>
          </w:p>
          <w:p w14:paraId="6EDF27C6"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744659" w14:paraId="6EDF27C9"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7C8" w14:textId="77777777" w:rsidR="00744659" w:rsidRDefault="002C38C9">
            <w:pPr>
              <w:spacing w:line="360" w:lineRule="auto"/>
              <w:rPr>
                <w:sz w:val="20"/>
                <w:szCs w:val="20"/>
                <w:u w:val="single"/>
              </w:rPr>
            </w:pPr>
            <w:r>
              <w:rPr>
                <w:b w:val="0"/>
                <w:sz w:val="20"/>
                <w:szCs w:val="20"/>
                <w:u w:val="single"/>
              </w:rPr>
              <w:t>Morbidity</w:t>
            </w:r>
          </w:p>
        </w:tc>
      </w:tr>
      <w:tr w:rsidR="00744659" w14:paraId="6EDF27C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CA"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6.2 mmol/L vs. greater than 6.2 mmol/L in neonates.</w:t>
            </w:r>
          </w:p>
        </w:tc>
        <w:tc>
          <w:tcPr>
            <w:tcW w:w="2790" w:type="dxa"/>
            <w:shd w:val="clear" w:color="auto" w:fill="auto"/>
          </w:tcPr>
          <w:p w14:paraId="6EDF27CB"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445" w:type="dxa"/>
            <w:shd w:val="clear" w:color="auto" w:fill="auto"/>
          </w:tcPr>
          <w:p w14:paraId="6EDF27CC"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Chen 2009</w:t>
            </w:r>
          </w:p>
          <w:p w14:paraId="6EDF27CD"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744659" w14:paraId="6EDF27D0"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7CF" w14:textId="77777777" w:rsidR="00744659" w:rsidRDefault="002C38C9">
            <w:pPr>
              <w:spacing w:line="360" w:lineRule="auto"/>
              <w:rPr>
                <w:sz w:val="20"/>
                <w:szCs w:val="20"/>
                <w:u w:val="single"/>
              </w:rPr>
            </w:pPr>
            <w:r>
              <w:rPr>
                <w:b w:val="0"/>
                <w:sz w:val="20"/>
                <w:szCs w:val="20"/>
                <w:u w:val="single"/>
              </w:rPr>
              <w:t>Costs</w:t>
            </w:r>
          </w:p>
        </w:tc>
      </w:tr>
      <w:tr w:rsidR="00744659" w14:paraId="6EDF27D6"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D1" w14:textId="77777777" w:rsidR="00744659" w:rsidRPr="00C53C14" w:rsidRDefault="002C38C9">
            <w:pPr>
              <w:spacing w:line="360" w:lineRule="auto"/>
              <w:rPr>
                <w:sz w:val="20"/>
                <w:szCs w:val="20"/>
                <w:lang w:val="en-US"/>
              </w:rPr>
            </w:pPr>
            <w:r w:rsidRPr="00C53C14">
              <w:rPr>
                <w:b w:val="0"/>
                <w:sz w:val="20"/>
                <w:szCs w:val="20"/>
                <w:lang w:val="en-US"/>
              </w:rPr>
              <w:t>There was no significant reduction regarding costs when comparing an Hb of 6.2 mmol/L vs. greater than 6.2 mmol/L in neonates.</w:t>
            </w:r>
          </w:p>
        </w:tc>
        <w:tc>
          <w:tcPr>
            <w:tcW w:w="2790" w:type="dxa"/>
            <w:shd w:val="clear" w:color="auto" w:fill="auto"/>
          </w:tcPr>
          <w:p w14:paraId="6EDF27D2"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rPr>
            </w:pPr>
            <w:r>
              <w:rPr>
                <w:sz w:val="20"/>
                <w:szCs w:val="20"/>
              </w:rPr>
              <w:t>MD -1.00 (95% CI -2.49 - 0.49)</w:t>
            </w:r>
          </w:p>
          <w:p w14:paraId="6EDF27D3" w14:textId="77777777" w:rsidR="00744659" w:rsidRDefault="00744659">
            <w:pPr>
              <w:widowControl w:val="0"/>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rPr>
            </w:pPr>
          </w:p>
        </w:tc>
        <w:tc>
          <w:tcPr>
            <w:tcW w:w="2445" w:type="dxa"/>
            <w:shd w:val="clear" w:color="auto" w:fill="auto"/>
          </w:tcPr>
          <w:p w14:paraId="6EDF27D4"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Chen 2009</w:t>
            </w:r>
          </w:p>
          <w:p w14:paraId="6EDF27D5"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744659" w:rsidRPr="00C53C14" w14:paraId="6EDF27D8"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7D7"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7DC"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D9" w14:textId="77777777" w:rsidR="00744659" w:rsidRDefault="002C38C9">
            <w:pPr>
              <w:spacing w:line="360" w:lineRule="auto"/>
              <w:rPr>
                <w:sz w:val="20"/>
                <w:szCs w:val="20"/>
              </w:rPr>
            </w:pPr>
            <w:r>
              <w:rPr>
                <w:b w:val="0"/>
                <w:sz w:val="20"/>
                <w:szCs w:val="20"/>
              </w:rPr>
              <w:lastRenderedPageBreak/>
              <w:t>No studies</w:t>
            </w:r>
          </w:p>
        </w:tc>
        <w:tc>
          <w:tcPr>
            <w:tcW w:w="2790" w:type="dxa"/>
            <w:shd w:val="clear" w:color="auto" w:fill="auto"/>
          </w:tcPr>
          <w:p w14:paraId="6EDF27DA"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45" w:type="dxa"/>
            <w:shd w:val="clear" w:color="auto" w:fill="auto"/>
          </w:tcPr>
          <w:p w14:paraId="6EDF27DB"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7D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7DE" w14:textId="77777777" w:rsidR="00744659" w:rsidRPr="00C53C14" w:rsidRDefault="00744659">
      <w:pPr>
        <w:spacing w:line="360" w:lineRule="auto"/>
        <w:rPr>
          <w:rFonts w:ascii="Calibri" w:eastAsia="Calibri" w:hAnsi="Calibri" w:cs="Calibri"/>
          <w:b/>
          <w:sz w:val="20"/>
          <w:szCs w:val="20"/>
          <w:lang w:val="en-US"/>
        </w:rPr>
      </w:pPr>
    </w:p>
    <w:p w14:paraId="6EDF27DF"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B2: Neonates on ventilation</w:t>
      </w:r>
    </w:p>
    <w:p w14:paraId="6EDF27E0"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B2.1: Hb of 6.2 mmol/L versus Hb greater than 6.2 mmol/L in neonates on ventilation</w:t>
      </w:r>
    </w:p>
    <w:tbl>
      <w:tblPr>
        <w:tblStyle w:val="aff5"/>
        <w:tblW w:w="934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10"/>
        <w:gridCol w:w="2730"/>
        <w:gridCol w:w="2505"/>
      </w:tblGrid>
      <w:tr w:rsidR="00744659" w14:paraId="6EDF27E4"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tcBorders>
              <w:top w:val="single" w:sz="8" w:space="0" w:color="FFFFFF"/>
            </w:tcBorders>
          </w:tcPr>
          <w:p w14:paraId="6EDF27E1" w14:textId="77777777" w:rsidR="00744659" w:rsidRDefault="002C38C9">
            <w:pPr>
              <w:spacing w:line="360" w:lineRule="auto"/>
              <w:rPr>
                <w:sz w:val="20"/>
                <w:szCs w:val="20"/>
              </w:rPr>
            </w:pPr>
            <w:r>
              <w:rPr>
                <w:sz w:val="20"/>
                <w:szCs w:val="20"/>
              </w:rPr>
              <w:t>Conclusion of evidence</w:t>
            </w:r>
          </w:p>
        </w:tc>
        <w:tc>
          <w:tcPr>
            <w:tcW w:w="2730" w:type="dxa"/>
            <w:tcBorders>
              <w:top w:val="single" w:sz="8" w:space="0" w:color="FFFFFF"/>
            </w:tcBorders>
          </w:tcPr>
          <w:p w14:paraId="6EDF27E2"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505" w:type="dxa"/>
            <w:tcBorders>
              <w:top w:val="single" w:sz="8" w:space="0" w:color="FFFFFF"/>
            </w:tcBorders>
          </w:tcPr>
          <w:p w14:paraId="6EDF27E3"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7E6"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7E5"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7EA" w14:textId="77777777" w:rsidTr="00744659">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E7" w14:textId="77777777" w:rsidR="00744659" w:rsidRDefault="002C38C9">
            <w:pPr>
              <w:spacing w:line="360" w:lineRule="auto"/>
              <w:rPr>
                <w:sz w:val="20"/>
                <w:szCs w:val="20"/>
              </w:rPr>
            </w:pPr>
            <w:r>
              <w:rPr>
                <w:b w:val="0"/>
                <w:sz w:val="20"/>
                <w:szCs w:val="20"/>
              </w:rPr>
              <w:t>No studies</w:t>
            </w:r>
          </w:p>
        </w:tc>
        <w:tc>
          <w:tcPr>
            <w:tcW w:w="2730" w:type="dxa"/>
            <w:shd w:val="clear" w:color="auto" w:fill="auto"/>
          </w:tcPr>
          <w:p w14:paraId="6EDF27E8"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505" w:type="dxa"/>
            <w:shd w:val="clear" w:color="auto" w:fill="auto"/>
          </w:tcPr>
          <w:p w14:paraId="6EDF27E9"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7EC"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7EB"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7EE"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7ED" w14:textId="77777777" w:rsidR="00744659" w:rsidRDefault="002C38C9">
            <w:pPr>
              <w:spacing w:line="360" w:lineRule="auto"/>
              <w:rPr>
                <w:sz w:val="20"/>
                <w:szCs w:val="20"/>
                <w:u w:val="single"/>
              </w:rPr>
            </w:pPr>
            <w:r>
              <w:rPr>
                <w:b w:val="0"/>
                <w:sz w:val="20"/>
                <w:szCs w:val="20"/>
                <w:u w:val="single"/>
              </w:rPr>
              <w:t>Mortality</w:t>
            </w:r>
          </w:p>
        </w:tc>
      </w:tr>
      <w:tr w:rsidR="00744659" w14:paraId="6EDF27F2"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EF"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mortality when comparing an Hb of 6.2 mmol/L vs. greater than 6.2 mmol/L in neonates.</w:t>
            </w:r>
          </w:p>
        </w:tc>
        <w:tc>
          <w:tcPr>
            <w:tcW w:w="2730" w:type="dxa"/>
            <w:shd w:val="clear" w:color="auto" w:fill="auto"/>
          </w:tcPr>
          <w:p w14:paraId="6EDF27F0"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0.52 (95% CI 0.05 - 5.56)</w:t>
            </w:r>
          </w:p>
        </w:tc>
        <w:tc>
          <w:tcPr>
            <w:tcW w:w="2505" w:type="dxa"/>
            <w:shd w:val="clear" w:color="auto" w:fill="auto"/>
          </w:tcPr>
          <w:p w14:paraId="6EDF27F1"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Bell 2005</w:t>
            </w:r>
          </w:p>
        </w:tc>
      </w:tr>
      <w:tr w:rsidR="00744659" w14:paraId="6EDF27F4"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7F3" w14:textId="77777777" w:rsidR="00744659" w:rsidRDefault="002C38C9">
            <w:pPr>
              <w:spacing w:line="360" w:lineRule="auto"/>
              <w:rPr>
                <w:sz w:val="20"/>
                <w:szCs w:val="20"/>
                <w:u w:val="single"/>
              </w:rPr>
            </w:pPr>
            <w:r>
              <w:rPr>
                <w:b w:val="0"/>
                <w:sz w:val="20"/>
                <w:szCs w:val="20"/>
                <w:u w:val="single"/>
              </w:rPr>
              <w:t>Morbidity</w:t>
            </w:r>
          </w:p>
        </w:tc>
      </w:tr>
      <w:tr w:rsidR="00744659" w14:paraId="6EDF27F8"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F5"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6.2 mmol/L vs. greater than 6.2 mmol/L in neonates.</w:t>
            </w:r>
          </w:p>
        </w:tc>
        <w:tc>
          <w:tcPr>
            <w:tcW w:w="2730" w:type="dxa"/>
            <w:shd w:val="clear" w:color="auto" w:fill="auto"/>
          </w:tcPr>
          <w:p w14:paraId="6EDF27F6"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505" w:type="dxa"/>
            <w:shd w:val="clear" w:color="auto" w:fill="auto"/>
          </w:tcPr>
          <w:p w14:paraId="6EDF27F7"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Bell 2005</w:t>
            </w:r>
          </w:p>
        </w:tc>
      </w:tr>
      <w:tr w:rsidR="00744659" w14:paraId="6EDF27FA"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7F9" w14:textId="77777777" w:rsidR="00744659" w:rsidRDefault="002C38C9">
            <w:pPr>
              <w:spacing w:line="360" w:lineRule="auto"/>
              <w:rPr>
                <w:sz w:val="20"/>
                <w:szCs w:val="20"/>
                <w:u w:val="single"/>
              </w:rPr>
            </w:pPr>
            <w:r>
              <w:rPr>
                <w:b w:val="0"/>
                <w:sz w:val="20"/>
                <w:szCs w:val="20"/>
                <w:u w:val="single"/>
              </w:rPr>
              <w:t>Costs</w:t>
            </w:r>
          </w:p>
        </w:tc>
      </w:tr>
      <w:tr w:rsidR="00744659" w14:paraId="6EDF27F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7FB" w14:textId="77777777" w:rsidR="00744659" w:rsidRPr="00C53C14" w:rsidRDefault="002C38C9">
            <w:pPr>
              <w:spacing w:line="360" w:lineRule="auto"/>
              <w:rPr>
                <w:sz w:val="20"/>
                <w:szCs w:val="20"/>
                <w:lang w:val="en-US"/>
              </w:rPr>
            </w:pPr>
            <w:r w:rsidRPr="00C53C14">
              <w:rPr>
                <w:b w:val="0"/>
                <w:sz w:val="20"/>
                <w:szCs w:val="20"/>
                <w:lang w:val="en-US"/>
              </w:rPr>
              <w:t>There was a significant reduction regarding costs when comparing an Hb of 6.2 mmol/L vs. greater than 6.2 mmol/L in neonates.</w:t>
            </w:r>
          </w:p>
        </w:tc>
        <w:tc>
          <w:tcPr>
            <w:tcW w:w="2730" w:type="dxa"/>
            <w:shd w:val="clear" w:color="auto" w:fill="auto"/>
          </w:tcPr>
          <w:p w14:paraId="6EDF27FC" w14:textId="77777777" w:rsidR="00744659" w:rsidRDefault="002C38C9">
            <w:pPr>
              <w:widowControl w:val="0"/>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rPr>
            </w:pPr>
            <w:r>
              <w:rPr>
                <w:b/>
                <w:sz w:val="20"/>
                <w:szCs w:val="20"/>
                <w:u w:val="single"/>
              </w:rPr>
              <w:t>MD -1.10 (95% CI -2.10 - -0.10)</w:t>
            </w:r>
          </w:p>
        </w:tc>
        <w:tc>
          <w:tcPr>
            <w:tcW w:w="2505" w:type="dxa"/>
            <w:shd w:val="clear" w:color="auto" w:fill="auto"/>
          </w:tcPr>
          <w:p w14:paraId="6EDF27FD"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Bell 2005</w:t>
            </w:r>
          </w:p>
        </w:tc>
      </w:tr>
      <w:tr w:rsidR="00744659" w:rsidRPr="00C53C14" w14:paraId="6EDF2800"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7FF"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80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01" w14:textId="77777777" w:rsidR="00744659" w:rsidRDefault="002C38C9">
            <w:pPr>
              <w:spacing w:line="360" w:lineRule="auto"/>
              <w:rPr>
                <w:sz w:val="20"/>
                <w:szCs w:val="20"/>
              </w:rPr>
            </w:pPr>
            <w:r>
              <w:rPr>
                <w:b w:val="0"/>
                <w:sz w:val="20"/>
                <w:szCs w:val="20"/>
              </w:rPr>
              <w:t>No studies</w:t>
            </w:r>
          </w:p>
        </w:tc>
        <w:tc>
          <w:tcPr>
            <w:tcW w:w="2730" w:type="dxa"/>
            <w:shd w:val="clear" w:color="auto" w:fill="auto"/>
          </w:tcPr>
          <w:p w14:paraId="6EDF2802"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505" w:type="dxa"/>
            <w:shd w:val="clear" w:color="auto" w:fill="auto"/>
          </w:tcPr>
          <w:p w14:paraId="6EDF280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805"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806" w14:textId="77777777" w:rsidR="00744659" w:rsidRPr="00C53C14" w:rsidRDefault="00744659">
      <w:pPr>
        <w:spacing w:line="360" w:lineRule="auto"/>
        <w:rPr>
          <w:rFonts w:ascii="Calibri" w:eastAsia="Calibri" w:hAnsi="Calibri" w:cs="Calibri"/>
          <w:sz w:val="20"/>
          <w:szCs w:val="20"/>
          <w:lang w:val="en-US"/>
        </w:rPr>
      </w:pPr>
    </w:p>
    <w:p w14:paraId="6EDF2807"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B2.2: Hb of 7.5 mmol/L versus Hb greater than 7.5 mmol/L in neonates on ventilation</w:t>
      </w:r>
    </w:p>
    <w:tbl>
      <w:tblPr>
        <w:tblStyle w:val="aff6"/>
        <w:tblW w:w="934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10"/>
        <w:gridCol w:w="2790"/>
        <w:gridCol w:w="2445"/>
      </w:tblGrid>
      <w:tr w:rsidR="00744659" w14:paraId="6EDF280B"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tcBorders>
              <w:top w:val="single" w:sz="8" w:space="0" w:color="FFFFFF"/>
            </w:tcBorders>
          </w:tcPr>
          <w:p w14:paraId="6EDF2808" w14:textId="77777777" w:rsidR="00744659" w:rsidRDefault="002C38C9">
            <w:pPr>
              <w:spacing w:line="360" w:lineRule="auto"/>
              <w:rPr>
                <w:sz w:val="20"/>
                <w:szCs w:val="20"/>
              </w:rPr>
            </w:pPr>
            <w:r>
              <w:rPr>
                <w:sz w:val="20"/>
                <w:szCs w:val="20"/>
              </w:rPr>
              <w:t>Conclusion of evidence</w:t>
            </w:r>
          </w:p>
        </w:tc>
        <w:tc>
          <w:tcPr>
            <w:tcW w:w="2790" w:type="dxa"/>
            <w:tcBorders>
              <w:top w:val="single" w:sz="8" w:space="0" w:color="FFFFFF"/>
            </w:tcBorders>
          </w:tcPr>
          <w:p w14:paraId="6EDF2809"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45" w:type="dxa"/>
            <w:tcBorders>
              <w:top w:val="single" w:sz="8" w:space="0" w:color="FFFFFF"/>
            </w:tcBorders>
          </w:tcPr>
          <w:p w14:paraId="6EDF280A"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80D"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0C" w14:textId="77777777" w:rsidR="00744659" w:rsidRPr="00C53C14" w:rsidRDefault="002C38C9">
            <w:pPr>
              <w:spacing w:line="360" w:lineRule="auto"/>
              <w:rPr>
                <w:sz w:val="20"/>
                <w:szCs w:val="20"/>
                <w:lang w:val="en-US"/>
              </w:rPr>
            </w:pPr>
            <w:r w:rsidRPr="00C53C14">
              <w:rPr>
                <w:b w:val="0"/>
                <w:sz w:val="20"/>
                <w:szCs w:val="20"/>
                <w:lang w:val="en-US"/>
              </w:rPr>
              <w:lastRenderedPageBreak/>
              <w:t>Children with cancer – Systematic literature search</w:t>
            </w:r>
          </w:p>
        </w:tc>
      </w:tr>
      <w:tr w:rsidR="00744659" w14:paraId="6EDF2811" w14:textId="77777777" w:rsidTr="00744659">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0E" w14:textId="77777777" w:rsidR="00744659" w:rsidRDefault="002C38C9">
            <w:pPr>
              <w:spacing w:line="360" w:lineRule="auto"/>
              <w:rPr>
                <w:sz w:val="20"/>
                <w:szCs w:val="20"/>
              </w:rPr>
            </w:pPr>
            <w:r>
              <w:rPr>
                <w:b w:val="0"/>
                <w:sz w:val="20"/>
                <w:szCs w:val="20"/>
              </w:rPr>
              <w:t>No studies</w:t>
            </w:r>
          </w:p>
        </w:tc>
        <w:tc>
          <w:tcPr>
            <w:tcW w:w="2790" w:type="dxa"/>
            <w:shd w:val="clear" w:color="auto" w:fill="auto"/>
          </w:tcPr>
          <w:p w14:paraId="6EDF280F"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45" w:type="dxa"/>
            <w:shd w:val="clear" w:color="auto" w:fill="auto"/>
          </w:tcPr>
          <w:p w14:paraId="6EDF2810"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813"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12"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815"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14" w14:textId="77777777" w:rsidR="00744659" w:rsidRDefault="002C38C9">
            <w:pPr>
              <w:spacing w:line="360" w:lineRule="auto"/>
              <w:rPr>
                <w:sz w:val="20"/>
                <w:szCs w:val="20"/>
                <w:u w:val="single"/>
              </w:rPr>
            </w:pPr>
            <w:r>
              <w:rPr>
                <w:b w:val="0"/>
                <w:sz w:val="20"/>
                <w:szCs w:val="20"/>
                <w:u w:val="single"/>
              </w:rPr>
              <w:t>Mortality</w:t>
            </w:r>
          </w:p>
        </w:tc>
      </w:tr>
      <w:tr w:rsidR="00744659" w14:paraId="6EDF281B"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16"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mortality when comparing an Hb of 7.5 mmol/L vs. greater than 7.5 mmol/L in neonates.</w:t>
            </w:r>
          </w:p>
        </w:tc>
        <w:tc>
          <w:tcPr>
            <w:tcW w:w="2790" w:type="dxa"/>
            <w:shd w:val="clear" w:color="auto" w:fill="auto"/>
          </w:tcPr>
          <w:p w14:paraId="6EDF2817"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1.79 (95% CI 0.18 - 18.02)</w:t>
            </w:r>
          </w:p>
          <w:p w14:paraId="6EDF2818"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2445" w:type="dxa"/>
            <w:shd w:val="clear" w:color="auto" w:fill="auto"/>
          </w:tcPr>
          <w:p w14:paraId="6EDF281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Chen 2009</w:t>
            </w:r>
          </w:p>
          <w:p w14:paraId="6EDF281A"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744659" w14:paraId="6EDF281D"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1C" w14:textId="77777777" w:rsidR="00744659" w:rsidRDefault="002C38C9">
            <w:pPr>
              <w:spacing w:line="360" w:lineRule="auto"/>
              <w:rPr>
                <w:sz w:val="20"/>
                <w:szCs w:val="20"/>
                <w:u w:val="single"/>
              </w:rPr>
            </w:pPr>
            <w:r>
              <w:rPr>
                <w:b w:val="0"/>
                <w:sz w:val="20"/>
                <w:szCs w:val="20"/>
                <w:u w:val="single"/>
              </w:rPr>
              <w:t>Morbidity</w:t>
            </w:r>
          </w:p>
        </w:tc>
      </w:tr>
      <w:tr w:rsidR="00744659" w14:paraId="6EDF2822"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1E"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7.5 mmol/L vs. greater than 7.5 mmol/L in neonates.</w:t>
            </w:r>
          </w:p>
        </w:tc>
        <w:tc>
          <w:tcPr>
            <w:tcW w:w="2790" w:type="dxa"/>
            <w:shd w:val="clear" w:color="auto" w:fill="auto"/>
          </w:tcPr>
          <w:p w14:paraId="6EDF281F"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445" w:type="dxa"/>
            <w:shd w:val="clear" w:color="auto" w:fill="auto"/>
          </w:tcPr>
          <w:p w14:paraId="6EDF2820"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Chen 2009</w:t>
            </w:r>
          </w:p>
          <w:p w14:paraId="6EDF2821"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744659" w14:paraId="6EDF2824"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23" w14:textId="77777777" w:rsidR="00744659" w:rsidRDefault="002C38C9">
            <w:pPr>
              <w:spacing w:line="360" w:lineRule="auto"/>
              <w:rPr>
                <w:sz w:val="20"/>
                <w:szCs w:val="20"/>
                <w:u w:val="single"/>
              </w:rPr>
            </w:pPr>
            <w:r>
              <w:rPr>
                <w:b w:val="0"/>
                <w:sz w:val="20"/>
                <w:szCs w:val="20"/>
                <w:u w:val="single"/>
              </w:rPr>
              <w:t>Costs</w:t>
            </w:r>
          </w:p>
        </w:tc>
      </w:tr>
      <w:tr w:rsidR="00744659" w14:paraId="6EDF2829"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25" w14:textId="77777777" w:rsidR="00744659" w:rsidRPr="00C53C14" w:rsidRDefault="002C38C9">
            <w:pPr>
              <w:spacing w:line="360" w:lineRule="auto"/>
              <w:rPr>
                <w:sz w:val="20"/>
                <w:szCs w:val="20"/>
                <w:lang w:val="en-US"/>
              </w:rPr>
            </w:pPr>
            <w:r w:rsidRPr="00C53C14">
              <w:rPr>
                <w:b w:val="0"/>
                <w:sz w:val="20"/>
                <w:szCs w:val="20"/>
                <w:lang w:val="en-US"/>
              </w:rPr>
              <w:t>There was no significant reduction regarding costs when comparing an Hb of 7.5 mmol/L vs. greater than 7.5 mmol/L in neonates.</w:t>
            </w:r>
          </w:p>
        </w:tc>
        <w:tc>
          <w:tcPr>
            <w:tcW w:w="2790" w:type="dxa"/>
            <w:shd w:val="clear" w:color="auto" w:fill="auto"/>
          </w:tcPr>
          <w:p w14:paraId="6EDF2826"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b/>
                <w:sz w:val="20"/>
                <w:szCs w:val="20"/>
                <w:u w:val="single"/>
              </w:rPr>
            </w:pPr>
            <w:r>
              <w:rPr>
                <w:sz w:val="20"/>
                <w:szCs w:val="20"/>
              </w:rPr>
              <w:t>MD -1.00 (95% CI -2.49 - 0.49)</w:t>
            </w:r>
          </w:p>
        </w:tc>
        <w:tc>
          <w:tcPr>
            <w:tcW w:w="2445" w:type="dxa"/>
            <w:shd w:val="clear" w:color="auto" w:fill="auto"/>
          </w:tcPr>
          <w:p w14:paraId="6EDF2827"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Chen 2009</w:t>
            </w:r>
          </w:p>
          <w:p w14:paraId="6EDF2828"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744659" w:rsidRPr="00C53C14" w14:paraId="6EDF282B"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2A"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82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2C" w14:textId="77777777" w:rsidR="00744659" w:rsidRDefault="002C38C9">
            <w:pPr>
              <w:spacing w:line="360" w:lineRule="auto"/>
              <w:rPr>
                <w:sz w:val="20"/>
                <w:szCs w:val="20"/>
              </w:rPr>
            </w:pPr>
            <w:r>
              <w:rPr>
                <w:b w:val="0"/>
                <w:sz w:val="20"/>
                <w:szCs w:val="20"/>
              </w:rPr>
              <w:t>No studies</w:t>
            </w:r>
          </w:p>
        </w:tc>
        <w:tc>
          <w:tcPr>
            <w:tcW w:w="2790" w:type="dxa"/>
            <w:shd w:val="clear" w:color="auto" w:fill="auto"/>
          </w:tcPr>
          <w:p w14:paraId="6EDF282D"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45" w:type="dxa"/>
            <w:shd w:val="clear" w:color="auto" w:fill="auto"/>
          </w:tcPr>
          <w:p w14:paraId="6EDF282E"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83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831" w14:textId="77777777" w:rsidR="00744659" w:rsidRPr="00C53C14" w:rsidRDefault="00744659">
      <w:pPr>
        <w:spacing w:line="360" w:lineRule="auto"/>
        <w:rPr>
          <w:rFonts w:ascii="Calibri" w:eastAsia="Calibri" w:hAnsi="Calibri" w:cs="Calibri"/>
          <w:sz w:val="20"/>
          <w:szCs w:val="20"/>
          <w:lang w:val="en-US"/>
        </w:rPr>
      </w:pPr>
    </w:p>
    <w:p w14:paraId="6EDF2832"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B3: Neonates in the first week of life</w:t>
      </w:r>
    </w:p>
    <w:p w14:paraId="6EDF2833"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B3.1: Hb of 7.5 mmol/L versus Hb greater than 7.5 mmol/L in neonates in the first week of life</w:t>
      </w:r>
    </w:p>
    <w:tbl>
      <w:tblPr>
        <w:tblStyle w:val="aff7"/>
        <w:tblW w:w="934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10"/>
        <w:gridCol w:w="2790"/>
        <w:gridCol w:w="2445"/>
      </w:tblGrid>
      <w:tr w:rsidR="00744659" w14:paraId="6EDF2837"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tcBorders>
              <w:top w:val="single" w:sz="8" w:space="0" w:color="FFFFFF"/>
            </w:tcBorders>
          </w:tcPr>
          <w:p w14:paraId="6EDF2834" w14:textId="77777777" w:rsidR="00744659" w:rsidRDefault="002C38C9">
            <w:pPr>
              <w:spacing w:line="360" w:lineRule="auto"/>
              <w:rPr>
                <w:sz w:val="20"/>
                <w:szCs w:val="20"/>
              </w:rPr>
            </w:pPr>
            <w:r>
              <w:rPr>
                <w:sz w:val="20"/>
                <w:szCs w:val="20"/>
              </w:rPr>
              <w:t>Conclusion of evidence</w:t>
            </w:r>
          </w:p>
        </w:tc>
        <w:tc>
          <w:tcPr>
            <w:tcW w:w="2790" w:type="dxa"/>
            <w:tcBorders>
              <w:top w:val="single" w:sz="8" w:space="0" w:color="FFFFFF"/>
            </w:tcBorders>
          </w:tcPr>
          <w:p w14:paraId="6EDF2835"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45" w:type="dxa"/>
            <w:tcBorders>
              <w:top w:val="single" w:sz="8" w:space="0" w:color="FFFFFF"/>
            </w:tcBorders>
          </w:tcPr>
          <w:p w14:paraId="6EDF2836"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839"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38"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83D" w14:textId="77777777" w:rsidTr="00744659">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3A" w14:textId="77777777" w:rsidR="00744659" w:rsidRDefault="002C38C9">
            <w:pPr>
              <w:spacing w:line="360" w:lineRule="auto"/>
              <w:rPr>
                <w:sz w:val="20"/>
                <w:szCs w:val="20"/>
              </w:rPr>
            </w:pPr>
            <w:r>
              <w:rPr>
                <w:b w:val="0"/>
                <w:sz w:val="20"/>
                <w:szCs w:val="20"/>
              </w:rPr>
              <w:t>No studies</w:t>
            </w:r>
          </w:p>
        </w:tc>
        <w:tc>
          <w:tcPr>
            <w:tcW w:w="2790" w:type="dxa"/>
            <w:shd w:val="clear" w:color="auto" w:fill="auto"/>
          </w:tcPr>
          <w:p w14:paraId="6EDF283B"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45" w:type="dxa"/>
            <w:shd w:val="clear" w:color="auto" w:fill="auto"/>
          </w:tcPr>
          <w:p w14:paraId="6EDF283C"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83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3E"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841"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40" w14:textId="77777777" w:rsidR="00744659" w:rsidRDefault="002C38C9">
            <w:pPr>
              <w:spacing w:line="360" w:lineRule="auto"/>
              <w:rPr>
                <w:sz w:val="20"/>
                <w:szCs w:val="20"/>
                <w:u w:val="single"/>
              </w:rPr>
            </w:pPr>
            <w:r>
              <w:rPr>
                <w:b w:val="0"/>
                <w:sz w:val="20"/>
                <w:szCs w:val="20"/>
                <w:u w:val="single"/>
              </w:rPr>
              <w:t>Mortality</w:t>
            </w:r>
          </w:p>
        </w:tc>
      </w:tr>
      <w:tr w:rsidR="00744659" w14:paraId="6EDF2845"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42" w14:textId="77777777" w:rsidR="00744659" w:rsidRPr="00C53C14" w:rsidRDefault="002C38C9">
            <w:pPr>
              <w:spacing w:line="360" w:lineRule="auto"/>
              <w:rPr>
                <w:sz w:val="20"/>
                <w:szCs w:val="20"/>
                <w:lang w:val="en-US"/>
              </w:rPr>
            </w:pPr>
            <w:r w:rsidRPr="00C53C14">
              <w:rPr>
                <w:b w:val="0"/>
                <w:sz w:val="20"/>
                <w:szCs w:val="20"/>
                <w:lang w:val="en-US"/>
              </w:rPr>
              <w:lastRenderedPageBreak/>
              <w:t>There was no significant difference regarding mortality when comparing an Hb of 7.5 mmol/L vs. greater than 7.5 mmol/L in neonates in the first week of life.</w:t>
            </w:r>
          </w:p>
        </w:tc>
        <w:tc>
          <w:tcPr>
            <w:tcW w:w="2790" w:type="dxa"/>
            <w:shd w:val="clear" w:color="auto" w:fill="auto"/>
          </w:tcPr>
          <w:p w14:paraId="6EDF284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1.23 (95% CI 0.84 - 1.79)</w:t>
            </w:r>
          </w:p>
        </w:tc>
        <w:tc>
          <w:tcPr>
            <w:tcW w:w="2445" w:type="dxa"/>
            <w:shd w:val="clear" w:color="auto" w:fill="auto"/>
          </w:tcPr>
          <w:p w14:paraId="6EDF2844"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14:paraId="6EDF2847"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46" w14:textId="77777777" w:rsidR="00744659" w:rsidRDefault="002C38C9">
            <w:pPr>
              <w:spacing w:line="360" w:lineRule="auto"/>
              <w:rPr>
                <w:sz w:val="20"/>
                <w:szCs w:val="20"/>
                <w:u w:val="single"/>
              </w:rPr>
            </w:pPr>
            <w:r>
              <w:rPr>
                <w:b w:val="0"/>
                <w:sz w:val="20"/>
                <w:szCs w:val="20"/>
                <w:u w:val="single"/>
              </w:rPr>
              <w:t>Morbidity</w:t>
            </w:r>
          </w:p>
        </w:tc>
      </w:tr>
      <w:tr w:rsidR="00744659" w14:paraId="6EDF2851"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48"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7.5 mmol/L vs. greater than 7.5 mmol/L in neonates in the first week of life.</w:t>
            </w:r>
          </w:p>
          <w:p w14:paraId="6EDF2849" w14:textId="77777777" w:rsidR="00744659" w:rsidRPr="00C53C14" w:rsidRDefault="00744659">
            <w:pPr>
              <w:spacing w:line="360" w:lineRule="auto"/>
              <w:rPr>
                <w:sz w:val="20"/>
                <w:szCs w:val="20"/>
                <w:lang w:val="en-US"/>
              </w:rPr>
            </w:pPr>
          </w:p>
          <w:p w14:paraId="6EDF284A" w14:textId="77777777" w:rsidR="00744659" w:rsidRPr="00C53C14" w:rsidRDefault="002C38C9">
            <w:pPr>
              <w:spacing w:line="360" w:lineRule="auto"/>
              <w:rPr>
                <w:sz w:val="20"/>
                <w:szCs w:val="20"/>
                <w:lang w:val="en-US"/>
              </w:rPr>
            </w:pPr>
            <w:r w:rsidRPr="00C53C14">
              <w:rPr>
                <w:b w:val="0"/>
                <w:sz w:val="20"/>
                <w:szCs w:val="20"/>
                <w:lang w:val="en-US"/>
              </w:rPr>
              <w:t>There was a significant difference regarding retinopathy of prematurity when comparing an Hb of 7.5 mmol/L vs. greater than 7.5 mmol/L in neonates in the first week of life.</w:t>
            </w:r>
          </w:p>
        </w:tc>
        <w:tc>
          <w:tcPr>
            <w:tcW w:w="2790" w:type="dxa"/>
            <w:shd w:val="clear" w:color="auto" w:fill="auto"/>
          </w:tcPr>
          <w:p w14:paraId="6EDF284B"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p w14:paraId="6EDF284C"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84D"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84E"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84F"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u w:val="single"/>
              </w:rPr>
              <w:t>RR 0.79 (95% CI 0.66 - 0.95)</w:t>
            </w:r>
          </w:p>
        </w:tc>
        <w:tc>
          <w:tcPr>
            <w:tcW w:w="2445" w:type="dxa"/>
            <w:shd w:val="clear" w:color="auto" w:fill="auto"/>
          </w:tcPr>
          <w:p w14:paraId="6EDF2850"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14:paraId="6EDF2853"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52" w14:textId="77777777" w:rsidR="00744659" w:rsidRDefault="002C38C9">
            <w:pPr>
              <w:spacing w:line="360" w:lineRule="auto"/>
              <w:rPr>
                <w:sz w:val="20"/>
                <w:szCs w:val="20"/>
                <w:u w:val="single"/>
              </w:rPr>
            </w:pPr>
            <w:r>
              <w:rPr>
                <w:b w:val="0"/>
                <w:sz w:val="20"/>
                <w:szCs w:val="20"/>
                <w:u w:val="single"/>
              </w:rPr>
              <w:t>Costs</w:t>
            </w:r>
          </w:p>
        </w:tc>
      </w:tr>
      <w:tr w:rsidR="00744659" w14:paraId="6EDF2857"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54"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costs when comparing an Hb of 7.5 mmol/L vs. greater than 7.5 mmol/L in neonates in the first week of life.</w:t>
            </w:r>
          </w:p>
        </w:tc>
        <w:tc>
          <w:tcPr>
            <w:tcW w:w="2790" w:type="dxa"/>
            <w:shd w:val="clear" w:color="auto" w:fill="auto"/>
          </w:tcPr>
          <w:p w14:paraId="6EDF2855"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MD -0.80 (95% CI -1.65 - 0.05)</w:t>
            </w:r>
          </w:p>
        </w:tc>
        <w:tc>
          <w:tcPr>
            <w:tcW w:w="2445" w:type="dxa"/>
            <w:shd w:val="clear" w:color="auto" w:fill="auto"/>
          </w:tcPr>
          <w:p w14:paraId="6EDF2856"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rsidRPr="00C53C14" w14:paraId="6EDF2859"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58"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85D"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5A" w14:textId="77777777" w:rsidR="00744659" w:rsidRDefault="002C38C9">
            <w:pPr>
              <w:spacing w:line="360" w:lineRule="auto"/>
              <w:rPr>
                <w:sz w:val="20"/>
                <w:szCs w:val="20"/>
              </w:rPr>
            </w:pPr>
            <w:r>
              <w:rPr>
                <w:b w:val="0"/>
                <w:sz w:val="20"/>
                <w:szCs w:val="20"/>
              </w:rPr>
              <w:t>No studies</w:t>
            </w:r>
          </w:p>
        </w:tc>
        <w:tc>
          <w:tcPr>
            <w:tcW w:w="2790" w:type="dxa"/>
            <w:shd w:val="clear" w:color="auto" w:fill="auto"/>
          </w:tcPr>
          <w:p w14:paraId="6EDF285B"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45" w:type="dxa"/>
            <w:shd w:val="clear" w:color="auto" w:fill="auto"/>
          </w:tcPr>
          <w:p w14:paraId="6EDF285C"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85E"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85F" w14:textId="77777777" w:rsidR="00744659" w:rsidRPr="00C53C14" w:rsidRDefault="00744659">
      <w:pPr>
        <w:spacing w:line="360" w:lineRule="auto"/>
        <w:rPr>
          <w:rFonts w:ascii="Calibri" w:eastAsia="Calibri" w:hAnsi="Calibri" w:cs="Calibri"/>
          <w:b/>
          <w:sz w:val="20"/>
          <w:szCs w:val="20"/>
          <w:lang w:val="en-US"/>
        </w:rPr>
      </w:pPr>
    </w:p>
    <w:p w14:paraId="6EDF2860"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B4: Neonates in the second week of life</w:t>
      </w:r>
    </w:p>
    <w:p w14:paraId="6EDF2861"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B4.1: Hb of 5.6 mmol/L versus Hb greater than 5.6 mmol/L in neonates on respiratory support in the second week of life</w:t>
      </w:r>
    </w:p>
    <w:tbl>
      <w:tblPr>
        <w:tblStyle w:val="aff8"/>
        <w:tblW w:w="934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10"/>
        <w:gridCol w:w="2790"/>
        <w:gridCol w:w="2445"/>
      </w:tblGrid>
      <w:tr w:rsidR="00744659" w14:paraId="6EDF2865"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tcBorders>
              <w:top w:val="single" w:sz="8" w:space="0" w:color="FFFFFF"/>
            </w:tcBorders>
          </w:tcPr>
          <w:p w14:paraId="6EDF2862" w14:textId="77777777" w:rsidR="00744659" w:rsidRDefault="002C38C9">
            <w:pPr>
              <w:spacing w:line="360" w:lineRule="auto"/>
              <w:rPr>
                <w:sz w:val="20"/>
                <w:szCs w:val="20"/>
              </w:rPr>
            </w:pPr>
            <w:r>
              <w:rPr>
                <w:sz w:val="20"/>
                <w:szCs w:val="20"/>
              </w:rPr>
              <w:t>Conclusion of evidence</w:t>
            </w:r>
          </w:p>
        </w:tc>
        <w:tc>
          <w:tcPr>
            <w:tcW w:w="2790" w:type="dxa"/>
            <w:tcBorders>
              <w:top w:val="single" w:sz="8" w:space="0" w:color="FFFFFF"/>
            </w:tcBorders>
          </w:tcPr>
          <w:p w14:paraId="6EDF2863"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45" w:type="dxa"/>
            <w:tcBorders>
              <w:top w:val="single" w:sz="8" w:space="0" w:color="FFFFFF"/>
            </w:tcBorders>
          </w:tcPr>
          <w:p w14:paraId="6EDF2864"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867"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66"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86B" w14:textId="77777777" w:rsidTr="00744659">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68" w14:textId="77777777" w:rsidR="00744659" w:rsidRDefault="002C38C9">
            <w:pPr>
              <w:spacing w:line="360" w:lineRule="auto"/>
              <w:rPr>
                <w:sz w:val="20"/>
                <w:szCs w:val="20"/>
              </w:rPr>
            </w:pPr>
            <w:r>
              <w:rPr>
                <w:b w:val="0"/>
                <w:sz w:val="20"/>
                <w:szCs w:val="20"/>
              </w:rPr>
              <w:t>No studies</w:t>
            </w:r>
          </w:p>
        </w:tc>
        <w:tc>
          <w:tcPr>
            <w:tcW w:w="2790" w:type="dxa"/>
            <w:shd w:val="clear" w:color="auto" w:fill="auto"/>
          </w:tcPr>
          <w:p w14:paraId="6EDF2869"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45" w:type="dxa"/>
            <w:shd w:val="clear" w:color="auto" w:fill="auto"/>
          </w:tcPr>
          <w:p w14:paraId="6EDF286A"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86D"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6C"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86F"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6E" w14:textId="77777777" w:rsidR="00744659" w:rsidRDefault="002C38C9">
            <w:pPr>
              <w:spacing w:line="360" w:lineRule="auto"/>
              <w:rPr>
                <w:sz w:val="20"/>
                <w:szCs w:val="20"/>
                <w:u w:val="single"/>
              </w:rPr>
            </w:pPr>
            <w:r>
              <w:rPr>
                <w:b w:val="0"/>
                <w:sz w:val="20"/>
                <w:szCs w:val="20"/>
                <w:u w:val="single"/>
              </w:rPr>
              <w:lastRenderedPageBreak/>
              <w:t>Mortality</w:t>
            </w:r>
          </w:p>
        </w:tc>
      </w:tr>
      <w:tr w:rsidR="00744659" w14:paraId="6EDF2873"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70"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mortality when comparing an Hb of 5.6 mmol/L vs. greater than 5.6 mmol/L in neonates in the second week of life.</w:t>
            </w:r>
          </w:p>
        </w:tc>
        <w:tc>
          <w:tcPr>
            <w:tcW w:w="2790" w:type="dxa"/>
            <w:shd w:val="clear" w:color="auto" w:fill="auto"/>
          </w:tcPr>
          <w:p w14:paraId="6EDF2871"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None died (not estimable)</w:t>
            </w:r>
          </w:p>
        </w:tc>
        <w:tc>
          <w:tcPr>
            <w:tcW w:w="2445" w:type="dxa"/>
            <w:shd w:val="clear" w:color="auto" w:fill="auto"/>
          </w:tcPr>
          <w:p w14:paraId="6EDF2872"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Connelly 1999</w:t>
            </w:r>
          </w:p>
        </w:tc>
      </w:tr>
      <w:tr w:rsidR="00744659" w14:paraId="6EDF2875"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74" w14:textId="77777777" w:rsidR="00744659" w:rsidRDefault="002C38C9">
            <w:pPr>
              <w:spacing w:line="360" w:lineRule="auto"/>
              <w:rPr>
                <w:sz w:val="20"/>
                <w:szCs w:val="20"/>
                <w:u w:val="single"/>
              </w:rPr>
            </w:pPr>
            <w:r>
              <w:rPr>
                <w:b w:val="0"/>
                <w:sz w:val="20"/>
                <w:szCs w:val="20"/>
                <w:u w:val="single"/>
              </w:rPr>
              <w:t>Morbidity</w:t>
            </w:r>
          </w:p>
        </w:tc>
      </w:tr>
      <w:tr w:rsidR="00744659" w14:paraId="6EDF2879"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76"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5.6 mmol/L vs. greater than 5.6 mmol/L in neonates in the second week of life.</w:t>
            </w:r>
          </w:p>
        </w:tc>
        <w:tc>
          <w:tcPr>
            <w:tcW w:w="2790" w:type="dxa"/>
            <w:shd w:val="clear" w:color="auto" w:fill="auto"/>
          </w:tcPr>
          <w:p w14:paraId="6EDF2877"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445" w:type="dxa"/>
            <w:shd w:val="clear" w:color="auto" w:fill="auto"/>
          </w:tcPr>
          <w:p w14:paraId="6EDF2878"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Connelly 1999</w:t>
            </w:r>
          </w:p>
        </w:tc>
      </w:tr>
      <w:tr w:rsidR="00744659" w14:paraId="6EDF287B"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7A" w14:textId="77777777" w:rsidR="00744659" w:rsidRDefault="002C38C9">
            <w:pPr>
              <w:spacing w:line="360" w:lineRule="auto"/>
              <w:rPr>
                <w:sz w:val="20"/>
                <w:szCs w:val="20"/>
                <w:u w:val="single"/>
              </w:rPr>
            </w:pPr>
            <w:r>
              <w:rPr>
                <w:b w:val="0"/>
                <w:sz w:val="20"/>
                <w:szCs w:val="20"/>
                <w:u w:val="single"/>
              </w:rPr>
              <w:t>Costs</w:t>
            </w:r>
          </w:p>
        </w:tc>
      </w:tr>
      <w:tr w:rsidR="00744659" w14:paraId="6EDF287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7C" w14:textId="77777777" w:rsidR="00744659" w:rsidRPr="00C53C14" w:rsidRDefault="002C38C9">
            <w:pPr>
              <w:spacing w:line="360" w:lineRule="auto"/>
              <w:rPr>
                <w:sz w:val="20"/>
                <w:szCs w:val="20"/>
                <w:lang w:val="en-US"/>
              </w:rPr>
            </w:pPr>
            <w:r w:rsidRPr="00C53C14">
              <w:rPr>
                <w:b w:val="0"/>
                <w:sz w:val="20"/>
                <w:szCs w:val="20"/>
                <w:lang w:val="en-US"/>
              </w:rPr>
              <w:t>There was a significant reduction regarding costs when comparing an Hb of 5.6 mmol/L vs. greater than 5.6 mmol/L in neonates in the second week of life.</w:t>
            </w:r>
          </w:p>
        </w:tc>
        <w:tc>
          <w:tcPr>
            <w:tcW w:w="2790" w:type="dxa"/>
            <w:shd w:val="clear" w:color="auto" w:fill="auto"/>
          </w:tcPr>
          <w:p w14:paraId="6EDF287D"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u w:val="single"/>
              </w:rPr>
              <w:t>MD -2.90 (95% CI -4.94 - -0.86)</w:t>
            </w:r>
          </w:p>
        </w:tc>
        <w:tc>
          <w:tcPr>
            <w:tcW w:w="2445" w:type="dxa"/>
            <w:shd w:val="clear" w:color="auto" w:fill="auto"/>
          </w:tcPr>
          <w:p w14:paraId="6EDF287E"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Connelly 1999</w:t>
            </w:r>
          </w:p>
        </w:tc>
      </w:tr>
      <w:tr w:rsidR="00744659" w:rsidRPr="00C53C14" w14:paraId="6EDF2881"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80"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885"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82" w14:textId="77777777" w:rsidR="00744659" w:rsidRDefault="002C38C9">
            <w:pPr>
              <w:spacing w:line="360" w:lineRule="auto"/>
              <w:rPr>
                <w:sz w:val="20"/>
                <w:szCs w:val="20"/>
              </w:rPr>
            </w:pPr>
            <w:r>
              <w:rPr>
                <w:b w:val="0"/>
                <w:sz w:val="20"/>
                <w:szCs w:val="20"/>
              </w:rPr>
              <w:t>No studies</w:t>
            </w:r>
          </w:p>
        </w:tc>
        <w:tc>
          <w:tcPr>
            <w:tcW w:w="2790" w:type="dxa"/>
            <w:shd w:val="clear" w:color="auto" w:fill="auto"/>
          </w:tcPr>
          <w:p w14:paraId="6EDF288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45" w:type="dxa"/>
            <w:shd w:val="clear" w:color="auto" w:fill="auto"/>
          </w:tcPr>
          <w:p w14:paraId="6EDF2884"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886"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887" w14:textId="77777777" w:rsidR="00744659" w:rsidRPr="00C53C14" w:rsidRDefault="00744659">
      <w:pPr>
        <w:spacing w:line="360" w:lineRule="auto"/>
        <w:rPr>
          <w:rFonts w:ascii="Calibri" w:eastAsia="Calibri" w:hAnsi="Calibri" w:cs="Calibri"/>
          <w:sz w:val="20"/>
          <w:szCs w:val="20"/>
          <w:lang w:val="en-US"/>
        </w:rPr>
      </w:pPr>
    </w:p>
    <w:p w14:paraId="6EDF2888"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B4.2: Hb of 6.2 mmol/L versus Hb greater than 6.2 mmol/L in neonates in the second week of life</w:t>
      </w:r>
    </w:p>
    <w:tbl>
      <w:tblPr>
        <w:tblStyle w:val="aff9"/>
        <w:tblW w:w="934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10"/>
        <w:gridCol w:w="2820"/>
        <w:gridCol w:w="2415"/>
      </w:tblGrid>
      <w:tr w:rsidR="00744659" w14:paraId="6EDF288C"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tcBorders>
              <w:top w:val="single" w:sz="8" w:space="0" w:color="FFFFFF"/>
            </w:tcBorders>
          </w:tcPr>
          <w:p w14:paraId="6EDF2889" w14:textId="77777777" w:rsidR="00744659" w:rsidRDefault="002C38C9">
            <w:pPr>
              <w:spacing w:line="360" w:lineRule="auto"/>
              <w:rPr>
                <w:sz w:val="20"/>
                <w:szCs w:val="20"/>
              </w:rPr>
            </w:pPr>
            <w:r>
              <w:rPr>
                <w:sz w:val="20"/>
                <w:szCs w:val="20"/>
              </w:rPr>
              <w:t>Conclusion of evidence</w:t>
            </w:r>
          </w:p>
        </w:tc>
        <w:tc>
          <w:tcPr>
            <w:tcW w:w="2820" w:type="dxa"/>
            <w:tcBorders>
              <w:top w:val="single" w:sz="8" w:space="0" w:color="FFFFFF"/>
            </w:tcBorders>
          </w:tcPr>
          <w:p w14:paraId="6EDF288A"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15" w:type="dxa"/>
            <w:tcBorders>
              <w:top w:val="single" w:sz="8" w:space="0" w:color="FFFFFF"/>
            </w:tcBorders>
          </w:tcPr>
          <w:p w14:paraId="6EDF288B"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88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8D"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892" w14:textId="77777777" w:rsidTr="00744659">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8F" w14:textId="77777777" w:rsidR="00744659" w:rsidRDefault="002C38C9">
            <w:pPr>
              <w:spacing w:line="360" w:lineRule="auto"/>
              <w:rPr>
                <w:sz w:val="20"/>
                <w:szCs w:val="20"/>
              </w:rPr>
            </w:pPr>
            <w:r>
              <w:rPr>
                <w:b w:val="0"/>
                <w:sz w:val="20"/>
                <w:szCs w:val="20"/>
              </w:rPr>
              <w:t>No studies</w:t>
            </w:r>
          </w:p>
        </w:tc>
        <w:tc>
          <w:tcPr>
            <w:tcW w:w="2820" w:type="dxa"/>
            <w:shd w:val="clear" w:color="auto" w:fill="auto"/>
          </w:tcPr>
          <w:p w14:paraId="6EDF2890"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15" w:type="dxa"/>
            <w:shd w:val="clear" w:color="auto" w:fill="auto"/>
          </w:tcPr>
          <w:p w14:paraId="6EDF2891"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89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93"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896"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95" w14:textId="77777777" w:rsidR="00744659" w:rsidRDefault="002C38C9">
            <w:pPr>
              <w:spacing w:line="360" w:lineRule="auto"/>
              <w:rPr>
                <w:sz w:val="20"/>
                <w:szCs w:val="20"/>
                <w:u w:val="single"/>
              </w:rPr>
            </w:pPr>
            <w:r>
              <w:rPr>
                <w:b w:val="0"/>
                <w:sz w:val="20"/>
                <w:szCs w:val="20"/>
                <w:u w:val="single"/>
              </w:rPr>
              <w:t>Mortality</w:t>
            </w:r>
          </w:p>
        </w:tc>
      </w:tr>
      <w:tr w:rsidR="00744659" w14:paraId="6EDF289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97" w14:textId="77777777" w:rsidR="00744659" w:rsidRPr="00C53C14" w:rsidRDefault="002C38C9">
            <w:pPr>
              <w:spacing w:line="360" w:lineRule="auto"/>
              <w:rPr>
                <w:sz w:val="20"/>
                <w:szCs w:val="20"/>
                <w:lang w:val="en-US"/>
              </w:rPr>
            </w:pPr>
            <w:r w:rsidRPr="00C53C14">
              <w:rPr>
                <w:b w:val="0"/>
                <w:sz w:val="20"/>
                <w:szCs w:val="20"/>
                <w:lang w:val="en-US"/>
              </w:rPr>
              <w:t xml:space="preserve">There was no significant difference regarding mortality when comparing an Hb of 6.2 mmol/L </w:t>
            </w:r>
            <w:r w:rsidRPr="00C53C14">
              <w:rPr>
                <w:b w:val="0"/>
                <w:sz w:val="20"/>
                <w:szCs w:val="20"/>
                <w:lang w:val="en-US"/>
              </w:rPr>
              <w:lastRenderedPageBreak/>
              <w:t>vs. greater than 6.2 mmol/L in neonates in the second week of life.</w:t>
            </w:r>
          </w:p>
        </w:tc>
        <w:tc>
          <w:tcPr>
            <w:tcW w:w="2820" w:type="dxa"/>
            <w:shd w:val="clear" w:color="auto" w:fill="auto"/>
          </w:tcPr>
          <w:p w14:paraId="6EDF2898"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RR 1.23 (95% CI 0.84 - 1.79)</w:t>
            </w:r>
          </w:p>
        </w:tc>
        <w:tc>
          <w:tcPr>
            <w:tcW w:w="2415" w:type="dxa"/>
            <w:shd w:val="clear" w:color="auto" w:fill="auto"/>
          </w:tcPr>
          <w:p w14:paraId="6EDF289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14:paraId="6EDF289C"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9B" w14:textId="77777777" w:rsidR="00744659" w:rsidRDefault="002C38C9">
            <w:pPr>
              <w:spacing w:line="360" w:lineRule="auto"/>
              <w:rPr>
                <w:sz w:val="20"/>
                <w:szCs w:val="20"/>
                <w:u w:val="single"/>
              </w:rPr>
            </w:pPr>
            <w:r>
              <w:rPr>
                <w:b w:val="0"/>
                <w:sz w:val="20"/>
                <w:szCs w:val="20"/>
                <w:u w:val="single"/>
              </w:rPr>
              <w:t>Morbidity</w:t>
            </w:r>
          </w:p>
        </w:tc>
      </w:tr>
      <w:tr w:rsidR="00744659" w14:paraId="6EDF28A6"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9D"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6.2 mmol/L vs. greater than 6.2 mmol/L in neonates in the second week of life.</w:t>
            </w:r>
          </w:p>
          <w:p w14:paraId="6EDF289E" w14:textId="77777777" w:rsidR="00744659" w:rsidRPr="00C53C14" w:rsidRDefault="00744659">
            <w:pPr>
              <w:spacing w:line="360" w:lineRule="auto"/>
              <w:rPr>
                <w:sz w:val="20"/>
                <w:szCs w:val="20"/>
                <w:lang w:val="en-US"/>
              </w:rPr>
            </w:pPr>
          </w:p>
          <w:p w14:paraId="6EDF289F" w14:textId="77777777" w:rsidR="00744659" w:rsidRPr="00C53C14" w:rsidRDefault="002C38C9">
            <w:pPr>
              <w:spacing w:line="360" w:lineRule="auto"/>
              <w:rPr>
                <w:sz w:val="20"/>
                <w:szCs w:val="20"/>
                <w:lang w:val="en-US"/>
              </w:rPr>
            </w:pPr>
            <w:r w:rsidRPr="00C53C14">
              <w:rPr>
                <w:b w:val="0"/>
                <w:sz w:val="20"/>
                <w:szCs w:val="20"/>
                <w:lang w:val="en-US"/>
              </w:rPr>
              <w:t>There was a significant difference regarding retinopathy of prematurity when comparing an Hb of 6.2 mmol/L vs. greater than 6.2 mmol/L in neonates in the second week of life.</w:t>
            </w:r>
          </w:p>
        </w:tc>
        <w:tc>
          <w:tcPr>
            <w:tcW w:w="2820" w:type="dxa"/>
            <w:shd w:val="clear" w:color="auto" w:fill="auto"/>
          </w:tcPr>
          <w:p w14:paraId="6EDF28A0"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p w14:paraId="6EDF28A1"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8A2"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8A3"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8A4"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u w:val="single"/>
              </w:rPr>
              <w:t>RR 0.79 (95% CI 0.66 - 0.95)</w:t>
            </w:r>
          </w:p>
        </w:tc>
        <w:tc>
          <w:tcPr>
            <w:tcW w:w="2415" w:type="dxa"/>
            <w:shd w:val="clear" w:color="auto" w:fill="auto"/>
          </w:tcPr>
          <w:p w14:paraId="6EDF28A5"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14:paraId="6EDF28A8"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A7" w14:textId="77777777" w:rsidR="00744659" w:rsidRDefault="002C38C9">
            <w:pPr>
              <w:spacing w:line="360" w:lineRule="auto"/>
              <w:rPr>
                <w:sz w:val="20"/>
                <w:szCs w:val="20"/>
                <w:u w:val="single"/>
              </w:rPr>
            </w:pPr>
            <w:r>
              <w:rPr>
                <w:b w:val="0"/>
                <w:sz w:val="20"/>
                <w:szCs w:val="20"/>
                <w:u w:val="single"/>
              </w:rPr>
              <w:t>Costs</w:t>
            </w:r>
          </w:p>
        </w:tc>
      </w:tr>
      <w:tr w:rsidR="00744659" w14:paraId="6EDF28AC"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A9"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costs when comparing an Hb of 6.2 mmol/L vs. greater than 6.2 mmol/L in neonates in the second week of life.</w:t>
            </w:r>
          </w:p>
        </w:tc>
        <w:tc>
          <w:tcPr>
            <w:tcW w:w="2820" w:type="dxa"/>
            <w:shd w:val="clear" w:color="auto" w:fill="auto"/>
          </w:tcPr>
          <w:p w14:paraId="6EDF28AA"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MD -0.80 (95% CI -1.65 - 0.05)</w:t>
            </w:r>
          </w:p>
        </w:tc>
        <w:tc>
          <w:tcPr>
            <w:tcW w:w="2415" w:type="dxa"/>
            <w:shd w:val="clear" w:color="auto" w:fill="auto"/>
          </w:tcPr>
          <w:p w14:paraId="6EDF28AB"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rsidRPr="00C53C14" w14:paraId="6EDF28AE"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AD"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8B2"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AF" w14:textId="77777777" w:rsidR="00744659" w:rsidRDefault="002C38C9">
            <w:pPr>
              <w:spacing w:line="360" w:lineRule="auto"/>
              <w:rPr>
                <w:sz w:val="20"/>
                <w:szCs w:val="20"/>
              </w:rPr>
            </w:pPr>
            <w:r>
              <w:rPr>
                <w:b w:val="0"/>
                <w:sz w:val="20"/>
                <w:szCs w:val="20"/>
              </w:rPr>
              <w:t>No studies</w:t>
            </w:r>
          </w:p>
        </w:tc>
        <w:tc>
          <w:tcPr>
            <w:tcW w:w="2820" w:type="dxa"/>
            <w:shd w:val="clear" w:color="auto" w:fill="auto"/>
          </w:tcPr>
          <w:p w14:paraId="6EDF28B0"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15" w:type="dxa"/>
            <w:shd w:val="clear" w:color="auto" w:fill="auto"/>
          </w:tcPr>
          <w:p w14:paraId="6EDF28B1"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8B3"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8B4" w14:textId="77777777" w:rsidR="00744659" w:rsidRPr="00C53C14" w:rsidRDefault="00744659">
      <w:pPr>
        <w:spacing w:line="360" w:lineRule="auto"/>
        <w:rPr>
          <w:rFonts w:ascii="Calibri" w:eastAsia="Calibri" w:hAnsi="Calibri" w:cs="Calibri"/>
          <w:b/>
          <w:sz w:val="20"/>
          <w:szCs w:val="20"/>
          <w:lang w:val="en-US"/>
        </w:rPr>
      </w:pPr>
    </w:p>
    <w:p w14:paraId="6EDF28B5"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B5: Neonates in the third week of life</w:t>
      </w:r>
    </w:p>
    <w:p w14:paraId="6EDF28B6"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B5.1: Hb of 5.6 mmol/L versus Hb greater than 5.6 mmol/L in neonates on respiratory support in the third week of life</w:t>
      </w:r>
    </w:p>
    <w:tbl>
      <w:tblPr>
        <w:tblStyle w:val="affa"/>
        <w:tblW w:w="9345"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10"/>
        <w:gridCol w:w="2805"/>
        <w:gridCol w:w="2430"/>
      </w:tblGrid>
      <w:tr w:rsidR="00744659" w14:paraId="6EDF28BA"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tcBorders>
              <w:top w:val="single" w:sz="8" w:space="0" w:color="FFFFFF"/>
            </w:tcBorders>
          </w:tcPr>
          <w:p w14:paraId="6EDF28B7" w14:textId="77777777" w:rsidR="00744659" w:rsidRDefault="002C38C9">
            <w:pPr>
              <w:spacing w:line="360" w:lineRule="auto"/>
              <w:rPr>
                <w:sz w:val="20"/>
                <w:szCs w:val="20"/>
              </w:rPr>
            </w:pPr>
            <w:r>
              <w:rPr>
                <w:sz w:val="20"/>
                <w:szCs w:val="20"/>
              </w:rPr>
              <w:t>Conclusion of evidence</w:t>
            </w:r>
          </w:p>
        </w:tc>
        <w:tc>
          <w:tcPr>
            <w:tcW w:w="2805" w:type="dxa"/>
            <w:tcBorders>
              <w:top w:val="single" w:sz="8" w:space="0" w:color="FFFFFF"/>
            </w:tcBorders>
          </w:tcPr>
          <w:p w14:paraId="6EDF28B8"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430" w:type="dxa"/>
            <w:tcBorders>
              <w:top w:val="single" w:sz="8" w:space="0" w:color="FFFFFF"/>
            </w:tcBorders>
          </w:tcPr>
          <w:p w14:paraId="6EDF28B9"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8BC"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BB"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8C0" w14:textId="77777777" w:rsidTr="00744659">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BD" w14:textId="77777777" w:rsidR="00744659" w:rsidRDefault="002C38C9">
            <w:pPr>
              <w:spacing w:line="360" w:lineRule="auto"/>
              <w:rPr>
                <w:sz w:val="20"/>
                <w:szCs w:val="20"/>
              </w:rPr>
            </w:pPr>
            <w:r>
              <w:rPr>
                <w:b w:val="0"/>
                <w:sz w:val="20"/>
                <w:szCs w:val="20"/>
              </w:rPr>
              <w:t>No studies</w:t>
            </w:r>
          </w:p>
        </w:tc>
        <w:tc>
          <w:tcPr>
            <w:tcW w:w="2805" w:type="dxa"/>
            <w:shd w:val="clear" w:color="auto" w:fill="auto"/>
          </w:tcPr>
          <w:p w14:paraId="6EDF28BE"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430" w:type="dxa"/>
            <w:shd w:val="clear" w:color="auto" w:fill="auto"/>
          </w:tcPr>
          <w:p w14:paraId="6EDF28BF"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8C2"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C1"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8C4"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C3" w14:textId="77777777" w:rsidR="00744659" w:rsidRDefault="002C38C9">
            <w:pPr>
              <w:spacing w:line="360" w:lineRule="auto"/>
              <w:rPr>
                <w:sz w:val="20"/>
                <w:szCs w:val="20"/>
                <w:u w:val="single"/>
              </w:rPr>
            </w:pPr>
            <w:r>
              <w:rPr>
                <w:b w:val="0"/>
                <w:sz w:val="20"/>
                <w:szCs w:val="20"/>
                <w:u w:val="single"/>
              </w:rPr>
              <w:t>Mortality</w:t>
            </w:r>
          </w:p>
        </w:tc>
      </w:tr>
      <w:tr w:rsidR="00744659" w14:paraId="6EDF28C8"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C5" w14:textId="77777777" w:rsidR="00744659" w:rsidRPr="00C53C14" w:rsidRDefault="002C38C9">
            <w:pPr>
              <w:spacing w:line="360" w:lineRule="auto"/>
              <w:rPr>
                <w:sz w:val="20"/>
                <w:szCs w:val="20"/>
                <w:lang w:val="en-US"/>
              </w:rPr>
            </w:pPr>
            <w:r w:rsidRPr="00C53C14">
              <w:rPr>
                <w:b w:val="0"/>
                <w:sz w:val="20"/>
                <w:szCs w:val="20"/>
                <w:lang w:val="en-US"/>
              </w:rPr>
              <w:lastRenderedPageBreak/>
              <w:t>There was no significant difference regarding mortality when comparing an Hb of 5.6 mmol/L vs. greater than 5.6 mmol/L in neonates in the third week of life.</w:t>
            </w:r>
          </w:p>
        </w:tc>
        <w:tc>
          <w:tcPr>
            <w:tcW w:w="2805" w:type="dxa"/>
            <w:shd w:val="clear" w:color="auto" w:fill="auto"/>
          </w:tcPr>
          <w:p w14:paraId="6EDF28C6"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1.23 (95% CI 0.84 - 1.79)</w:t>
            </w:r>
          </w:p>
        </w:tc>
        <w:tc>
          <w:tcPr>
            <w:tcW w:w="2430" w:type="dxa"/>
            <w:shd w:val="clear" w:color="auto" w:fill="auto"/>
          </w:tcPr>
          <w:p w14:paraId="6EDF28C7"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14:paraId="6EDF28CA"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C9" w14:textId="77777777" w:rsidR="00744659" w:rsidRDefault="002C38C9">
            <w:pPr>
              <w:spacing w:line="360" w:lineRule="auto"/>
              <w:rPr>
                <w:sz w:val="20"/>
                <w:szCs w:val="20"/>
                <w:u w:val="single"/>
              </w:rPr>
            </w:pPr>
            <w:r>
              <w:rPr>
                <w:b w:val="0"/>
                <w:sz w:val="20"/>
                <w:szCs w:val="20"/>
                <w:u w:val="single"/>
              </w:rPr>
              <w:t>Morbidity</w:t>
            </w:r>
          </w:p>
        </w:tc>
      </w:tr>
      <w:tr w:rsidR="00744659" w14:paraId="6EDF28D2"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CB"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morbidity when comparing an Hb of 5.6 mmol/L vs. greater than 5.6 mmol/L in neonates in the third week of life.</w:t>
            </w:r>
          </w:p>
          <w:p w14:paraId="6EDF28CC" w14:textId="77777777" w:rsidR="00744659" w:rsidRPr="00C53C14" w:rsidRDefault="002C38C9">
            <w:pPr>
              <w:spacing w:line="360" w:lineRule="auto"/>
              <w:rPr>
                <w:sz w:val="20"/>
                <w:szCs w:val="20"/>
                <w:lang w:val="en-US"/>
              </w:rPr>
            </w:pPr>
            <w:r w:rsidRPr="00C53C14">
              <w:rPr>
                <w:b w:val="0"/>
                <w:sz w:val="20"/>
                <w:szCs w:val="20"/>
                <w:lang w:val="en-US"/>
              </w:rPr>
              <w:t>There was a significant difference regarding retinopathy of prematurity when comparing an Hb of 5.6 mmol/L vs. greater than 5.6 mmol/L in neonates in the third week of life.</w:t>
            </w:r>
          </w:p>
        </w:tc>
        <w:tc>
          <w:tcPr>
            <w:tcW w:w="2805" w:type="dxa"/>
            <w:shd w:val="clear" w:color="auto" w:fill="auto"/>
          </w:tcPr>
          <w:p w14:paraId="6EDF28CD"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p w14:paraId="6EDF28CE"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8CF" w14:textId="77777777" w:rsidR="00744659" w:rsidRPr="00C53C14"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p>
          <w:p w14:paraId="6EDF28D0"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u w:val="single"/>
              </w:rPr>
              <w:t>RR 0.79 (95% CI 0.66 - 0.95)</w:t>
            </w:r>
          </w:p>
        </w:tc>
        <w:tc>
          <w:tcPr>
            <w:tcW w:w="2430" w:type="dxa"/>
            <w:shd w:val="clear" w:color="auto" w:fill="auto"/>
          </w:tcPr>
          <w:p w14:paraId="6EDF28D1"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14:paraId="6EDF28D4"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F3F3F3"/>
          </w:tcPr>
          <w:p w14:paraId="6EDF28D3" w14:textId="77777777" w:rsidR="00744659" w:rsidRDefault="002C38C9">
            <w:pPr>
              <w:spacing w:line="360" w:lineRule="auto"/>
              <w:rPr>
                <w:sz w:val="20"/>
                <w:szCs w:val="20"/>
                <w:u w:val="single"/>
              </w:rPr>
            </w:pPr>
            <w:r>
              <w:rPr>
                <w:b w:val="0"/>
                <w:sz w:val="20"/>
                <w:szCs w:val="20"/>
                <w:u w:val="single"/>
              </w:rPr>
              <w:t>Costs</w:t>
            </w:r>
          </w:p>
        </w:tc>
      </w:tr>
      <w:tr w:rsidR="00744659" w14:paraId="6EDF28D8"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D5" w14:textId="77777777" w:rsidR="00744659" w:rsidRPr="00C53C14" w:rsidRDefault="002C38C9">
            <w:pPr>
              <w:spacing w:line="360" w:lineRule="auto"/>
              <w:rPr>
                <w:sz w:val="20"/>
                <w:szCs w:val="20"/>
                <w:lang w:val="en-US"/>
              </w:rPr>
            </w:pPr>
            <w:r w:rsidRPr="00C53C14">
              <w:rPr>
                <w:b w:val="0"/>
                <w:sz w:val="20"/>
                <w:szCs w:val="20"/>
                <w:lang w:val="en-US"/>
              </w:rPr>
              <w:t>There was no significant difference regarding costs when comparing an Hb of 5.6 mmol/L vs. greater than 5.6 mmol/L in neonates in the third week of life.</w:t>
            </w:r>
          </w:p>
        </w:tc>
        <w:tc>
          <w:tcPr>
            <w:tcW w:w="2805" w:type="dxa"/>
            <w:shd w:val="clear" w:color="auto" w:fill="auto"/>
          </w:tcPr>
          <w:p w14:paraId="6EDF28D6"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MD -0.80 (95% CI - 1.65 - 0.05)</w:t>
            </w:r>
          </w:p>
        </w:tc>
        <w:tc>
          <w:tcPr>
            <w:tcW w:w="2430" w:type="dxa"/>
            <w:shd w:val="clear" w:color="auto" w:fill="auto"/>
          </w:tcPr>
          <w:p w14:paraId="6EDF28D7"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 xml:space="preserve">Low* </w:t>
            </w:r>
            <w:r>
              <w:rPr>
                <w:sz w:val="20"/>
                <w:szCs w:val="20"/>
              </w:rPr>
              <w:t>/ Whyte &amp; Kirpalani 2006</w:t>
            </w:r>
          </w:p>
        </w:tc>
      </w:tr>
      <w:tr w:rsidR="00744659" w:rsidRPr="00C53C14" w14:paraId="6EDF28DA" w14:textId="77777777" w:rsidTr="00744659">
        <w:tc>
          <w:tcPr>
            <w:cnfStyle w:val="001000000000" w:firstRow="0" w:lastRow="0" w:firstColumn="1" w:lastColumn="0" w:oddVBand="0" w:evenVBand="0" w:oddHBand="0" w:evenHBand="0" w:firstRowFirstColumn="0" w:firstRowLastColumn="0" w:lastRowFirstColumn="0" w:lastRowLastColumn="0"/>
            <w:tcW w:w="9345" w:type="dxa"/>
            <w:gridSpan w:val="3"/>
            <w:shd w:val="clear" w:color="auto" w:fill="D9D9D9"/>
          </w:tcPr>
          <w:p w14:paraId="6EDF28D9" w14:textId="77777777" w:rsidR="00744659" w:rsidRPr="00C53C14" w:rsidRDefault="002C38C9">
            <w:pPr>
              <w:spacing w:line="360" w:lineRule="auto"/>
              <w:rPr>
                <w:sz w:val="20"/>
                <w:szCs w:val="20"/>
                <w:lang w:val="en-US"/>
              </w:rPr>
            </w:pPr>
            <w:r w:rsidRPr="00C53C14">
              <w:rPr>
                <w:b w:val="0"/>
                <w:sz w:val="20"/>
                <w:szCs w:val="20"/>
                <w:lang w:val="en-US"/>
              </w:rPr>
              <w:t>Adults – Evidence cited in existing guidelines</w:t>
            </w:r>
          </w:p>
        </w:tc>
      </w:tr>
      <w:tr w:rsidR="00744659" w14:paraId="6EDF28DE"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0" w:type="dxa"/>
            <w:shd w:val="clear" w:color="auto" w:fill="auto"/>
          </w:tcPr>
          <w:p w14:paraId="6EDF28DB" w14:textId="77777777" w:rsidR="00744659" w:rsidRDefault="002C38C9">
            <w:pPr>
              <w:spacing w:line="360" w:lineRule="auto"/>
              <w:rPr>
                <w:sz w:val="20"/>
                <w:szCs w:val="20"/>
              </w:rPr>
            </w:pPr>
            <w:r>
              <w:rPr>
                <w:b w:val="0"/>
                <w:sz w:val="20"/>
                <w:szCs w:val="20"/>
              </w:rPr>
              <w:t>No studies</w:t>
            </w:r>
          </w:p>
        </w:tc>
        <w:tc>
          <w:tcPr>
            <w:tcW w:w="2805" w:type="dxa"/>
            <w:shd w:val="clear" w:color="auto" w:fill="auto"/>
          </w:tcPr>
          <w:p w14:paraId="6EDF28DC"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430" w:type="dxa"/>
            <w:shd w:val="clear" w:color="auto" w:fill="auto"/>
          </w:tcPr>
          <w:p w14:paraId="6EDF28DD"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8DF"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8E0" w14:textId="77777777" w:rsidR="00744659" w:rsidRPr="00C53C14" w:rsidRDefault="00744659">
      <w:pPr>
        <w:spacing w:line="360" w:lineRule="auto"/>
        <w:rPr>
          <w:rFonts w:ascii="Calibri" w:eastAsia="Calibri" w:hAnsi="Calibri" w:cs="Calibri"/>
          <w:b/>
          <w:sz w:val="20"/>
          <w:szCs w:val="20"/>
          <w:lang w:val="en-US"/>
        </w:rPr>
      </w:pPr>
    </w:p>
    <w:p w14:paraId="6EDF28E1"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C. Conclusions</w:t>
      </w:r>
    </w:p>
    <w:p w14:paraId="6EDF28E2"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No conclusions were formulated. </w:t>
      </w:r>
    </w:p>
    <w:p w14:paraId="6EDF28E3" w14:textId="77777777" w:rsidR="00744659" w:rsidRPr="00C53C14" w:rsidRDefault="00744659">
      <w:pPr>
        <w:spacing w:line="360" w:lineRule="auto"/>
        <w:rPr>
          <w:rFonts w:ascii="Calibri" w:eastAsia="Calibri" w:hAnsi="Calibri" w:cs="Calibri"/>
          <w:b/>
          <w:sz w:val="20"/>
          <w:szCs w:val="20"/>
          <w:lang w:val="en-US"/>
        </w:rPr>
      </w:pPr>
    </w:p>
    <w:p w14:paraId="6EDF28E4"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5. PROPHYLACTIC RED BLOOD CELL TRANSFUSION - HYPERLEUKOCYTOSIS</w:t>
      </w:r>
    </w:p>
    <w:p w14:paraId="6EDF28E5"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5.1 PROPHYLACTIC RED BLOOD CELL TRANSFUSION IN CHILDREN AND NEONATES WITH CANCER DURING HYPERLEUKOCYTOSIS</w:t>
      </w:r>
    </w:p>
    <w:p w14:paraId="6EDF28E6"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A. Discussion of the literature</w:t>
      </w:r>
    </w:p>
    <w:p w14:paraId="6EDF28E7"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A1: Discussion of the evidence</w:t>
      </w:r>
    </w:p>
    <w:p w14:paraId="6EDF28E8"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A1.1: Evidence in pediatric oncology</w:t>
      </w:r>
    </w:p>
    <w:p w14:paraId="6EDF28E9"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No pediatric oncology studies included children or neonates with cancer during hyperleukocytosis.</w:t>
      </w:r>
    </w:p>
    <w:p w14:paraId="6EDF28EA" w14:textId="77777777" w:rsidR="00744659" w:rsidRPr="00C53C14" w:rsidRDefault="00744659">
      <w:pPr>
        <w:spacing w:line="360" w:lineRule="auto"/>
        <w:rPr>
          <w:rFonts w:ascii="Calibri" w:eastAsia="Calibri" w:hAnsi="Calibri" w:cs="Calibri"/>
          <w:sz w:val="20"/>
          <w:szCs w:val="20"/>
          <w:lang w:val="en-US"/>
        </w:rPr>
      </w:pPr>
    </w:p>
    <w:p w14:paraId="6EDF28EB"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lastRenderedPageBreak/>
        <w:t>A1.2: Recommendations and evidence derived from guidelines</w:t>
      </w:r>
    </w:p>
    <w:p w14:paraId="6EDF28EC"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No guidelines included children or neonates with cancer during hyperleukocytosis.</w:t>
      </w:r>
      <w:r w:rsidRPr="00C53C14">
        <w:rPr>
          <w:rFonts w:ascii="Calibri" w:eastAsia="Calibri" w:hAnsi="Calibri" w:cs="Calibri"/>
          <w:i/>
          <w:sz w:val="20"/>
          <w:szCs w:val="20"/>
          <w:lang w:val="en-US"/>
        </w:rPr>
        <w:br/>
      </w:r>
    </w:p>
    <w:p w14:paraId="6EDF28ED"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8EE"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There were no primary pediatric oncology studies included from the systematic literature search and no additional studies from the additional literature review.</w:t>
      </w:r>
    </w:p>
    <w:p w14:paraId="6EDF28EF" w14:textId="77777777" w:rsidR="00744659" w:rsidRPr="00C53C14" w:rsidRDefault="00744659">
      <w:pPr>
        <w:spacing w:line="360" w:lineRule="auto"/>
        <w:rPr>
          <w:rFonts w:ascii="Calibri" w:eastAsia="Calibri" w:hAnsi="Calibri" w:cs="Calibri"/>
          <w:sz w:val="20"/>
          <w:szCs w:val="20"/>
          <w:lang w:val="en-US"/>
        </w:rPr>
      </w:pPr>
    </w:p>
    <w:p w14:paraId="6EDF28F0"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8F1"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results were presented. </w:t>
      </w:r>
    </w:p>
    <w:p w14:paraId="6EDF28F2" w14:textId="77777777" w:rsidR="00744659" w:rsidRPr="00C53C14" w:rsidRDefault="00744659">
      <w:pPr>
        <w:spacing w:line="360" w:lineRule="auto"/>
        <w:rPr>
          <w:rFonts w:ascii="Calibri" w:eastAsia="Calibri" w:hAnsi="Calibri" w:cs="Calibri"/>
          <w:sz w:val="20"/>
          <w:szCs w:val="20"/>
          <w:lang w:val="en-US"/>
        </w:rPr>
      </w:pPr>
    </w:p>
    <w:p w14:paraId="6EDF28F3"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C. Conclusions</w:t>
      </w:r>
    </w:p>
    <w:p w14:paraId="6EDF28F4"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lang w:val="en-US"/>
        </w:rPr>
        <w:t xml:space="preserve">As no studies were included, no conclusions were formulated. </w:t>
      </w:r>
      <w:r w:rsidRPr="00C53C14">
        <w:rPr>
          <w:rFonts w:ascii="Calibri" w:eastAsia="Calibri" w:hAnsi="Calibri" w:cs="Calibri"/>
          <w:sz w:val="20"/>
          <w:szCs w:val="20"/>
          <w:lang w:val="en-US"/>
        </w:rPr>
        <w:br/>
      </w:r>
    </w:p>
    <w:p w14:paraId="6EDF28F5" w14:textId="77777777" w:rsidR="00744659" w:rsidRPr="00C53C14" w:rsidRDefault="002C38C9">
      <w:pPr>
        <w:spacing w:after="200"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6. IRRADIATED RED BLOOD CELL TRANSFUSIONS</w:t>
      </w:r>
      <w:r w:rsidRPr="00C53C14">
        <w:rPr>
          <w:rFonts w:ascii="Calibri" w:eastAsia="Calibri" w:hAnsi="Calibri" w:cs="Calibri"/>
          <w:b/>
          <w:sz w:val="20"/>
          <w:szCs w:val="20"/>
          <w:lang w:val="en-US"/>
        </w:rPr>
        <w:br/>
        <w:t>6.1 IRRADIATED RED BLOOD CELL TRANSFUSIONS IN CHILDREN AND NEONATES WITH CANCER</w:t>
      </w:r>
    </w:p>
    <w:p w14:paraId="6EDF28F6"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A. Discussion of the literature</w:t>
      </w:r>
    </w:p>
    <w:p w14:paraId="6EDF28F7"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A1: Discussion of the evidence</w:t>
      </w:r>
    </w:p>
    <w:p w14:paraId="6EDF28F8"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A1.1: Evidence in pediatric oncology</w:t>
      </w:r>
    </w:p>
    <w:p w14:paraId="6EDF28F9"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sz w:val="20"/>
          <w:szCs w:val="20"/>
          <w:lang w:val="en-US"/>
        </w:rPr>
        <w:t>No pediatric oncology studies were included.</w:t>
      </w:r>
    </w:p>
    <w:p w14:paraId="6EDF28FA" w14:textId="77777777" w:rsidR="00744659" w:rsidRPr="00C53C14" w:rsidRDefault="00744659">
      <w:pPr>
        <w:spacing w:line="360" w:lineRule="auto"/>
        <w:rPr>
          <w:rFonts w:ascii="Calibri" w:eastAsia="Calibri" w:hAnsi="Calibri" w:cs="Calibri"/>
          <w:sz w:val="20"/>
          <w:szCs w:val="20"/>
          <w:lang w:val="en-US"/>
        </w:rPr>
      </w:pPr>
    </w:p>
    <w:p w14:paraId="6EDF28FB"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A1.2: Recommendations and evidence derived from guidelines</w:t>
      </w:r>
    </w:p>
    <w:p w14:paraId="6EDF28FC"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The only guideline that included recommendations for irradiated RBC products was the Dutch Association of Medical Specialists (21) based on one study (34) and a survey under hemovigilance organizations worldwide:</w:t>
      </w:r>
    </w:p>
    <w:p w14:paraId="6EDF28FD" w14:textId="77777777" w:rsidR="00744659" w:rsidRPr="00C53C14" w:rsidRDefault="002C38C9">
      <w:pPr>
        <w:numPr>
          <w:ilvl w:val="0"/>
          <w:numId w:val="6"/>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In case of HLA related products and donors:</w:t>
      </w:r>
    </w:p>
    <w:p w14:paraId="6EDF28FE" w14:textId="77777777" w:rsidR="00744659" w:rsidRPr="00C53C14" w:rsidRDefault="002C38C9">
      <w:pPr>
        <w:numPr>
          <w:ilvl w:val="0"/>
          <w:numId w:val="1"/>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Transfusion between 1st to 3rd degree relatives of cell-containing blood products;</w:t>
      </w:r>
    </w:p>
    <w:p w14:paraId="6EDF28FF" w14:textId="77777777" w:rsidR="00744659" w:rsidRDefault="002C38C9">
      <w:pPr>
        <w:numPr>
          <w:ilvl w:val="0"/>
          <w:numId w:val="1"/>
        </w:numPr>
        <w:spacing w:line="360" w:lineRule="auto"/>
        <w:rPr>
          <w:rFonts w:ascii="Calibri" w:eastAsia="Calibri" w:hAnsi="Calibri" w:cs="Calibri"/>
          <w:sz w:val="20"/>
          <w:szCs w:val="20"/>
        </w:rPr>
      </w:pPr>
      <w:r>
        <w:rPr>
          <w:rFonts w:ascii="Calibri" w:eastAsia="Calibri" w:hAnsi="Calibri" w:cs="Calibri"/>
          <w:sz w:val="20"/>
          <w:szCs w:val="20"/>
        </w:rPr>
        <w:t>HLA-compatible plated concentrates.</w:t>
      </w:r>
    </w:p>
    <w:p w14:paraId="6EDF2900" w14:textId="77777777" w:rsidR="00744659" w:rsidRDefault="002C38C9">
      <w:pPr>
        <w:numPr>
          <w:ilvl w:val="0"/>
          <w:numId w:val="4"/>
        </w:numPr>
        <w:spacing w:line="360" w:lineRule="auto"/>
        <w:rPr>
          <w:rFonts w:ascii="Calibri" w:eastAsia="Calibri" w:hAnsi="Calibri" w:cs="Calibri"/>
          <w:sz w:val="20"/>
          <w:szCs w:val="20"/>
        </w:rPr>
      </w:pPr>
      <w:r>
        <w:rPr>
          <w:rFonts w:ascii="Calibri" w:eastAsia="Calibri" w:hAnsi="Calibri" w:cs="Calibri"/>
          <w:sz w:val="20"/>
          <w:szCs w:val="20"/>
        </w:rPr>
        <w:t>In case of granulocyte transfusions</w:t>
      </w:r>
    </w:p>
    <w:p w14:paraId="6EDF2901" w14:textId="77777777" w:rsidR="00744659" w:rsidRPr="00C53C14" w:rsidRDefault="002C38C9">
      <w:pPr>
        <w:numPr>
          <w:ilvl w:val="0"/>
          <w:numId w:val="4"/>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Depending on the patient's immune status:</w:t>
      </w:r>
    </w:p>
    <w:p w14:paraId="6EDF2902" w14:textId="77777777" w:rsidR="00744659" w:rsidRPr="00C53C14" w:rsidRDefault="002C38C9">
      <w:pPr>
        <w:numPr>
          <w:ilvl w:val="0"/>
          <w:numId w:val="3"/>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During intrauterine transfusions until 6 months after the due date;</w:t>
      </w:r>
    </w:p>
    <w:p w14:paraId="6EDF2903" w14:textId="77777777" w:rsidR="00744659" w:rsidRPr="00C53C14" w:rsidRDefault="002C38C9">
      <w:pPr>
        <w:numPr>
          <w:ilvl w:val="0"/>
          <w:numId w:val="3"/>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Children with congenital combined immune deficiencies (e.g., SCID);</w:t>
      </w:r>
    </w:p>
    <w:p w14:paraId="6EDF2904" w14:textId="77777777" w:rsidR="00744659" w:rsidRPr="00C53C14" w:rsidRDefault="002C38C9">
      <w:pPr>
        <w:numPr>
          <w:ilvl w:val="0"/>
          <w:numId w:val="3"/>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Acquired immune deficiencies such as:</w:t>
      </w:r>
    </w:p>
    <w:p w14:paraId="6EDF2905" w14:textId="77777777" w:rsidR="00744659" w:rsidRPr="00C53C14" w:rsidRDefault="002C38C9">
      <w:pPr>
        <w:numPr>
          <w:ilvl w:val="1"/>
          <w:numId w:val="5"/>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Allogeneic stem cell transplantations up to 1 year after transplantation;</w:t>
      </w:r>
    </w:p>
    <w:p w14:paraId="6EDF2906" w14:textId="77777777" w:rsidR="00744659" w:rsidRPr="00C53C14" w:rsidRDefault="002C38C9">
      <w:pPr>
        <w:numPr>
          <w:ilvl w:val="1"/>
          <w:numId w:val="5"/>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Autologous stem cell transplantations up to 6 months after transplantation;</w:t>
      </w:r>
    </w:p>
    <w:p w14:paraId="6EDF2907" w14:textId="77777777" w:rsidR="00744659" w:rsidRPr="00C53C14" w:rsidRDefault="002C38C9">
      <w:pPr>
        <w:numPr>
          <w:ilvl w:val="1"/>
          <w:numId w:val="5"/>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After application of donor lymphocyte infusion (DLI) or infusion of cytotoxic T lymphocytes (CTL) up to 1 year after transfusion. </w:t>
      </w:r>
    </w:p>
    <w:p w14:paraId="6EDF2908" w14:textId="77777777" w:rsidR="00744659" w:rsidRPr="00C53C14" w:rsidRDefault="002C38C9">
      <w:pPr>
        <w:numPr>
          <w:ilvl w:val="0"/>
          <w:numId w:val="2"/>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In case of patients with prolonged T-cell depletion after medication:</w:t>
      </w:r>
    </w:p>
    <w:p w14:paraId="6EDF2909" w14:textId="77777777" w:rsidR="00744659" w:rsidRPr="00C53C14" w:rsidRDefault="002C38C9">
      <w:pPr>
        <w:numPr>
          <w:ilvl w:val="0"/>
          <w:numId w:val="7"/>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Fludarabine or other T-cell depleting therapy or indicated by the pharmacotherapeutic compass (up to 6 months after discontinuation of the therapy);</w:t>
      </w:r>
    </w:p>
    <w:p w14:paraId="6EDF290A" w14:textId="77777777" w:rsidR="00744659" w:rsidRPr="00C53C14" w:rsidRDefault="002C38C9">
      <w:pPr>
        <w:numPr>
          <w:ilvl w:val="0"/>
          <w:numId w:val="7"/>
        </w:num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lastRenderedPageBreak/>
        <w:t xml:space="preserve">Medications that, in combination with the disease, cause long-term T-cell depletions, such as anti-CD52 treatments in hematological diseases and ATG treatment in aplastic anemia from the initiation to 6 months after completion of the treatment. </w:t>
      </w:r>
    </w:p>
    <w:p w14:paraId="6EDF290B" w14:textId="77777777" w:rsidR="00744659" w:rsidRPr="00C53C14" w:rsidRDefault="00744659">
      <w:pPr>
        <w:spacing w:line="360" w:lineRule="auto"/>
        <w:rPr>
          <w:rFonts w:ascii="Calibri" w:eastAsia="Calibri" w:hAnsi="Calibri" w:cs="Calibri"/>
          <w:i/>
          <w:sz w:val="20"/>
          <w:szCs w:val="20"/>
          <w:lang w:val="en-US"/>
        </w:rPr>
      </w:pPr>
    </w:p>
    <w:p w14:paraId="6EDF290C"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90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There were no primary pediatric oncology studies included from the systematic literature search and no additional studies from the additional literature review. </w:t>
      </w:r>
    </w:p>
    <w:p w14:paraId="6EDF290E" w14:textId="77777777" w:rsidR="00744659" w:rsidRPr="00C53C14" w:rsidRDefault="00744659">
      <w:pPr>
        <w:spacing w:line="360" w:lineRule="auto"/>
        <w:rPr>
          <w:rFonts w:ascii="Calibri" w:eastAsia="Calibri" w:hAnsi="Calibri" w:cs="Calibri"/>
          <w:sz w:val="20"/>
          <w:szCs w:val="20"/>
          <w:lang w:val="en-US"/>
        </w:rPr>
      </w:pPr>
    </w:p>
    <w:p w14:paraId="6EDF290F"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91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results were presented. </w:t>
      </w:r>
    </w:p>
    <w:p w14:paraId="6EDF2911" w14:textId="77777777" w:rsidR="00744659" w:rsidRPr="00C53C14" w:rsidRDefault="00744659">
      <w:pPr>
        <w:spacing w:line="360" w:lineRule="auto"/>
        <w:rPr>
          <w:rFonts w:ascii="Calibri" w:eastAsia="Calibri" w:hAnsi="Calibri" w:cs="Calibri"/>
          <w:b/>
          <w:sz w:val="20"/>
          <w:szCs w:val="20"/>
          <w:lang w:val="en-US"/>
        </w:rPr>
      </w:pPr>
    </w:p>
    <w:p w14:paraId="6EDF2912"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C. Conclusions</w:t>
      </w:r>
    </w:p>
    <w:p w14:paraId="6EDF2913"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conclusions were formulated. </w:t>
      </w:r>
    </w:p>
    <w:p w14:paraId="6EDF2914" w14:textId="77777777" w:rsidR="00744659" w:rsidRPr="00C53C14" w:rsidRDefault="002C38C9">
      <w:pPr>
        <w:spacing w:after="200"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br/>
        <w:t>7. LOW OR HIGH-VOLUME RED BLOOD CELL TRANSFUSIONS</w:t>
      </w:r>
    </w:p>
    <w:p w14:paraId="6EDF2915" w14:textId="77777777" w:rsidR="00744659" w:rsidRPr="00C53C14" w:rsidRDefault="002C38C9">
      <w:pPr>
        <w:spacing w:after="200"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7.1 LOW OR HIGH-VOLUME RED BLOOD CELL TRANSFUSIONS IN CHILDREN WITH CANCER</w:t>
      </w:r>
      <w:r w:rsidRPr="00C53C14">
        <w:rPr>
          <w:rFonts w:ascii="Calibri" w:eastAsia="Calibri" w:hAnsi="Calibri" w:cs="Calibri"/>
          <w:sz w:val="20"/>
          <w:szCs w:val="20"/>
          <w:lang w:val="en-US"/>
        </w:rPr>
        <w:br/>
      </w:r>
      <w:r w:rsidRPr="00C53C14">
        <w:rPr>
          <w:rFonts w:ascii="Calibri" w:eastAsia="Calibri" w:hAnsi="Calibri" w:cs="Calibri"/>
          <w:b/>
          <w:sz w:val="20"/>
          <w:szCs w:val="20"/>
          <w:lang w:val="en-US"/>
        </w:rPr>
        <w:t>A. Discussion of the literature</w:t>
      </w:r>
      <w:r w:rsidRPr="00C53C14">
        <w:rPr>
          <w:rFonts w:ascii="Calibri" w:eastAsia="Calibri" w:hAnsi="Calibri" w:cs="Calibri"/>
          <w:b/>
          <w:sz w:val="20"/>
          <w:szCs w:val="20"/>
          <w:lang w:val="en-US"/>
        </w:rPr>
        <w:br/>
      </w:r>
      <w:r w:rsidRPr="00C53C14">
        <w:rPr>
          <w:rFonts w:ascii="Calibri" w:eastAsia="Calibri" w:hAnsi="Calibri" w:cs="Calibri"/>
          <w:i/>
          <w:sz w:val="20"/>
          <w:szCs w:val="20"/>
          <w:lang w:val="en-US"/>
        </w:rPr>
        <w:t>A1: Discussion of the evidence</w:t>
      </w:r>
      <w:r w:rsidRPr="00C53C14">
        <w:rPr>
          <w:rFonts w:ascii="Calibri" w:eastAsia="Calibri" w:hAnsi="Calibri" w:cs="Calibri"/>
          <w:i/>
          <w:sz w:val="20"/>
          <w:szCs w:val="20"/>
          <w:lang w:val="en-US"/>
        </w:rPr>
        <w:br/>
      </w:r>
      <w:r w:rsidRPr="00C53C14">
        <w:rPr>
          <w:rFonts w:ascii="Calibri" w:eastAsia="Calibri" w:hAnsi="Calibri" w:cs="Calibri"/>
          <w:sz w:val="20"/>
          <w:szCs w:val="20"/>
          <w:u w:val="single"/>
          <w:lang w:val="en-US"/>
        </w:rPr>
        <w:t>A1.1: Evidence in pediatric oncology</w:t>
      </w:r>
      <w:r w:rsidRPr="00C53C14">
        <w:rPr>
          <w:rFonts w:ascii="Calibri" w:eastAsia="Calibri" w:hAnsi="Calibri" w:cs="Calibri"/>
          <w:sz w:val="20"/>
          <w:szCs w:val="20"/>
          <w:u w:val="single"/>
          <w:lang w:val="en-US"/>
        </w:rPr>
        <w:br/>
      </w:r>
      <w:r w:rsidRPr="00C53C14">
        <w:rPr>
          <w:rFonts w:ascii="Calibri" w:eastAsia="Calibri" w:hAnsi="Calibri" w:cs="Calibri"/>
          <w:sz w:val="20"/>
          <w:szCs w:val="20"/>
          <w:lang w:val="en-US"/>
        </w:rPr>
        <w:t>No pediatric oncology studies included RBC volumes in children.</w:t>
      </w:r>
    </w:p>
    <w:p w14:paraId="6EDF2916"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A1.2: Recommendations and evidence derived from guidelines</w:t>
      </w:r>
    </w:p>
    <w:p w14:paraId="6EDF2917"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No guidelines included RBC volumes in children.</w:t>
      </w:r>
      <w:r w:rsidRPr="00C53C14">
        <w:rPr>
          <w:rFonts w:ascii="Calibri" w:eastAsia="Calibri" w:hAnsi="Calibri" w:cs="Calibri"/>
          <w:i/>
          <w:sz w:val="20"/>
          <w:szCs w:val="20"/>
          <w:lang w:val="en-US"/>
        </w:rPr>
        <w:br/>
      </w:r>
    </w:p>
    <w:p w14:paraId="6EDF2918"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919"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A2.1: Pediatric oncology</w:t>
      </w:r>
    </w:p>
    <w:p w14:paraId="6EDF291A"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There were no primary pediatric oncology studies included from the systematic literature search.</w:t>
      </w:r>
    </w:p>
    <w:p w14:paraId="6EDF291B" w14:textId="77777777" w:rsidR="00744659" w:rsidRPr="00C53C14" w:rsidRDefault="00744659">
      <w:pPr>
        <w:spacing w:line="360" w:lineRule="auto"/>
        <w:rPr>
          <w:rFonts w:ascii="Calibri" w:eastAsia="Calibri" w:hAnsi="Calibri" w:cs="Calibri"/>
          <w:sz w:val="20"/>
          <w:szCs w:val="20"/>
          <w:lang w:val="en-US"/>
        </w:rPr>
      </w:pPr>
    </w:p>
    <w:p w14:paraId="6EDF291C"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A2.2: Children in general</w:t>
      </w:r>
    </w:p>
    <w:p w14:paraId="6EDF291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One pediatric study was included from the additional literature review (38).</w:t>
      </w:r>
    </w:p>
    <w:p w14:paraId="6EDF291E"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The characteristics of the included study are stated in the evidence table below.</w:t>
      </w:r>
    </w:p>
    <w:p w14:paraId="6EDF291F" w14:textId="77777777" w:rsidR="00744659" w:rsidRPr="00C53C14" w:rsidRDefault="00744659">
      <w:pPr>
        <w:spacing w:line="360" w:lineRule="auto"/>
        <w:rPr>
          <w:rFonts w:ascii="Calibri" w:eastAsia="Calibri" w:hAnsi="Calibri" w:cs="Calibri"/>
          <w:b/>
          <w:sz w:val="20"/>
          <w:szCs w:val="20"/>
          <w:lang w:val="en-US"/>
        </w:rPr>
      </w:pPr>
    </w:p>
    <w:p w14:paraId="6EDF292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Table 1.</w:t>
      </w:r>
      <w:r w:rsidRPr="00C53C14">
        <w:rPr>
          <w:rFonts w:ascii="Calibri" w:eastAsia="Calibri" w:hAnsi="Calibri" w:cs="Calibri"/>
          <w:sz w:val="20"/>
          <w:szCs w:val="20"/>
          <w:lang w:val="en-US"/>
        </w:rPr>
        <w:t xml:space="preserve"> Characteristics of the included studies regarding children.</w:t>
      </w:r>
    </w:p>
    <w:tbl>
      <w:tblPr>
        <w:tblStyle w:val="affb"/>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693"/>
        <w:gridCol w:w="2126"/>
        <w:gridCol w:w="2127"/>
        <w:gridCol w:w="3118"/>
      </w:tblGrid>
      <w:tr w:rsidR="00744659" w14:paraId="6EDF2922" w14:textId="77777777">
        <w:trPr>
          <w:trHeight w:val="71"/>
        </w:trPr>
        <w:tc>
          <w:tcPr>
            <w:tcW w:w="11623" w:type="dxa"/>
            <w:gridSpan w:val="5"/>
            <w:shd w:val="clear" w:color="auto" w:fill="000000"/>
            <w:tcMar>
              <w:top w:w="100" w:type="dxa"/>
              <w:left w:w="100" w:type="dxa"/>
              <w:bottom w:w="100" w:type="dxa"/>
              <w:right w:w="100" w:type="dxa"/>
            </w:tcMar>
          </w:tcPr>
          <w:p w14:paraId="6EDF2921" w14:textId="77777777" w:rsidR="00744659" w:rsidRDefault="002C38C9">
            <w:pPr>
              <w:spacing w:line="360" w:lineRule="auto"/>
              <w:rPr>
                <w:b/>
                <w:color w:val="FFFFFF"/>
                <w:sz w:val="20"/>
                <w:szCs w:val="20"/>
              </w:rPr>
            </w:pPr>
            <w:r>
              <w:rPr>
                <w:b/>
                <w:color w:val="FFFFFF"/>
                <w:sz w:val="20"/>
                <w:szCs w:val="20"/>
              </w:rPr>
              <w:t>Included studies</w:t>
            </w:r>
          </w:p>
        </w:tc>
      </w:tr>
      <w:tr w:rsidR="00744659" w14:paraId="6EDF2928" w14:textId="77777777">
        <w:trPr>
          <w:trHeight w:val="179"/>
        </w:trPr>
        <w:tc>
          <w:tcPr>
            <w:tcW w:w="1559" w:type="dxa"/>
            <w:shd w:val="clear" w:color="auto" w:fill="D9D9D9"/>
            <w:tcMar>
              <w:top w:w="100" w:type="dxa"/>
              <w:left w:w="100" w:type="dxa"/>
              <w:bottom w:w="100" w:type="dxa"/>
              <w:right w:w="100" w:type="dxa"/>
            </w:tcMar>
          </w:tcPr>
          <w:p w14:paraId="6EDF2923" w14:textId="77777777" w:rsidR="00744659" w:rsidRDefault="002C38C9">
            <w:pPr>
              <w:spacing w:line="360" w:lineRule="auto"/>
              <w:rPr>
                <w:b/>
                <w:sz w:val="20"/>
                <w:szCs w:val="20"/>
              </w:rPr>
            </w:pPr>
            <w:r>
              <w:rPr>
                <w:b/>
                <w:sz w:val="20"/>
                <w:szCs w:val="20"/>
              </w:rPr>
              <w:t>Study</w:t>
            </w:r>
          </w:p>
        </w:tc>
        <w:tc>
          <w:tcPr>
            <w:tcW w:w="2693" w:type="dxa"/>
            <w:shd w:val="clear" w:color="auto" w:fill="D9D9D9"/>
            <w:tcMar>
              <w:top w:w="100" w:type="dxa"/>
              <w:left w:w="100" w:type="dxa"/>
              <w:bottom w:w="100" w:type="dxa"/>
              <w:right w:w="100" w:type="dxa"/>
            </w:tcMar>
          </w:tcPr>
          <w:p w14:paraId="6EDF2924" w14:textId="77777777" w:rsidR="00744659" w:rsidRDefault="002C38C9">
            <w:pPr>
              <w:spacing w:line="360" w:lineRule="auto"/>
              <w:rPr>
                <w:b/>
                <w:sz w:val="20"/>
                <w:szCs w:val="20"/>
              </w:rPr>
            </w:pPr>
            <w:r>
              <w:rPr>
                <w:b/>
                <w:sz w:val="20"/>
                <w:szCs w:val="20"/>
              </w:rPr>
              <w:t>Population</w:t>
            </w:r>
          </w:p>
        </w:tc>
        <w:tc>
          <w:tcPr>
            <w:tcW w:w="2126" w:type="dxa"/>
            <w:shd w:val="clear" w:color="auto" w:fill="D9D9D9"/>
            <w:tcMar>
              <w:top w:w="100" w:type="dxa"/>
              <w:left w:w="100" w:type="dxa"/>
              <w:bottom w:w="100" w:type="dxa"/>
              <w:right w:w="100" w:type="dxa"/>
            </w:tcMar>
          </w:tcPr>
          <w:p w14:paraId="6EDF2925" w14:textId="77777777" w:rsidR="00744659" w:rsidRDefault="002C38C9">
            <w:pPr>
              <w:spacing w:line="360" w:lineRule="auto"/>
              <w:rPr>
                <w:b/>
                <w:sz w:val="20"/>
                <w:szCs w:val="20"/>
              </w:rPr>
            </w:pPr>
            <w:r>
              <w:rPr>
                <w:b/>
                <w:sz w:val="20"/>
                <w:szCs w:val="20"/>
              </w:rPr>
              <w:t>Liberal volume</w:t>
            </w:r>
          </w:p>
        </w:tc>
        <w:tc>
          <w:tcPr>
            <w:tcW w:w="2127" w:type="dxa"/>
            <w:shd w:val="clear" w:color="auto" w:fill="D9D9D9"/>
            <w:tcMar>
              <w:top w:w="100" w:type="dxa"/>
              <w:left w:w="100" w:type="dxa"/>
              <w:bottom w:w="100" w:type="dxa"/>
              <w:right w:w="100" w:type="dxa"/>
            </w:tcMar>
          </w:tcPr>
          <w:p w14:paraId="6EDF2926" w14:textId="77777777" w:rsidR="00744659" w:rsidRDefault="002C38C9">
            <w:pPr>
              <w:spacing w:line="360" w:lineRule="auto"/>
              <w:rPr>
                <w:b/>
                <w:sz w:val="20"/>
                <w:szCs w:val="20"/>
              </w:rPr>
            </w:pPr>
            <w:r>
              <w:rPr>
                <w:b/>
                <w:sz w:val="20"/>
                <w:szCs w:val="20"/>
              </w:rPr>
              <w:t>Restrictive volume</w:t>
            </w:r>
          </w:p>
        </w:tc>
        <w:tc>
          <w:tcPr>
            <w:tcW w:w="3118" w:type="dxa"/>
            <w:shd w:val="clear" w:color="auto" w:fill="D9D9D9"/>
            <w:tcMar>
              <w:top w:w="100" w:type="dxa"/>
              <w:left w:w="100" w:type="dxa"/>
              <w:bottom w:w="100" w:type="dxa"/>
              <w:right w:w="100" w:type="dxa"/>
            </w:tcMar>
          </w:tcPr>
          <w:p w14:paraId="6EDF2927" w14:textId="77777777" w:rsidR="00744659" w:rsidRDefault="002C38C9">
            <w:pPr>
              <w:spacing w:line="360" w:lineRule="auto"/>
              <w:rPr>
                <w:b/>
                <w:sz w:val="20"/>
                <w:szCs w:val="20"/>
              </w:rPr>
            </w:pPr>
            <w:r>
              <w:rPr>
                <w:b/>
                <w:sz w:val="20"/>
                <w:szCs w:val="20"/>
              </w:rPr>
              <w:t xml:space="preserve">Outcomes </w:t>
            </w:r>
          </w:p>
        </w:tc>
      </w:tr>
      <w:tr w:rsidR="00744659" w14:paraId="6EDF2931" w14:textId="77777777">
        <w:trPr>
          <w:trHeight w:val="360"/>
        </w:trPr>
        <w:tc>
          <w:tcPr>
            <w:tcW w:w="1559" w:type="dxa"/>
            <w:tcMar>
              <w:top w:w="100" w:type="dxa"/>
              <w:left w:w="100" w:type="dxa"/>
              <w:bottom w:w="100" w:type="dxa"/>
              <w:right w:w="100" w:type="dxa"/>
            </w:tcMar>
          </w:tcPr>
          <w:p w14:paraId="6EDF2929" w14:textId="77777777" w:rsidR="00744659" w:rsidRDefault="002C38C9">
            <w:pPr>
              <w:spacing w:line="360" w:lineRule="auto"/>
              <w:rPr>
                <w:i/>
                <w:sz w:val="20"/>
                <w:szCs w:val="20"/>
              </w:rPr>
            </w:pPr>
            <w:r>
              <w:rPr>
                <w:i/>
                <w:sz w:val="20"/>
                <w:szCs w:val="20"/>
              </w:rPr>
              <w:lastRenderedPageBreak/>
              <w:t>Olupot-Olupot (2014)</w:t>
            </w:r>
          </w:p>
          <w:p w14:paraId="6EDF292A"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92B" w14:textId="77777777" w:rsidR="00744659" w:rsidRPr="00C53C14" w:rsidRDefault="002C38C9">
            <w:pPr>
              <w:spacing w:line="360" w:lineRule="auto"/>
              <w:rPr>
                <w:sz w:val="20"/>
                <w:szCs w:val="20"/>
                <w:lang w:val="en-US"/>
              </w:rPr>
            </w:pPr>
            <w:r w:rsidRPr="00C53C14">
              <w:rPr>
                <w:sz w:val="20"/>
                <w:szCs w:val="20"/>
                <w:lang w:val="en-US"/>
              </w:rPr>
              <w:t>160 children with severe anemia (Hb of 3.7 mmol/L)</w:t>
            </w:r>
          </w:p>
        </w:tc>
        <w:tc>
          <w:tcPr>
            <w:tcW w:w="2126" w:type="dxa"/>
            <w:tcMar>
              <w:top w:w="100" w:type="dxa"/>
              <w:left w:w="100" w:type="dxa"/>
              <w:bottom w:w="100" w:type="dxa"/>
              <w:right w:w="100" w:type="dxa"/>
            </w:tcMar>
          </w:tcPr>
          <w:p w14:paraId="6EDF292C" w14:textId="77777777" w:rsidR="00744659" w:rsidRDefault="002C38C9">
            <w:pPr>
              <w:spacing w:line="360" w:lineRule="auto"/>
              <w:rPr>
                <w:sz w:val="20"/>
                <w:szCs w:val="20"/>
              </w:rPr>
            </w:pPr>
            <w:r>
              <w:rPr>
                <w:sz w:val="20"/>
                <w:szCs w:val="20"/>
              </w:rPr>
              <w:t>- 30 ml/kg</w:t>
            </w:r>
          </w:p>
        </w:tc>
        <w:tc>
          <w:tcPr>
            <w:tcW w:w="2127" w:type="dxa"/>
            <w:tcMar>
              <w:top w:w="100" w:type="dxa"/>
              <w:left w:w="100" w:type="dxa"/>
              <w:bottom w:w="100" w:type="dxa"/>
              <w:right w:w="100" w:type="dxa"/>
            </w:tcMar>
          </w:tcPr>
          <w:p w14:paraId="6EDF292D" w14:textId="77777777" w:rsidR="00744659" w:rsidRDefault="002C38C9">
            <w:pPr>
              <w:spacing w:line="360" w:lineRule="auto"/>
              <w:rPr>
                <w:sz w:val="20"/>
                <w:szCs w:val="20"/>
              </w:rPr>
            </w:pPr>
            <w:r>
              <w:rPr>
                <w:sz w:val="20"/>
                <w:szCs w:val="20"/>
              </w:rPr>
              <w:t>- 20 ml/kg</w:t>
            </w:r>
          </w:p>
        </w:tc>
        <w:tc>
          <w:tcPr>
            <w:tcW w:w="3118" w:type="dxa"/>
            <w:tcMar>
              <w:top w:w="100" w:type="dxa"/>
              <w:left w:w="100" w:type="dxa"/>
              <w:bottom w:w="100" w:type="dxa"/>
              <w:right w:w="100" w:type="dxa"/>
            </w:tcMar>
          </w:tcPr>
          <w:p w14:paraId="6EDF292E" w14:textId="77777777" w:rsidR="00744659" w:rsidRDefault="002C38C9">
            <w:pPr>
              <w:spacing w:line="360" w:lineRule="auto"/>
              <w:rPr>
                <w:sz w:val="20"/>
                <w:szCs w:val="20"/>
              </w:rPr>
            </w:pPr>
            <w:r>
              <w:rPr>
                <w:sz w:val="20"/>
                <w:szCs w:val="20"/>
              </w:rPr>
              <w:t>- Mortality</w:t>
            </w:r>
          </w:p>
          <w:p w14:paraId="6EDF292F" w14:textId="77777777" w:rsidR="00744659" w:rsidRDefault="002C38C9">
            <w:pPr>
              <w:spacing w:line="360" w:lineRule="auto"/>
              <w:rPr>
                <w:sz w:val="20"/>
                <w:szCs w:val="20"/>
              </w:rPr>
            </w:pPr>
            <w:r>
              <w:rPr>
                <w:sz w:val="20"/>
                <w:szCs w:val="20"/>
              </w:rPr>
              <w:t>- Morbidity</w:t>
            </w:r>
          </w:p>
          <w:p w14:paraId="6EDF2930" w14:textId="77777777" w:rsidR="00744659" w:rsidRDefault="002C38C9">
            <w:pPr>
              <w:spacing w:line="360" w:lineRule="auto"/>
              <w:rPr>
                <w:sz w:val="20"/>
                <w:szCs w:val="20"/>
              </w:rPr>
            </w:pPr>
            <w:r>
              <w:rPr>
                <w:sz w:val="20"/>
                <w:szCs w:val="20"/>
              </w:rPr>
              <w:t>- Costs</w:t>
            </w:r>
          </w:p>
        </w:tc>
      </w:tr>
    </w:tbl>
    <w:p w14:paraId="6EDF2932" w14:textId="77777777" w:rsidR="00744659" w:rsidRDefault="00744659">
      <w:pPr>
        <w:spacing w:line="360" w:lineRule="auto"/>
        <w:rPr>
          <w:rFonts w:ascii="Calibri" w:eastAsia="Calibri" w:hAnsi="Calibri" w:cs="Calibri"/>
          <w:sz w:val="20"/>
          <w:szCs w:val="20"/>
        </w:rPr>
      </w:pPr>
    </w:p>
    <w:p w14:paraId="6EDF2933" w14:textId="77777777" w:rsidR="00744659" w:rsidRDefault="002C38C9">
      <w:pPr>
        <w:spacing w:line="360" w:lineRule="auto"/>
        <w:rPr>
          <w:rFonts w:ascii="Calibri" w:eastAsia="Calibri" w:hAnsi="Calibri" w:cs="Calibri"/>
          <w:b/>
          <w:sz w:val="20"/>
          <w:szCs w:val="20"/>
        </w:rPr>
      </w:pPr>
      <w:r>
        <w:rPr>
          <w:rFonts w:ascii="Calibri" w:eastAsia="Calibri" w:hAnsi="Calibri" w:cs="Calibri"/>
          <w:b/>
          <w:sz w:val="20"/>
          <w:szCs w:val="20"/>
        </w:rPr>
        <w:t>B. Results</w:t>
      </w:r>
    </w:p>
    <w:p w14:paraId="6EDF2934" w14:textId="77777777" w:rsidR="00744659" w:rsidRDefault="002C38C9">
      <w:pPr>
        <w:spacing w:line="360" w:lineRule="auto"/>
        <w:rPr>
          <w:rFonts w:ascii="Calibri" w:eastAsia="Calibri" w:hAnsi="Calibri" w:cs="Calibri"/>
          <w:b/>
          <w:sz w:val="20"/>
          <w:szCs w:val="20"/>
        </w:rPr>
      </w:pPr>
      <w:r>
        <w:rPr>
          <w:rFonts w:ascii="Calibri" w:eastAsia="Calibri" w:hAnsi="Calibri" w:cs="Calibri"/>
          <w:sz w:val="20"/>
          <w:szCs w:val="20"/>
          <w:u w:val="single"/>
        </w:rPr>
        <w:t>B1.1 Prophylactic RBC transfusion volume 20 ml/kg versus &gt;20 ml/kg</w:t>
      </w:r>
    </w:p>
    <w:tbl>
      <w:tblPr>
        <w:tblStyle w:val="affc"/>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06"/>
        <w:gridCol w:w="2693"/>
        <w:gridCol w:w="2552"/>
      </w:tblGrid>
      <w:tr w:rsidR="00744659" w14:paraId="6EDF2938"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8" w:space="0" w:color="FFFFFF"/>
            </w:tcBorders>
          </w:tcPr>
          <w:p w14:paraId="6EDF2935" w14:textId="77777777" w:rsidR="00744659" w:rsidRDefault="002C38C9">
            <w:pPr>
              <w:spacing w:line="360" w:lineRule="auto"/>
              <w:rPr>
                <w:sz w:val="20"/>
                <w:szCs w:val="20"/>
              </w:rPr>
            </w:pPr>
            <w:r>
              <w:rPr>
                <w:sz w:val="20"/>
                <w:szCs w:val="20"/>
              </w:rPr>
              <w:t>Conclusion of evidence</w:t>
            </w:r>
          </w:p>
        </w:tc>
        <w:tc>
          <w:tcPr>
            <w:tcW w:w="2693" w:type="dxa"/>
            <w:tcBorders>
              <w:top w:val="single" w:sz="8" w:space="0" w:color="FFFFFF"/>
            </w:tcBorders>
          </w:tcPr>
          <w:p w14:paraId="6EDF2936"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Effect</w:t>
            </w:r>
          </w:p>
        </w:tc>
        <w:tc>
          <w:tcPr>
            <w:tcW w:w="2552" w:type="dxa"/>
            <w:tcBorders>
              <w:top w:val="single" w:sz="8" w:space="0" w:color="FFFFFF"/>
            </w:tcBorders>
          </w:tcPr>
          <w:p w14:paraId="6EDF2937"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Level of evidence / studies</w:t>
            </w:r>
          </w:p>
        </w:tc>
      </w:tr>
      <w:tr w:rsidR="00744659" w:rsidRPr="00C53C14" w14:paraId="6EDF293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939"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93E"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93B" w14:textId="77777777" w:rsidR="00744659" w:rsidRDefault="002C38C9">
            <w:pPr>
              <w:spacing w:line="360" w:lineRule="auto"/>
              <w:rPr>
                <w:sz w:val="20"/>
                <w:szCs w:val="20"/>
              </w:rPr>
            </w:pPr>
            <w:r>
              <w:rPr>
                <w:b w:val="0"/>
                <w:sz w:val="20"/>
                <w:szCs w:val="20"/>
              </w:rPr>
              <w:t>No studies</w:t>
            </w:r>
          </w:p>
        </w:tc>
        <w:tc>
          <w:tcPr>
            <w:tcW w:w="2693" w:type="dxa"/>
            <w:shd w:val="clear" w:color="auto" w:fill="auto"/>
          </w:tcPr>
          <w:p w14:paraId="6EDF293C"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552" w:type="dxa"/>
            <w:shd w:val="clear" w:color="auto" w:fill="auto"/>
          </w:tcPr>
          <w:p w14:paraId="6EDF293D"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940"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93F"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942"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941" w14:textId="77777777" w:rsidR="00744659" w:rsidRDefault="002C38C9">
            <w:pPr>
              <w:spacing w:line="360" w:lineRule="auto"/>
              <w:rPr>
                <w:i/>
                <w:sz w:val="20"/>
                <w:szCs w:val="20"/>
                <w:u w:val="single"/>
              </w:rPr>
            </w:pPr>
            <w:r>
              <w:rPr>
                <w:b w:val="0"/>
                <w:sz w:val="20"/>
                <w:szCs w:val="20"/>
                <w:u w:val="single"/>
              </w:rPr>
              <w:t>Mortality</w:t>
            </w:r>
          </w:p>
        </w:tc>
      </w:tr>
      <w:tr w:rsidR="00744659" w14:paraId="6EDF2947"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943" w14:textId="77777777" w:rsidR="00744659" w:rsidRPr="00C53C14" w:rsidRDefault="002C38C9">
            <w:pPr>
              <w:spacing w:line="360" w:lineRule="auto"/>
              <w:rPr>
                <w:sz w:val="20"/>
                <w:szCs w:val="20"/>
                <w:u w:val="single"/>
                <w:lang w:val="en-US"/>
              </w:rPr>
            </w:pPr>
            <w:r w:rsidRPr="00C53C14">
              <w:rPr>
                <w:b w:val="0"/>
                <w:sz w:val="20"/>
                <w:szCs w:val="20"/>
                <w:lang w:val="en-US"/>
              </w:rPr>
              <w:t xml:space="preserve">No significant differences in group with volume of 20 ml/kg vs. higher than 20 ml/kg </w:t>
            </w:r>
          </w:p>
        </w:tc>
        <w:tc>
          <w:tcPr>
            <w:tcW w:w="2693" w:type="dxa"/>
            <w:shd w:val="clear" w:color="auto" w:fill="auto"/>
          </w:tcPr>
          <w:p w14:paraId="6EDF2944"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5.71 (95% CI 0.70 - 46.34)</w:t>
            </w:r>
          </w:p>
          <w:p w14:paraId="6EDF2945"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2552" w:type="dxa"/>
            <w:shd w:val="clear" w:color="auto" w:fill="auto"/>
          </w:tcPr>
          <w:p w14:paraId="6EDF2946"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Very low*</w:t>
            </w:r>
            <w:r>
              <w:rPr>
                <w:sz w:val="20"/>
                <w:szCs w:val="20"/>
              </w:rPr>
              <w:t xml:space="preserve"> / Olupot-Olupot 2014</w:t>
            </w:r>
          </w:p>
        </w:tc>
      </w:tr>
      <w:tr w:rsidR="00744659" w14:paraId="6EDF2949"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948" w14:textId="77777777" w:rsidR="00744659" w:rsidRDefault="002C38C9">
            <w:pPr>
              <w:spacing w:line="360" w:lineRule="auto"/>
              <w:rPr>
                <w:sz w:val="20"/>
                <w:szCs w:val="20"/>
                <w:u w:val="single"/>
              </w:rPr>
            </w:pPr>
            <w:r>
              <w:rPr>
                <w:b w:val="0"/>
                <w:sz w:val="20"/>
                <w:szCs w:val="20"/>
                <w:u w:val="single"/>
              </w:rPr>
              <w:t>Morbidity</w:t>
            </w:r>
          </w:p>
        </w:tc>
      </w:tr>
      <w:tr w:rsidR="00744659" w14:paraId="6EDF294D"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94A" w14:textId="77777777" w:rsidR="00744659" w:rsidRPr="00C53C14" w:rsidRDefault="002C38C9">
            <w:pPr>
              <w:spacing w:line="360" w:lineRule="auto"/>
              <w:rPr>
                <w:sz w:val="20"/>
                <w:szCs w:val="20"/>
                <w:u w:val="single"/>
                <w:lang w:val="en-US"/>
              </w:rPr>
            </w:pPr>
            <w:r w:rsidRPr="00C53C14">
              <w:rPr>
                <w:b w:val="0"/>
                <w:sz w:val="20"/>
                <w:szCs w:val="20"/>
                <w:lang w:val="en-US"/>
              </w:rPr>
              <w:t xml:space="preserve">No significant differences in group with volume of 20 ml/kg vs. higher than 20 ml/kg </w:t>
            </w:r>
          </w:p>
        </w:tc>
        <w:tc>
          <w:tcPr>
            <w:tcW w:w="2693" w:type="dxa"/>
            <w:shd w:val="clear" w:color="auto" w:fill="auto"/>
          </w:tcPr>
          <w:p w14:paraId="6EDF294B"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2.85 (95% CI 0.59 - 13.72)</w:t>
            </w:r>
          </w:p>
        </w:tc>
        <w:tc>
          <w:tcPr>
            <w:tcW w:w="2552" w:type="dxa"/>
            <w:shd w:val="clear" w:color="auto" w:fill="auto"/>
          </w:tcPr>
          <w:p w14:paraId="6EDF294C"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Very low*</w:t>
            </w:r>
            <w:r>
              <w:rPr>
                <w:sz w:val="20"/>
                <w:szCs w:val="20"/>
              </w:rPr>
              <w:t xml:space="preserve"> / Olupot-Olupot 2014</w:t>
            </w:r>
          </w:p>
        </w:tc>
      </w:tr>
      <w:tr w:rsidR="00744659" w14:paraId="6EDF294F" w14:textId="77777777" w:rsidTr="00744659">
        <w:trPr>
          <w:trHeight w:val="20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3F3F3"/>
          </w:tcPr>
          <w:p w14:paraId="6EDF294E" w14:textId="77777777" w:rsidR="00744659" w:rsidRDefault="002C38C9">
            <w:pPr>
              <w:spacing w:line="360" w:lineRule="auto"/>
              <w:rPr>
                <w:sz w:val="20"/>
                <w:szCs w:val="20"/>
                <w:u w:val="single"/>
              </w:rPr>
            </w:pPr>
            <w:r>
              <w:rPr>
                <w:b w:val="0"/>
                <w:sz w:val="20"/>
                <w:szCs w:val="20"/>
                <w:u w:val="single"/>
              </w:rPr>
              <w:t>Costs</w:t>
            </w:r>
          </w:p>
        </w:tc>
      </w:tr>
      <w:tr w:rsidR="00744659" w14:paraId="6EDF295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950" w14:textId="77777777" w:rsidR="00744659" w:rsidRPr="00C53C14" w:rsidRDefault="002C38C9">
            <w:pPr>
              <w:spacing w:line="360" w:lineRule="auto"/>
              <w:rPr>
                <w:sz w:val="20"/>
                <w:szCs w:val="20"/>
                <w:u w:val="single"/>
                <w:lang w:val="en-US"/>
              </w:rPr>
            </w:pPr>
            <w:r w:rsidRPr="00C53C14">
              <w:rPr>
                <w:b w:val="0"/>
                <w:sz w:val="20"/>
                <w:szCs w:val="20"/>
                <w:lang w:val="en-US"/>
              </w:rPr>
              <w:t xml:space="preserve">No significant differences in group with volume of 20 ml/kg vs. higher than 20 ml/kg </w:t>
            </w:r>
          </w:p>
        </w:tc>
        <w:tc>
          <w:tcPr>
            <w:tcW w:w="2693" w:type="dxa"/>
            <w:shd w:val="clear" w:color="auto" w:fill="auto"/>
          </w:tcPr>
          <w:p w14:paraId="6EDF2951"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2.85 (95% CI 0.96 - 8.47)</w:t>
            </w:r>
          </w:p>
          <w:p w14:paraId="6EDF2952" w14:textId="77777777" w:rsidR="00744659" w:rsidRDefault="0074465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2552" w:type="dxa"/>
            <w:shd w:val="clear" w:color="auto" w:fill="auto"/>
          </w:tcPr>
          <w:p w14:paraId="6EDF2953"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Very low*</w:t>
            </w:r>
            <w:r>
              <w:rPr>
                <w:sz w:val="20"/>
                <w:szCs w:val="20"/>
              </w:rPr>
              <w:t xml:space="preserve"> / Olupot-Olupot 2014</w:t>
            </w:r>
          </w:p>
        </w:tc>
      </w:tr>
      <w:tr w:rsidR="00744659" w:rsidRPr="00C53C14" w14:paraId="6EDF2956"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tcBorders>
              <w:bottom w:val="single" w:sz="4" w:space="0" w:color="666666"/>
            </w:tcBorders>
            <w:shd w:val="clear" w:color="auto" w:fill="D9D9D9"/>
          </w:tcPr>
          <w:p w14:paraId="6EDF2955" w14:textId="77777777" w:rsidR="00744659" w:rsidRPr="00C53C14" w:rsidRDefault="002C38C9">
            <w:pPr>
              <w:spacing w:line="360" w:lineRule="auto"/>
              <w:rPr>
                <w:sz w:val="20"/>
                <w:szCs w:val="20"/>
                <w:lang w:val="en-US"/>
              </w:rPr>
            </w:pPr>
            <w:r w:rsidRPr="00C53C14">
              <w:rPr>
                <w:b w:val="0"/>
                <w:sz w:val="20"/>
                <w:szCs w:val="20"/>
                <w:lang w:val="en-US"/>
              </w:rPr>
              <w:t>Adults with cancer – Evidence cited in existing guidelines</w:t>
            </w:r>
          </w:p>
        </w:tc>
      </w:tr>
      <w:tr w:rsidR="00744659" w14:paraId="6EDF295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bottom w:val="single" w:sz="8" w:space="0" w:color="000000"/>
            </w:tcBorders>
            <w:shd w:val="clear" w:color="auto" w:fill="auto"/>
          </w:tcPr>
          <w:p w14:paraId="6EDF2957" w14:textId="77777777" w:rsidR="00744659" w:rsidRDefault="002C38C9">
            <w:pPr>
              <w:spacing w:line="360" w:lineRule="auto"/>
              <w:rPr>
                <w:sz w:val="20"/>
                <w:szCs w:val="20"/>
              </w:rPr>
            </w:pPr>
            <w:r>
              <w:rPr>
                <w:b w:val="0"/>
                <w:sz w:val="20"/>
                <w:szCs w:val="20"/>
              </w:rPr>
              <w:t>No studies</w:t>
            </w:r>
          </w:p>
        </w:tc>
        <w:tc>
          <w:tcPr>
            <w:tcW w:w="2693" w:type="dxa"/>
            <w:tcBorders>
              <w:bottom w:val="single" w:sz="8" w:space="0" w:color="000000"/>
            </w:tcBorders>
            <w:shd w:val="clear" w:color="auto" w:fill="auto"/>
          </w:tcPr>
          <w:p w14:paraId="6EDF2958"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552" w:type="dxa"/>
            <w:tcBorders>
              <w:bottom w:val="single" w:sz="8" w:space="0" w:color="000000"/>
            </w:tcBorders>
            <w:shd w:val="clear" w:color="auto" w:fill="auto"/>
          </w:tcPr>
          <w:p w14:paraId="6EDF295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95B"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concerned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95C" w14:textId="77777777" w:rsidR="00744659" w:rsidRPr="00C53C14" w:rsidRDefault="00744659">
      <w:pPr>
        <w:spacing w:line="360" w:lineRule="auto"/>
        <w:rPr>
          <w:rFonts w:ascii="Calibri" w:eastAsia="Calibri" w:hAnsi="Calibri" w:cs="Calibri"/>
          <w:sz w:val="20"/>
          <w:szCs w:val="20"/>
          <w:lang w:val="en-US"/>
        </w:rPr>
      </w:pPr>
    </w:p>
    <w:p w14:paraId="6EDF295D" w14:textId="77777777" w:rsidR="00744659" w:rsidRDefault="002C38C9">
      <w:pPr>
        <w:spacing w:line="360" w:lineRule="auto"/>
        <w:rPr>
          <w:rFonts w:ascii="Calibri" w:eastAsia="Calibri" w:hAnsi="Calibri" w:cs="Calibri"/>
          <w:sz w:val="20"/>
          <w:szCs w:val="20"/>
        </w:rPr>
      </w:pPr>
      <w:r>
        <w:rPr>
          <w:rFonts w:ascii="Calibri" w:eastAsia="Calibri" w:hAnsi="Calibri" w:cs="Calibri"/>
          <w:b/>
          <w:sz w:val="20"/>
          <w:szCs w:val="20"/>
        </w:rPr>
        <w:t>C. Conclusions</w:t>
      </w:r>
    </w:p>
    <w:tbl>
      <w:tblPr>
        <w:tblStyle w:val="affd"/>
        <w:tblW w:w="10665" w:type="dxa"/>
        <w:tblInd w:w="-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8820"/>
      </w:tblGrid>
      <w:tr w:rsidR="00744659" w14:paraId="6EDF2963" w14:textId="77777777">
        <w:tc>
          <w:tcPr>
            <w:tcW w:w="1845" w:type="dxa"/>
            <w:shd w:val="clear" w:color="auto" w:fill="EFEFEF"/>
            <w:tcMar>
              <w:top w:w="100" w:type="dxa"/>
              <w:left w:w="100" w:type="dxa"/>
              <w:bottom w:w="100" w:type="dxa"/>
              <w:right w:w="100" w:type="dxa"/>
            </w:tcMar>
            <w:vAlign w:val="center"/>
          </w:tcPr>
          <w:p w14:paraId="6EDF295E" w14:textId="77777777" w:rsidR="00744659" w:rsidRPr="00C53C14" w:rsidRDefault="002C38C9">
            <w:pPr>
              <w:widowControl w:val="0"/>
              <w:spacing w:line="360" w:lineRule="auto"/>
              <w:jc w:val="center"/>
              <w:rPr>
                <w:b/>
                <w:sz w:val="20"/>
                <w:szCs w:val="20"/>
                <w:lang w:val="en-US"/>
              </w:rPr>
            </w:pPr>
            <w:r w:rsidRPr="00C53C14">
              <w:rPr>
                <w:b/>
                <w:sz w:val="20"/>
                <w:szCs w:val="20"/>
                <w:lang w:val="en-US"/>
              </w:rPr>
              <w:t>VERY LOW QUALITY OF EVIDENCE (GRADE)</w:t>
            </w:r>
          </w:p>
        </w:tc>
        <w:tc>
          <w:tcPr>
            <w:tcW w:w="8820" w:type="dxa"/>
            <w:shd w:val="clear" w:color="auto" w:fill="auto"/>
            <w:tcMar>
              <w:top w:w="100" w:type="dxa"/>
              <w:left w:w="100" w:type="dxa"/>
              <w:bottom w:w="100" w:type="dxa"/>
              <w:right w:w="100" w:type="dxa"/>
            </w:tcMar>
          </w:tcPr>
          <w:p w14:paraId="6EDF295F" w14:textId="77777777" w:rsidR="00744659" w:rsidRPr="00C53C14" w:rsidRDefault="00744659">
            <w:pPr>
              <w:spacing w:line="360" w:lineRule="auto"/>
              <w:rPr>
                <w:sz w:val="20"/>
                <w:szCs w:val="20"/>
                <w:lang w:val="en-US"/>
              </w:rPr>
            </w:pPr>
          </w:p>
          <w:p w14:paraId="6EDF2960" w14:textId="77777777" w:rsidR="00744659" w:rsidRPr="00C53C14" w:rsidRDefault="002C38C9">
            <w:pPr>
              <w:spacing w:line="360" w:lineRule="auto"/>
              <w:rPr>
                <w:sz w:val="20"/>
                <w:szCs w:val="20"/>
                <w:lang w:val="en-US"/>
              </w:rPr>
            </w:pPr>
            <w:r w:rsidRPr="00C53C14">
              <w:rPr>
                <w:sz w:val="20"/>
                <w:szCs w:val="20"/>
                <w:lang w:val="en-US"/>
              </w:rPr>
              <w:t xml:space="preserve">No significant difference regarding mortality, morbidity and costs with a </w:t>
            </w:r>
            <w:r w:rsidRPr="00C53C14">
              <w:rPr>
                <w:i/>
                <w:sz w:val="20"/>
                <w:szCs w:val="20"/>
                <w:lang w:val="en-US"/>
              </w:rPr>
              <w:t>volume of 20 ml/kg versus higher than 20 ml/kg</w:t>
            </w:r>
            <w:r w:rsidRPr="00C53C14">
              <w:rPr>
                <w:sz w:val="20"/>
                <w:szCs w:val="20"/>
                <w:lang w:val="en-US"/>
              </w:rPr>
              <w:t xml:space="preserve"> in 1 study. </w:t>
            </w:r>
          </w:p>
          <w:p w14:paraId="6EDF2961" w14:textId="77777777" w:rsidR="00744659" w:rsidRPr="00C53C14" w:rsidRDefault="00744659">
            <w:pPr>
              <w:spacing w:line="360" w:lineRule="auto"/>
              <w:rPr>
                <w:sz w:val="20"/>
                <w:szCs w:val="20"/>
                <w:lang w:val="en-US"/>
              </w:rPr>
            </w:pPr>
          </w:p>
          <w:p w14:paraId="6EDF2962" w14:textId="77777777" w:rsidR="00744659" w:rsidRDefault="002C38C9">
            <w:pPr>
              <w:spacing w:line="360" w:lineRule="auto"/>
              <w:rPr>
                <w:b/>
                <w:sz w:val="20"/>
                <w:szCs w:val="20"/>
              </w:rPr>
            </w:pPr>
            <w:r>
              <w:rPr>
                <w:sz w:val="20"/>
                <w:szCs w:val="20"/>
              </w:rPr>
              <w:lastRenderedPageBreak/>
              <w:t>Sources (</w:t>
            </w:r>
            <w:r>
              <w:rPr>
                <w:i/>
                <w:sz w:val="20"/>
                <w:szCs w:val="20"/>
              </w:rPr>
              <w:t>Olupot-Olupot, 2014</w:t>
            </w:r>
            <w:r>
              <w:rPr>
                <w:sz w:val="20"/>
                <w:szCs w:val="20"/>
              </w:rPr>
              <w:t>)</w:t>
            </w:r>
          </w:p>
        </w:tc>
      </w:tr>
    </w:tbl>
    <w:p w14:paraId="6EDF2964" w14:textId="77777777" w:rsidR="00744659" w:rsidRDefault="00744659">
      <w:pPr>
        <w:spacing w:line="360" w:lineRule="auto"/>
        <w:rPr>
          <w:rFonts w:ascii="Calibri" w:eastAsia="Calibri" w:hAnsi="Calibri" w:cs="Calibri"/>
          <w:b/>
          <w:sz w:val="20"/>
          <w:szCs w:val="20"/>
        </w:rPr>
      </w:pPr>
    </w:p>
    <w:p w14:paraId="6EDF2965" w14:textId="77777777" w:rsidR="00744659" w:rsidRPr="00C53C14" w:rsidRDefault="002C38C9">
      <w:pPr>
        <w:spacing w:after="200"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7.2 LOW OR HIGH-VOLUME RED BLOOD CELL TRANSFUSIONS IN NEONATES WITH CANCER</w:t>
      </w:r>
      <w:r w:rsidRPr="00C53C14">
        <w:rPr>
          <w:rFonts w:ascii="Calibri" w:eastAsia="Calibri" w:hAnsi="Calibri" w:cs="Calibri"/>
          <w:b/>
          <w:sz w:val="20"/>
          <w:szCs w:val="20"/>
          <w:lang w:val="en-US"/>
        </w:rPr>
        <w:br/>
        <w:t>A. Discussion of the literature</w:t>
      </w:r>
      <w:r w:rsidRPr="00C53C14">
        <w:rPr>
          <w:rFonts w:ascii="Calibri" w:eastAsia="Calibri" w:hAnsi="Calibri" w:cs="Calibri"/>
          <w:b/>
          <w:sz w:val="20"/>
          <w:szCs w:val="20"/>
          <w:lang w:val="en-US"/>
        </w:rPr>
        <w:br/>
      </w:r>
      <w:r w:rsidRPr="00C53C14">
        <w:rPr>
          <w:rFonts w:ascii="Calibri" w:eastAsia="Calibri" w:hAnsi="Calibri" w:cs="Calibri"/>
          <w:i/>
          <w:sz w:val="20"/>
          <w:szCs w:val="20"/>
          <w:lang w:val="en-US"/>
        </w:rPr>
        <w:t>A1: Discussion of the evidence</w:t>
      </w:r>
      <w:r w:rsidRPr="00C53C14">
        <w:rPr>
          <w:rFonts w:ascii="Calibri" w:eastAsia="Calibri" w:hAnsi="Calibri" w:cs="Calibri"/>
          <w:i/>
          <w:sz w:val="20"/>
          <w:szCs w:val="20"/>
          <w:lang w:val="en-US"/>
        </w:rPr>
        <w:br/>
      </w:r>
      <w:r w:rsidRPr="00C53C14">
        <w:rPr>
          <w:rFonts w:ascii="Calibri" w:eastAsia="Calibri" w:hAnsi="Calibri" w:cs="Calibri"/>
          <w:sz w:val="20"/>
          <w:szCs w:val="20"/>
          <w:u w:val="single"/>
          <w:lang w:val="en-US"/>
        </w:rPr>
        <w:t>A1.1: Evidence in pediatric oncology</w:t>
      </w:r>
      <w:r w:rsidRPr="00C53C14">
        <w:rPr>
          <w:rFonts w:ascii="Calibri" w:eastAsia="Calibri" w:hAnsi="Calibri" w:cs="Calibri"/>
          <w:sz w:val="20"/>
          <w:szCs w:val="20"/>
          <w:u w:val="single"/>
          <w:lang w:val="en-US"/>
        </w:rPr>
        <w:br/>
      </w:r>
      <w:r w:rsidRPr="00C53C14">
        <w:rPr>
          <w:rFonts w:ascii="Calibri" w:eastAsia="Calibri" w:hAnsi="Calibri" w:cs="Calibri"/>
          <w:sz w:val="20"/>
          <w:szCs w:val="20"/>
          <w:lang w:val="en-US"/>
        </w:rPr>
        <w:t>No pediatric oncology studies included low or high-volume prophylactic RBC transfusions</w:t>
      </w:r>
    </w:p>
    <w:p w14:paraId="6EDF2966"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A1.2: Recommendations and evidence derived from guidelines</w:t>
      </w:r>
    </w:p>
    <w:p w14:paraId="6EDF2967"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sz w:val="20"/>
          <w:szCs w:val="20"/>
          <w:lang w:val="en-US"/>
        </w:rPr>
        <w:t xml:space="preserve">Two out of seven guidelines included recommendations regarding the volume of the prophylactic RBC transfusion. All (21, 42) recommend a volume of 15 ml/kg in neonates. These recommendations were based on 4 studies (35-38). </w:t>
      </w:r>
    </w:p>
    <w:p w14:paraId="6EDF2968" w14:textId="77777777" w:rsidR="00744659" w:rsidRPr="00C53C14" w:rsidRDefault="00744659">
      <w:pPr>
        <w:spacing w:line="360" w:lineRule="auto"/>
        <w:rPr>
          <w:rFonts w:ascii="Calibri" w:eastAsia="Calibri" w:hAnsi="Calibri" w:cs="Calibri"/>
          <w:i/>
          <w:sz w:val="20"/>
          <w:szCs w:val="20"/>
          <w:lang w:val="en-US"/>
        </w:rPr>
      </w:pPr>
    </w:p>
    <w:p w14:paraId="6EDF2969"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96A"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A2.1: Pediatric oncology</w:t>
      </w:r>
    </w:p>
    <w:p w14:paraId="6EDF296B"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There were no primary pediatric oncology studies included from the systematic literature search. </w:t>
      </w:r>
    </w:p>
    <w:p w14:paraId="6EDF296C" w14:textId="77777777" w:rsidR="00744659" w:rsidRPr="00C53C14" w:rsidRDefault="00744659">
      <w:pPr>
        <w:spacing w:line="360" w:lineRule="auto"/>
        <w:rPr>
          <w:rFonts w:ascii="Calibri" w:eastAsia="Calibri" w:hAnsi="Calibri" w:cs="Calibri"/>
          <w:sz w:val="20"/>
          <w:szCs w:val="20"/>
          <w:lang w:val="en-US"/>
        </w:rPr>
      </w:pPr>
    </w:p>
    <w:p w14:paraId="6EDF296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u w:val="single"/>
          <w:lang w:val="en-US"/>
        </w:rPr>
        <w:t>A2.2: Children in general</w:t>
      </w:r>
    </w:p>
    <w:p w14:paraId="6EDF296E"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Three pediatric studies were included from the additional literature review (35-37).</w:t>
      </w:r>
    </w:p>
    <w:p w14:paraId="6EDF296F" w14:textId="77777777" w:rsidR="00744659" w:rsidRPr="00C53C14" w:rsidRDefault="00744659">
      <w:pPr>
        <w:spacing w:line="360" w:lineRule="auto"/>
        <w:rPr>
          <w:rFonts w:ascii="Calibri" w:eastAsia="Calibri" w:hAnsi="Calibri" w:cs="Calibri"/>
          <w:sz w:val="20"/>
          <w:szCs w:val="20"/>
          <w:lang w:val="en-US"/>
        </w:rPr>
      </w:pPr>
    </w:p>
    <w:p w14:paraId="6EDF2970"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The characteristics of the included studies are stated in the evidence table below. The studies differ from each other in patient population and in methodology. </w:t>
      </w:r>
    </w:p>
    <w:p w14:paraId="6EDF2971" w14:textId="77777777" w:rsidR="00744659" w:rsidRPr="00C53C14" w:rsidRDefault="00744659">
      <w:pPr>
        <w:spacing w:line="360" w:lineRule="auto"/>
        <w:rPr>
          <w:rFonts w:ascii="Calibri" w:eastAsia="Calibri" w:hAnsi="Calibri" w:cs="Calibri"/>
          <w:b/>
          <w:sz w:val="20"/>
          <w:szCs w:val="20"/>
          <w:lang w:val="en-US"/>
        </w:rPr>
      </w:pPr>
    </w:p>
    <w:p w14:paraId="6EDF2972"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Table 1.</w:t>
      </w:r>
      <w:r w:rsidRPr="00C53C14">
        <w:rPr>
          <w:rFonts w:ascii="Calibri" w:eastAsia="Calibri" w:hAnsi="Calibri" w:cs="Calibri"/>
          <w:sz w:val="20"/>
          <w:szCs w:val="20"/>
          <w:lang w:val="en-US"/>
        </w:rPr>
        <w:t xml:space="preserve"> Characteristics of the included studies regarding children.</w:t>
      </w:r>
    </w:p>
    <w:tbl>
      <w:tblPr>
        <w:tblStyle w:val="affe"/>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693"/>
        <w:gridCol w:w="2126"/>
        <w:gridCol w:w="2127"/>
        <w:gridCol w:w="3118"/>
      </w:tblGrid>
      <w:tr w:rsidR="00744659" w14:paraId="6EDF2974" w14:textId="77777777">
        <w:trPr>
          <w:trHeight w:val="71"/>
        </w:trPr>
        <w:tc>
          <w:tcPr>
            <w:tcW w:w="11623" w:type="dxa"/>
            <w:gridSpan w:val="5"/>
            <w:shd w:val="clear" w:color="auto" w:fill="000000"/>
            <w:tcMar>
              <w:top w:w="100" w:type="dxa"/>
              <w:left w:w="100" w:type="dxa"/>
              <w:bottom w:w="100" w:type="dxa"/>
              <w:right w:w="100" w:type="dxa"/>
            </w:tcMar>
          </w:tcPr>
          <w:p w14:paraId="6EDF2973" w14:textId="77777777" w:rsidR="00744659" w:rsidRDefault="002C38C9">
            <w:pPr>
              <w:spacing w:line="360" w:lineRule="auto"/>
              <w:rPr>
                <w:b/>
                <w:color w:val="FFFFFF"/>
                <w:sz w:val="20"/>
                <w:szCs w:val="20"/>
              </w:rPr>
            </w:pPr>
            <w:r>
              <w:rPr>
                <w:b/>
                <w:color w:val="FFFFFF"/>
                <w:sz w:val="20"/>
                <w:szCs w:val="20"/>
              </w:rPr>
              <w:t>Included studies</w:t>
            </w:r>
          </w:p>
        </w:tc>
      </w:tr>
      <w:tr w:rsidR="00744659" w14:paraId="6EDF297A" w14:textId="77777777">
        <w:trPr>
          <w:trHeight w:val="179"/>
        </w:trPr>
        <w:tc>
          <w:tcPr>
            <w:tcW w:w="1559" w:type="dxa"/>
            <w:shd w:val="clear" w:color="auto" w:fill="D9D9D9"/>
            <w:tcMar>
              <w:top w:w="100" w:type="dxa"/>
              <w:left w:w="100" w:type="dxa"/>
              <w:bottom w:w="100" w:type="dxa"/>
              <w:right w:w="100" w:type="dxa"/>
            </w:tcMar>
          </w:tcPr>
          <w:p w14:paraId="6EDF2975" w14:textId="77777777" w:rsidR="00744659" w:rsidRDefault="002C38C9">
            <w:pPr>
              <w:spacing w:line="360" w:lineRule="auto"/>
              <w:rPr>
                <w:b/>
                <w:sz w:val="20"/>
                <w:szCs w:val="20"/>
              </w:rPr>
            </w:pPr>
            <w:r>
              <w:rPr>
                <w:b/>
                <w:sz w:val="20"/>
                <w:szCs w:val="20"/>
              </w:rPr>
              <w:t>Study</w:t>
            </w:r>
          </w:p>
        </w:tc>
        <w:tc>
          <w:tcPr>
            <w:tcW w:w="2693" w:type="dxa"/>
            <w:shd w:val="clear" w:color="auto" w:fill="D9D9D9"/>
            <w:tcMar>
              <w:top w:w="100" w:type="dxa"/>
              <w:left w:w="100" w:type="dxa"/>
              <w:bottom w:w="100" w:type="dxa"/>
              <w:right w:w="100" w:type="dxa"/>
            </w:tcMar>
          </w:tcPr>
          <w:p w14:paraId="6EDF2976" w14:textId="77777777" w:rsidR="00744659" w:rsidRDefault="002C38C9">
            <w:pPr>
              <w:spacing w:line="360" w:lineRule="auto"/>
              <w:rPr>
                <w:b/>
                <w:sz w:val="20"/>
                <w:szCs w:val="20"/>
              </w:rPr>
            </w:pPr>
            <w:r>
              <w:rPr>
                <w:b/>
                <w:sz w:val="20"/>
                <w:szCs w:val="20"/>
              </w:rPr>
              <w:t>Population</w:t>
            </w:r>
          </w:p>
        </w:tc>
        <w:tc>
          <w:tcPr>
            <w:tcW w:w="2126" w:type="dxa"/>
            <w:shd w:val="clear" w:color="auto" w:fill="D9D9D9"/>
            <w:tcMar>
              <w:top w:w="100" w:type="dxa"/>
              <w:left w:w="100" w:type="dxa"/>
              <w:bottom w:w="100" w:type="dxa"/>
              <w:right w:w="100" w:type="dxa"/>
            </w:tcMar>
          </w:tcPr>
          <w:p w14:paraId="6EDF2977" w14:textId="77777777" w:rsidR="00744659" w:rsidRDefault="002C38C9">
            <w:pPr>
              <w:spacing w:line="360" w:lineRule="auto"/>
              <w:rPr>
                <w:b/>
                <w:sz w:val="20"/>
                <w:szCs w:val="20"/>
              </w:rPr>
            </w:pPr>
            <w:r>
              <w:rPr>
                <w:b/>
                <w:sz w:val="20"/>
                <w:szCs w:val="20"/>
              </w:rPr>
              <w:t>Liberal volume</w:t>
            </w:r>
          </w:p>
        </w:tc>
        <w:tc>
          <w:tcPr>
            <w:tcW w:w="2127" w:type="dxa"/>
            <w:shd w:val="clear" w:color="auto" w:fill="D9D9D9"/>
            <w:tcMar>
              <w:top w:w="100" w:type="dxa"/>
              <w:left w:w="100" w:type="dxa"/>
              <w:bottom w:w="100" w:type="dxa"/>
              <w:right w:w="100" w:type="dxa"/>
            </w:tcMar>
          </w:tcPr>
          <w:p w14:paraId="6EDF2978" w14:textId="77777777" w:rsidR="00744659" w:rsidRDefault="002C38C9">
            <w:pPr>
              <w:spacing w:line="360" w:lineRule="auto"/>
              <w:rPr>
                <w:b/>
                <w:sz w:val="20"/>
                <w:szCs w:val="20"/>
              </w:rPr>
            </w:pPr>
            <w:r>
              <w:rPr>
                <w:b/>
                <w:sz w:val="20"/>
                <w:szCs w:val="20"/>
              </w:rPr>
              <w:t>Restrictive volume</w:t>
            </w:r>
          </w:p>
        </w:tc>
        <w:tc>
          <w:tcPr>
            <w:tcW w:w="3118" w:type="dxa"/>
            <w:shd w:val="clear" w:color="auto" w:fill="D9D9D9"/>
            <w:tcMar>
              <w:top w:w="100" w:type="dxa"/>
              <w:left w:w="100" w:type="dxa"/>
              <w:bottom w:w="100" w:type="dxa"/>
              <w:right w:w="100" w:type="dxa"/>
            </w:tcMar>
          </w:tcPr>
          <w:p w14:paraId="6EDF2979" w14:textId="77777777" w:rsidR="00744659" w:rsidRDefault="002C38C9">
            <w:pPr>
              <w:spacing w:line="360" w:lineRule="auto"/>
              <w:rPr>
                <w:b/>
                <w:sz w:val="20"/>
                <w:szCs w:val="20"/>
              </w:rPr>
            </w:pPr>
            <w:r>
              <w:rPr>
                <w:b/>
                <w:sz w:val="20"/>
                <w:szCs w:val="20"/>
              </w:rPr>
              <w:t xml:space="preserve">Outcomes </w:t>
            </w:r>
          </w:p>
        </w:tc>
      </w:tr>
      <w:tr w:rsidR="00744659" w14:paraId="6EDF2981" w14:textId="77777777">
        <w:trPr>
          <w:trHeight w:val="360"/>
        </w:trPr>
        <w:tc>
          <w:tcPr>
            <w:tcW w:w="1559" w:type="dxa"/>
            <w:tcMar>
              <w:top w:w="100" w:type="dxa"/>
              <w:left w:w="100" w:type="dxa"/>
              <w:bottom w:w="100" w:type="dxa"/>
              <w:right w:w="100" w:type="dxa"/>
            </w:tcMar>
          </w:tcPr>
          <w:p w14:paraId="6EDF297B" w14:textId="77777777" w:rsidR="00744659" w:rsidRDefault="002C38C9">
            <w:pPr>
              <w:spacing w:line="360" w:lineRule="auto"/>
              <w:rPr>
                <w:i/>
                <w:sz w:val="20"/>
                <w:szCs w:val="20"/>
              </w:rPr>
            </w:pPr>
            <w:r>
              <w:rPr>
                <w:i/>
                <w:sz w:val="20"/>
                <w:szCs w:val="20"/>
              </w:rPr>
              <w:t>Paul (2002)</w:t>
            </w:r>
          </w:p>
          <w:p w14:paraId="6EDF297C"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97D" w14:textId="77777777" w:rsidR="00744659" w:rsidRPr="00C53C14" w:rsidRDefault="002C38C9">
            <w:pPr>
              <w:spacing w:line="360" w:lineRule="auto"/>
              <w:rPr>
                <w:sz w:val="20"/>
                <w:szCs w:val="20"/>
                <w:lang w:val="en-US"/>
              </w:rPr>
            </w:pPr>
            <w:r w:rsidRPr="00C53C14">
              <w:rPr>
                <w:sz w:val="20"/>
                <w:szCs w:val="20"/>
                <w:lang w:val="en-US"/>
              </w:rPr>
              <w:t>13 neonates with a very low birthweight (&lt;1500 grams)</w:t>
            </w:r>
          </w:p>
        </w:tc>
        <w:tc>
          <w:tcPr>
            <w:tcW w:w="2126" w:type="dxa"/>
            <w:tcMar>
              <w:top w:w="100" w:type="dxa"/>
              <w:left w:w="100" w:type="dxa"/>
              <w:bottom w:w="100" w:type="dxa"/>
              <w:right w:w="100" w:type="dxa"/>
            </w:tcMar>
          </w:tcPr>
          <w:p w14:paraId="6EDF297E" w14:textId="77777777" w:rsidR="00744659" w:rsidRDefault="002C38C9">
            <w:pPr>
              <w:spacing w:line="360" w:lineRule="auto"/>
              <w:rPr>
                <w:sz w:val="20"/>
                <w:szCs w:val="20"/>
              </w:rPr>
            </w:pPr>
            <w:r>
              <w:rPr>
                <w:sz w:val="20"/>
                <w:szCs w:val="20"/>
              </w:rPr>
              <w:t>- 20 ml/kg</w:t>
            </w:r>
          </w:p>
        </w:tc>
        <w:tc>
          <w:tcPr>
            <w:tcW w:w="2127" w:type="dxa"/>
            <w:tcMar>
              <w:top w:w="100" w:type="dxa"/>
              <w:left w:w="100" w:type="dxa"/>
              <w:bottom w:w="100" w:type="dxa"/>
              <w:right w:w="100" w:type="dxa"/>
            </w:tcMar>
          </w:tcPr>
          <w:p w14:paraId="6EDF297F" w14:textId="77777777" w:rsidR="00744659" w:rsidRDefault="002C38C9">
            <w:pPr>
              <w:spacing w:line="360" w:lineRule="auto"/>
              <w:rPr>
                <w:sz w:val="20"/>
                <w:szCs w:val="20"/>
              </w:rPr>
            </w:pPr>
            <w:r>
              <w:rPr>
                <w:sz w:val="20"/>
                <w:szCs w:val="20"/>
              </w:rPr>
              <w:t>- 10 ml/kg</w:t>
            </w:r>
          </w:p>
        </w:tc>
        <w:tc>
          <w:tcPr>
            <w:tcW w:w="3118" w:type="dxa"/>
            <w:tcMar>
              <w:top w:w="100" w:type="dxa"/>
              <w:left w:w="100" w:type="dxa"/>
              <w:bottom w:w="100" w:type="dxa"/>
              <w:right w:w="100" w:type="dxa"/>
            </w:tcMar>
          </w:tcPr>
          <w:p w14:paraId="6EDF2980" w14:textId="77777777" w:rsidR="00744659" w:rsidRDefault="002C38C9">
            <w:pPr>
              <w:spacing w:line="360" w:lineRule="auto"/>
              <w:rPr>
                <w:sz w:val="20"/>
                <w:szCs w:val="20"/>
              </w:rPr>
            </w:pPr>
            <w:r>
              <w:rPr>
                <w:sz w:val="20"/>
                <w:szCs w:val="20"/>
              </w:rPr>
              <w:t>- Mortality</w:t>
            </w:r>
          </w:p>
        </w:tc>
      </w:tr>
      <w:tr w:rsidR="00744659" w14:paraId="6EDF2989" w14:textId="77777777">
        <w:trPr>
          <w:trHeight w:val="360"/>
        </w:trPr>
        <w:tc>
          <w:tcPr>
            <w:tcW w:w="1559" w:type="dxa"/>
            <w:tcMar>
              <w:top w:w="100" w:type="dxa"/>
              <w:left w:w="100" w:type="dxa"/>
              <w:bottom w:w="100" w:type="dxa"/>
              <w:right w:w="100" w:type="dxa"/>
            </w:tcMar>
          </w:tcPr>
          <w:p w14:paraId="6EDF2982" w14:textId="77777777" w:rsidR="00744659" w:rsidRDefault="002C38C9">
            <w:pPr>
              <w:spacing w:line="360" w:lineRule="auto"/>
              <w:rPr>
                <w:i/>
                <w:sz w:val="20"/>
                <w:szCs w:val="20"/>
              </w:rPr>
            </w:pPr>
            <w:r>
              <w:rPr>
                <w:i/>
                <w:sz w:val="20"/>
                <w:szCs w:val="20"/>
              </w:rPr>
              <w:t>Wong (2005)</w:t>
            </w:r>
          </w:p>
          <w:p w14:paraId="6EDF2983" w14:textId="77777777" w:rsidR="00744659" w:rsidRDefault="002C38C9">
            <w:pPr>
              <w:spacing w:line="360" w:lineRule="auto"/>
              <w:rPr>
                <w:i/>
                <w:sz w:val="20"/>
                <w:szCs w:val="20"/>
              </w:rPr>
            </w:pPr>
            <w:r>
              <w:rPr>
                <w:i/>
                <w:sz w:val="20"/>
                <w:szCs w:val="20"/>
              </w:rPr>
              <w:t>RCT</w:t>
            </w:r>
          </w:p>
        </w:tc>
        <w:tc>
          <w:tcPr>
            <w:tcW w:w="2693" w:type="dxa"/>
            <w:tcMar>
              <w:top w:w="100" w:type="dxa"/>
              <w:left w:w="100" w:type="dxa"/>
              <w:bottom w:w="100" w:type="dxa"/>
              <w:right w:w="100" w:type="dxa"/>
            </w:tcMar>
          </w:tcPr>
          <w:p w14:paraId="6EDF2984" w14:textId="77777777" w:rsidR="00744659" w:rsidRPr="00C53C14" w:rsidRDefault="002C38C9">
            <w:pPr>
              <w:spacing w:line="360" w:lineRule="auto"/>
              <w:rPr>
                <w:sz w:val="20"/>
                <w:szCs w:val="20"/>
                <w:lang w:val="en-US"/>
              </w:rPr>
            </w:pPr>
            <w:r w:rsidRPr="00C53C14">
              <w:rPr>
                <w:sz w:val="20"/>
                <w:szCs w:val="20"/>
                <w:lang w:val="en-US"/>
              </w:rPr>
              <w:t>20 neonates with a very low birthweight (&lt;1500 grams)</w:t>
            </w:r>
          </w:p>
        </w:tc>
        <w:tc>
          <w:tcPr>
            <w:tcW w:w="2126" w:type="dxa"/>
            <w:tcMar>
              <w:top w:w="100" w:type="dxa"/>
              <w:left w:w="100" w:type="dxa"/>
              <w:bottom w:w="100" w:type="dxa"/>
              <w:right w:w="100" w:type="dxa"/>
            </w:tcMar>
          </w:tcPr>
          <w:p w14:paraId="6EDF2985" w14:textId="77777777" w:rsidR="00744659" w:rsidRDefault="002C38C9">
            <w:pPr>
              <w:spacing w:line="360" w:lineRule="auto"/>
              <w:rPr>
                <w:sz w:val="20"/>
                <w:szCs w:val="20"/>
              </w:rPr>
            </w:pPr>
            <w:r>
              <w:rPr>
                <w:sz w:val="20"/>
                <w:szCs w:val="20"/>
              </w:rPr>
              <w:t>- 20 ml/kg</w:t>
            </w:r>
          </w:p>
        </w:tc>
        <w:tc>
          <w:tcPr>
            <w:tcW w:w="2127" w:type="dxa"/>
            <w:tcMar>
              <w:top w:w="100" w:type="dxa"/>
              <w:left w:w="100" w:type="dxa"/>
              <w:bottom w:w="100" w:type="dxa"/>
              <w:right w:w="100" w:type="dxa"/>
            </w:tcMar>
          </w:tcPr>
          <w:p w14:paraId="6EDF2986" w14:textId="77777777" w:rsidR="00744659" w:rsidRDefault="002C38C9">
            <w:pPr>
              <w:spacing w:line="360" w:lineRule="auto"/>
              <w:rPr>
                <w:sz w:val="20"/>
                <w:szCs w:val="20"/>
              </w:rPr>
            </w:pPr>
            <w:r>
              <w:rPr>
                <w:sz w:val="20"/>
                <w:szCs w:val="20"/>
              </w:rPr>
              <w:t>- 15 ml/kg</w:t>
            </w:r>
          </w:p>
        </w:tc>
        <w:tc>
          <w:tcPr>
            <w:tcW w:w="3118" w:type="dxa"/>
            <w:tcMar>
              <w:top w:w="100" w:type="dxa"/>
              <w:left w:w="100" w:type="dxa"/>
              <w:bottom w:w="100" w:type="dxa"/>
              <w:right w:w="100" w:type="dxa"/>
            </w:tcMar>
          </w:tcPr>
          <w:p w14:paraId="6EDF2987" w14:textId="77777777" w:rsidR="00744659" w:rsidRDefault="002C38C9">
            <w:pPr>
              <w:spacing w:line="360" w:lineRule="auto"/>
              <w:rPr>
                <w:sz w:val="20"/>
                <w:szCs w:val="20"/>
              </w:rPr>
            </w:pPr>
            <w:r>
              <w:rPr>
                <w:sz w:val="20"/>
                <w:szCs w:val="20"/>
              </w:rPr>
              <w:t>- Mortality</w:t>
            </w:r>
          </w:p>
          <w:p w14:paraId="6EDF2988" w14:textId="77777777" w:rsidR="00744659" w:rsidRDefault="00744659">
            <w:pPr>
              <w:spacing w:line="360" w:lineRule="auto"/>
              <w:rPr>
                <w:sz w:val="20"/>
                <w:szCs w:val="20"/>
              </w:rPr>
            </w:pPr>
          </w:p>
        </w:tc>
      </w:tr>
      <w:tr w:rsidR="00744659" w14:paraId="6EDF2991" w14:textId="77777777">
        <w:trPr>
          <w:trHeight w:val="360"/>
        </w:trPr>
        <w:tc>
          <w:tcPr>
            <w:tcW w:w="1559" w:type="dxa"/>
            <w:tcMar>
              <w:top w:w="100" w:type="dxa"/>
              <w:left w:w="100" w:type="dxa"/>
              <w:bottom w:w="100" w:type="dxa"/>
              <w:right w:w="100" w:type="dxa"/>
            </w:tcMar>
          </w:tcPr>
          <w:p w14:paraId="6EDF298A" w14:textId="77777777" w:rsidR="00744659" w:rsidRDefault="002C38C9">
            <w:pPr>
              <w:spacing w:line="360" w:lineRule="auto"/>
              <w:rPr>
                <w:i/>
                <w:sz w:val="20"/>
                <w:szCs w:val="20"/>
              </w:rPr>
            </w:pPr>
            <w:r>
              <w:rPr>
                <w:i/>
                <w:sz w:val="20"/>
                <w:szCs w:val="20"/>
              </w:rPr>
              <w:t>Khodabux (2009)</w:t>
            </w:r>
          </w:p>
          <w:p w14:paraId="6EDF298B" w14:textId="77777777" w:rsidR="00744659" w:rsidRDefault="002C38C9">
            <w:pPr>
              <w:spacing w:line="360" w:lineRule="auto"/>
              <w:rPr>
                <w:i/>
                <w:sz w:val="20"/>
                <w:szCs w:val="20"/>
              </w:rPr>
            </w:pPr>
            <w:r>
              <w:rPr>
                <w:i/>
                <w:sz w:val="20"/>
                <w:szCs w:val="20"/>
              </w:rPr>
              <w:t>Observational study</w:t>
            </w:r>
          </w:p>
        </w:tc>
        <w:tc>
          <w:tcPr>
            <w:tcW w:w="2693" w:type="dxa"/>
            <w:tcMar>
              <w:top w:w="100" w:type="dxa"/>
              <w:left w:w="100" w:type="dxa"/>
              <w:bottom w:w="100" w:type="dxa"/>
              <w:right w:w="100" w:type="dxa"/>
            </w:tcMar>
          </w:tcPr>
          <w:p w14:paraId="6EDF298C" w14:textId="77777777" w:rsidR="00744659" w:rsidRPr="00C53C14" w:rsidRDefault="002C38C9">
            <w:pPr>
              <w:spacing w:line="360" w:lineRule="auto"/>
              <w:rPr>
                <w:sz w:val="20"/>
                <w:szCs w:val="20"/>
                <w:lang w:val="en-US"/>
              </w:rPr>
            </w:pPr>
            <w:r w:rsidRPr="00C53C14">
              <w:rPr>
                <w:sz w:val="20"/>
                <w:szCs w:val="20"/>
                <w:lang w:val="en-US"/>
              </w:rPr>
              <w:t>459 premature born neonates with a gestational age between 24+0 and 31+6 weeks</w:t>
            </w:r>
          </w:p>
        </w:tc>
        <w:tc>
          <w:tcPr>
            <w:tcW w:w="2126" w:type="dxa"/>
            <w:tcMar>
              <w:top w:w="100" w:type="dxa"/>
              <w:left w:w="100" w:type="dxa"/>
              <w:bottom w:w="100" w:type="dxa"/>
              <w:right w:w="100" w:type="dxa"/>
            </w:tcMar>
          </w:tcPr>
          <w:p w14:paraId="6EDF298D" w14:textId="77777777" w:rsidR="00744659" w:rsidRDefault="002C38C9">
            <w:pPr>
              <w:spacing w:line="360" w:lineRule="auto"/>
              <w:rPr>
                <w:sz w:val="20"/>
                <w:szCs w:val="20"/>
              </w:rPr>
            </w:pPr>
            <w:r>
              <w:rPr>
                <w:sz w:val="20"/>
                <w:szCs w:val="20"/>
              </w:rPr>
              <w:t>- 20 ml/kg</w:t>
            </w:r>
          </w:p>
        </w:tc>
        <w:tc>
          <w:tcPr>
            <w:tcW w:w="2127" w:type="dxa"/>
            <w:tcMar>
              <w:top w:w="100" w:type="dxa"/>
              <w:left w:w="100" w:type="dxa"/>
              <w:bottom w:w="100" w:type="dxa"/>
              <w:right w:w="100" w:type="dxa"/>
            </w:tcMar>
          </w:tcPr>
          <w:p w14:paraId="6EDF298E" w14:textId="77777777" w:rsidR="00744659" w:rsidRDefault="002C38C9">
            <w:pPr>
              <w:spacing w:line="360" w:lineRule="auto"/>
              <w:rPr>
                <w:sz w:val="20"/>
                <w:szCs w:val="20"/>
              </w:rPr>
            </w:pPr>
            <w:r>
              <w:rPr>
                <w:sz w:val="20"/>
                <w:szCs w:val="20"/>
              </w:rPr>
              <w:t>- 15 ml/kg</w:t>
            </w:r>
          </w:p>
        </w:tc>
        <w:tc>
          <w:tcPr>
            <w:tcW w:w="3118" w:type="dxa"/>
            <w:tcMar>
              <w:top w:w="100" w:type="dxa"/>
              <w:left w:w="100" w:type="dxa"/>
              <w:bottom w:w="100" w:type="dxa"/>
              <w:right w:w="100" w:type="dxa"/>
            </w:tcMar>
          </w:tcPr>
          <w:p w14:paraId="6EDF298F" w14:textId="77777777" w:rsidR="00744659" w:rsidRDefault="002C38C9">
            <w:pPr>
              <w:spacing w:line="360" w:lineRule="auto"/>
              <w:rPr>
                <w:sz w:val="20"/>
                <w:szCs w:val="20"/>
              </w:rPr>
            </w:pPr>
            <w:r>
              <w:rPr>
                <w:sz w:val="20"/>
                <w:szCs w:val="20"/>
              </w:rPr>
              <w:t>- Mortality</w:t>
            </w:r>
          </w:p>
          <w:p w14:paraId="6EDF2990" w14:textId="77777777" w:rsidR="00744659" w:rsidRDefault="002C38C9">
            <w:pPr>
              <w:spacing w:line="360" w:lineRule="auto"/>
              <w:rPr>
                <w:sz w:val="20"/>
                <w:szCs w:val="20"/>
              </w:rPr>
            </w:pPr>
            <w:r>
              <w:rPr>
                <w:sz w:val="20"/>
                <w:szCs w:val="20"/>
              </w:rPr>
              <w:t>- Morbidity</w:t>
            </w:r>
          </w:p>
        </w:tc>
      </w:tr>
    </w:tbl>
    <w:p w14:paraId="6EDF2992" w14:textId="77777777" w:rsidR="00744659" w:rsidRDefault="00744659">
      <w:pPr>
        <w:spacing w:line="360" w:lineRule="auto"/>
        <w:rPr>
          <w:rFonts w:ascii="Calibri" w:eastAsia="Calibri" w:hAnsi="Calibri" w:cs="Calibri"/>
          <w:sz w:val="20"/>
          <w:szCs w:val="20"/>
        </w:rPr>
      </w:pPr>
    </w:p>
    <w:p w14:paraId="6EDF2993" w14:textId="77777777" w:rsidR="00744659" w:rsidRDefault="002C38C9">
      <w:pPr>
        <w:spacing w:line="360" w:lineRule="auto"/>
        <w:rPr>
          <w:rFonts w:ascii="Calibri" w:eastAsia="Calibri" w:hAnsi="Calibri" w:cs="Calibri"/>
          <w:sz w:val="20"/>
          <w:szCs w:val="20"/>
          <w:u w:val="single"/>
        </w:rPr>
      </w:pPr>
      <w:r>
        <w:rPr>
          <w:rFonts w:ascii="Calibri" w:eastAsia="Calibri" w:hAnsi="Calibri" w:cs="Calibri"/>
          <w:sz w:val="20"/>
          <w:szCs w:val="20"/>
          <w:u w:val="single"/>
        </w:rPr>
        <w:lastRenderedPageBreak/>
        <w:t>A2.3: Excluded studies</w:t>
      </w:r>
    </w:p>
    <w:tbl>
      <w:tblPr>
        <w:tblStyle w:val="afff"/>
        <w:tblW w:w="11623"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10064"/>
      </w:tblGrid>
      <w:tr w:rsidR="00744659" w14:paraId="6EDF2995" w14:textId="77777777">
        <w:trPr>
          <w:trHeight w:val="71"/>
        </w:trPr>
        <w:tc>
          <w:tcPr>
            <w:tcW w:w="11623" w:type="dxa"/>
            <w:gridSpan w:val="2"/>
            <w:shd w:val="clear" w:color="auto" w:fill="000000"/>
            <w:tcMar>
              <w:top w:w="100" w:type="dxa"/>
              <w:left w:w="100" w:type="dxa"/>
              <w:bottom w:w="100" w:type="dxa"/>
              <w:right w:w="100" w:type="dxa"/>
            </w:tcMar>
          </w:tcPr>
          <w:p w14:paraId="6EDF2994" w14:textId="77777777" w:rsidR="00744659" w:rsidRDefault="002C38C9">
            <w:pPr>
              <w:spacing w:line="360" w:lineRule="auto"/>
              <w:rPr>
                <w:b/>
                <w:color w:val="FFFFFF"/>
                <w:sz w:val="20"/>
                <w:szCs w:val="20"/>
              </w:rPr>
            </w:pPr>
            <w:r>
              <w:rPr>
                <w:b/>
                <w:color w:val="FFFFFF"/>
                <w:sz w:val="20"/>
                <w:szCs w:val="20"/>
              </w:rPr>
              <w:t>Excluded studies</w:t>
            </w:r>
          </w:p>
        </w:tc>
      </w:tr>
      <w:tr w:rsidR="00744659" w14:paraId="6EDF2998" w14:textId="77777777">
        <w:trPr>
          <w:trHeight w:val="179"/>
        </w:trPr>
        <w:tc>
          <w:tcPr>
            <w:tcW w:w="1559" w:type="dxa"/>
            <w:shd w:val="clear" w:color="auto" w:fill="D9D9D9"/>
            <w:tcMar>
              <w:top w:w="100" w:type="dxa"/>
              <w:left w:w="100" w:type="dxa"/>
              <w:bottom w:w="100" w:type="dxa"/>
              <w:right w:w="100" w:type="dxa"/>
            </w:tcMar>
          </w:tcPr>
          <w:p w14:paraId="6EDF2996" w14:textId="77777777" w:rsidR="00744659" w:rsidRDefault="002C38C9">
            <w:pPr>
              <w:spacing w:line="360" w:lineRule="auto"/>
              <w:rPr>
                <w:b/>
                <w:sz w:val="20"/>
                <w:szCs w:val="20"/>
              </w:rPr>
            </w:pPr>
            <w:r>
              <w:rPr>
                <w:b/>
                <w:sz w:val="20"/>
                <w:szCs w:val="20"/>
              </w:rPr>
              <w:t>Study</w:t>
            </w:r>
          </w:p>
        </w:tc>
        <w:tc>
          <w:tcPr>
            <w:tcW w:w="10064" w:type="dxa"/>
            <w:shd w:val="clear" w:color="auto" w:fill="D9D9D9"/>
            <w:tcMar>
              <w:top w:w="100" w:type="dxa"/>
              <w:left w:w="100" w:type="dxa"/>
              <w:bottom w:w="100" w:type="dxa"/>
              <w:right w:w="100" w:type="dxa"/>
            </w:tcMar>
          </w:tcPr>
          <w:p w14:paraId="6EDF2997" w14:textId="77777777" w:rsidR="00744659" w:rsidRDefault="002C38C9">
            <w:pPr>
              <w:spacing w:line="360" w:lineRule="auto"/>
              <w:rPr>
                <w:b/>
                <w:sz w:val="20"/>
                <w:szCs w:val="20"/>
              </w:rPr>
            </w:pPr>
            <w:r>
              <w:rPr>
                <w:b/>
                <w:sz w:val="20"/>
                <w:szCs w:val="20"/>
              </w:rPr>
              <w:t xml:space="preserve">Reasons for exclusion </w:t>
            </w:r>
          </w:p>
        </w:tc>
      </w:tr>
      <w:tr w:rsidR="00744659" w:rsidRPr="00C53C14" w14:paraId="6EDF299B" w14:textId="77777777">
        <w:trPr>
          <w:trHeight w:val="458"/>
        </w:trPr>
        <w:tc>
          <w:tcPr>
            <w:tcW w:w="1559" w:type="dxa"/>
            <w:tcMar>
              <w:top w:w="100" w:type="dxa"/>
              <w:left w:w="100" w:type="dxa"/>
              <w:bottom w:w="100" w:type="dxa"/>
              <w:right w:w="100" w:type="dxa"/>
            </w:tcMar>
          </w:tcPr>
          <w:p w14:paraId="6EDF2999" w14:textId="77777777" w:rsidR="00744659" w:rsidRDefault="002C38C9">
            <w:pPr>
              <w:spacing w:line="360" w:lineRule="auto"/>
              <w:rPr>
                <w:i/>
                <w:sz w:val="20"/>
                <w:szCs w:val="20"/>
              </w:rPr>
            </w:pPr>
            <w:r>
              <w:rPr>
                <w:i/>
                <w:sz w:val="20"/>
                <w:szCs w:val="20"/>
              </w:rPr>
              <w:t>Olupot-Olupot (2014)</w:t>
            </w:r>
          </w:p>
        </w:tc>
        <w:tc>
          <w:tcPr>
            <w:tcW w:w="10064" w:type="dxa"/>
            <w:tcMar>
              <w:top w:w="100" w:type="dxa"/>
              <w:left w:w="100" w:type="dxa"/>
              <w:bottom w:w="100" w:type="dxa"/>
              <w:right w:w="100" w:type="dxa"/>
            </w:tcMar>
          </w:tcPr>
          <w:p w14:paraId="6EDF299A" w14:textId="77777777" w:rsidR="00744659" w:rsidRPr="00C53C14" w:rsidRDefault="002C38C9">
            <w:pPr>
              <w:spacing w:line="360" w:lineRule="auto"/>
              <w:rPr>
                <w:sz w:val="20"/>
                <w:szCs w:val="20"/>
                <w:lang w:val="en-US"/>
              </w:rPr>
            </w:pPr>
            <w:r w:rsidRPr="00C53C14">
              <w:rPr>
                <w:sz w:val="20"/>
                <w:szCs w:val="20"/>
                <w:lang w:val="en-US"/>
              </w:rPr>
              <w:t xml:space="preserve">This study included children and was thus included in the section “Low or high-volume transfusion in children”.  </w:t>
            </w:r>
          </w:p>
        </w:tc>
      </w:tr>
    </w:tbl>
    <w:p w14:paraId="6EDF299C" w14:textId="77777777" w:rsidR="00744659" w:rsidRPr="00C53C14" w:rsidRDefault="00744659">
      <w:pPr>
        <w:spacing w:line="360" w:lineRule="auto"/>
        <w:rPr>
          <w:rFonts w:ascii="Calibri" w:eastAsia="Calibri" w:hAnsi="Calibri" w:cs="Calibri"/>
          <w:sz w:val="20"/>
          <w:szCs w:val="20"/>
          <w:lang w:val="en-US"/>
        </w:rPr>
      </w:pPr>
    </w:p>
    <w:p w14:paraId="6EDF299D"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99E"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u w:val="single"/>
          <w:lang w:val="en-US"/>
        </w:rPr>
        <w:t>B1.1: Prophylactic RBC transfusion volume 10 ml/kg versus higher than 10 ml/kg</w:t>
      </w:r>
    </w:p>
    <w:tbl>
      <w:tblPr>
        <w:tblStyle w:val="afff0"/>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06"/>
        <w:gridCol w:w="2693"/>
        <w:gridCol w:w="2552"/>
      </w:tblGrid>
      <w:tr w:rsidR="00744659" w14:paraId="6EDF29A2"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8" w:space="0" w:color="FFFFFF"/>
            </w:tcBorders>
          </w:tcPr>
          <w:p w14:paraId="6EDF299F" w14:textId="77777777" w:rsidR="00744659" w:rsidRDefault="002C38C9">
            <w:pPr>
              <w:spacing w:line="360" w:lineRule="auto"/>
              <w:rPr>
                <w:sz w:val="20"/>
                <w:szCs w:val="20"/>
              </w:rPr>
            </w:pPr>
            <w:r>
              <w:rPr>
                <w:sz w:val="20"/>
                <w:szCs w:val="20"/>
              </w:rPr>
              <w:t>Conclusion of evidence</w:t>
            </w:r>
          </w:p>
        </w:tc>
        <w:tc>
          <w:tcPr>
            <w:tcW w:w="2693" w:type="dxa"/>
            <w:tcBorders>
              <w:top w:val="single" w:sz="8" w:space="0" w:color="FFFFFF"/>
            </w:tcBorders>
          </w:tcPr>
          <w:p w14:paraId="6EDF29A0"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552" w:type="dxa"/>
            <w:tcBorders>
              <w:top w:val="single" w:sz="8" w:space="0" w:color="FFFFFF"/>
            </w:tcBorders>
          </w:tcPr>
          <w:p w14:paraId="6EDF29A1"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9A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9A3"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9A8"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9A5" w14:textId="77777777" w:rsidR="00744659" w:rsidRDefault="002C38C9">
            <w:pPr>
              <w:spacing w:line="360" w:lineRule="auto"/>
              <w:rPr>
                <w:sz w:val="20"/>
                <w:szCs w:val="20"/>
              </w:rPr>
            </w:pPr>
            <w:r>
              <w:rPr>
                <w:b w:val="0"/>
                <w:sz w:val="20"/>
                <w:szCs w:val="20"/>
              </w:rPr>
              <w:t>No studies</w:t>
            </w:r>
          </w:p>
        </w:tc>
        <w:tc>
          <w:tcPr>
            <w:tcW w:w="2693" w:type="dxa"/>
            <w:shd w:val="clear" w:color="auto" w:fill="auto"/>
          </w:tcPr>
          <w:p w14:paraId="6EDF29A6"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552" w:type="dxa"/>
            <w:shd w:val="clear" w:color="auto" w:fill="auto"/>
          </w:tcPr>
          <w:p w14:paraId="6EDF29A7"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9A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9A9"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9AC"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9AB" w14:textId="77777777" w:rsidR="00744659" w:rsidRDefault="002C38C9">
            <w:pPr>
              <w:spacing w:line="360" w:lineRule="auto"/>
              <w:rPr>
                <w:sz w:val="20"/>
                <w:szCs w:val="20"/>
                <w:u w:val="single"/>
              </w:rPr>
            </w:pPr>
            <w:r>
              <w:rPr>
                <w:b w:val="0"/>
                <w:sz w:val="20"/>
                <w:szCs w:val="20"/>
                <w:u w:val="single"/>
              </w:rPr>
              <w:t>Morbidity</w:t>
            </w:r>
          </w:p>
        </w:tc>
      </w:tr>
      <w:tr w:rsidR="00744659" w14:paraId="6EDF29B0"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9AD" w14:textId="77777777" w:rsidR="00744659" w:rsidRPr="00C53C14" w:rsidRDefault="002C38C9">
            <w:pPr>
              <w:spacing w:line="360" w:lineRule="auto"/>
              <w:rPr>
                <w:sz w:val="20"/>
                <w:szCs w:val="20"/>
                <w:u w:val="single"/>
                <w:lang w:val="en-US"/>
              </w:rPr>
            </w:pPr>
            <w:r w:rsidRPr="00C53C14">
              <w:rPr>
                <w:b w:val="0"/>
                <w:sz w:val="20"/>
                <w:szCs w:val="20"/>
                <w:lang w:val="en-US"/>
              </w:rPr>
              <w:t xml:space="preserve">No significant differences in group with volume of 10 ml/kg vs. higher than 10 ml/kg </w:t>
            </w:r>
          </w:p>
        </w:tc>
        <w:tc>
          <w:tcPr>
            <w:tcW w:w="2693" w:type="dxa"/>
            <w:shd w:val="clear" w:color="auto" w:fill="auto"/>
          </w:tcPr>
          <w:p w14:paraId="6EDF29AE"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552" w:type="dxa"/>
            <w:shd w:val="clear" w:color="auto" w:fill="auto"/>
          </w:tcPr>
          <w:p w14:paraId="6EDF29AF"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Very low**</w:t>
            </w:r>
            <w:r>
              <w:rPr>
                <w:sz w:val="20"/>
                <w:szCs w:val="20"/>
              </w:rPr>
              <w:t xml:space="preserve"> / Paul 2002</w:t>
            </w:r>
          </w:p>
        </w:tc>
      </w:tr>
      <w:tr w:rsidR="00744659" w:rsidRPr="00C53C14" w14:paraId="6EDF29B2"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9B1" w14:textId="77777777" w:rsidR="00744659" w:rsidRPr="00C53C14" w:rsidRDefault="002C38C9">
            <w:pPr>
              <w:spacing w:line="360" w:lineRule="auto"/>
              <w:rPr>
                <w:sz w:val="20"/>
                <w:szCs w:val="20"/>
                <w:lang w:val="en-US"/>
              </w:rPr>
            </w:pPr>
            <w:r w:rsidRPr="00C53C14">
              <w:rPr>
                <w:b w:val="0"/>
                <w:sz w:val="20"/>
                <w:szCs w:val="20"/>
                <w:lang w:val="en-US"/>
              </w:rPr>
              <w:t>Adults with cancer – Evidence cited in existing guidelines</w:t>
            </w:r>
          </w:p>
        </w:tc>
      </w:tr>
      <w:tr w:rsidR="00744659" w14:paraId="6EDF29B6"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9B3" w14:textId="77777777" w:rsidR="00744659" w:rsidRDefault="002C38C9">
            <w:pPr>
              <w:spacing w:line="360" w:lineRule="auto"/>
              <w:rPr>
                <w:sz w:val="20"/>
                <w:szCs w:val="20"/>
              </w:rPr>
            </w:pPr>
            <w:r>
              <w:rPr>
                <w:b w:val="0"/>
                <w:sz w:val="20"/>
                <w:szCs w:val="20"/>
              </w:rPr>
              <w:t>No studies</w:t>
            </w:r>
          </w:p>
        </w:tc>
        <w:tc>
          <w:tcPr>
            <w:tcW w:w="2693" w:type="dxa"/>
            <w:shd w:val="clear" w:color="auto" w:fill="auto"/>
          </w:tcPr>
          <w:p w14:paraId="6EDF29B4"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552" w:type="dxa"/>
            <w:shd w:val="clear" w:color="auto" w:fill="auto"/>
          </w:tcPr>
          <w:p w14:paraId="6EDF29B5"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9B7"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9B8" w14:textId="77777777" w:rsidR="00744659" w:rsidRPr="00C53C14" w:rsidRDefault="00744659">
      <w:pPr>
        <w:spacing w:line="360" w:lineRule="auto"/>
        <w:rPr>
          <w:rFonts w:ascii="Calibri" w:eastAsia="Calibri" w:hAnsi="Calibri" w:cs="Calibri"/>
          <w:sz w:val="20"/>
          <w:szCs w:val="20"/>
          <w:lang w:val="en-US"/>
        </w:rPr>
      </w:pPr>
    </w:p>
    <w:p w14:paraId="6EDF29B9" w14:textId="77777777" w:rsidR="00744659" w:rsidRDefault="002C38C9">
      <w:pPr>
        <w:spacing w:line="360" w:lineRule="auto"/>
        <w:rPr>
          <w:rFonts w:ascii="Calibri" w:eastAsia="Calibri" w:hAnsi="Calibri" w:cs="Calibri"/>
          <w:b/>
          <w:sz w:val="20"/>
          <w:szCs w:val="20"/>
        </w:rPr>
      </w:pPr>
      <w:r>
        <w:rPr>
          <w:rFonts w:ascii="Calibri" w:eastAsia="Calibri" w:hAnsi="Calibri" w:cs="Calibri"/>
          <w:sz w:val="20"/>
          <w:szCs w:val="20"/>
          <w:u w:val="single"/>
        </w:rPr>
        <w:t>B1.2: Prophylactic RBC transfusion volume 15 ml/kg versus &gt;15 ml/kg</w:t>
      </w:r>
    </w:p>
    <w:tbl>
      <w:tblPr>
        <w:tblStyle w:val="afff1"/>
        <w:tblW w:w="9351"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106"/>
        <w:gridCol w:w="2693"/>
        <w:gridCol w:w="2552"/>
      </w:tblGrid>
      <w:tr w:rsidR="00744659" w14:paraId="6EDF29BD" w14:textId="77777777" w:rsidTr="007446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8" w:space="0" w:color="FFFFFF"/>
            </w:tcBorders>
          </w:tcPr>
          <w:p w14:paraId="6EDF29BA" w14:textId="77777777" w:rsidR="00744659" w:rsidRDefault="002C38C9">
            <w:pPr>
              <w:spacing w:line="360" w:lineRule="auto"/>
              <w:rPr>
                <w:sz w:val="20"/>
                <w:szCs w:val="20"/>
              </w:rPr>
            </w:pPr>
            <w:r>
              <w:rPr>
                <w:sz w:val="20"/>
                <w:szCs w:val="20"/>
              </w:rPr>
              <w:t>Conclusion of evidence</w:t>
            </w:r>
          </w:p>
        </w:tc>
        <w:tc>
          <w:tcPr>
            <w:tcW w:w="2693" w:type="dxa"/>
            <w:tcBorders>
              <w:top w:val="single" w:sz="8" w:space="0" w:color="FFFFFF"/>
            </w:tcBorders>
          </w:tcPr>
          <w:p w14:paraId="6EDF29BB"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Effect</w:t>
            </w:r>
          </w:p>
        </w:tc>
        <w:tc>
          <w:tcPr>
            <w:tcW w:w="2552" w:type="dxa"/>
            <w:tcBorders>
              <w:top w:val="single" w:sz="8" w:space="0" w:color="FFFFFF"/>
            </w:tcBorders>
          </w:tcPr>
          <w:p w14:paraId="6EDF29BC" w14:textId="77777777" w:rsidR="00744659" w:rsidRDefault="002C38C9">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Level of evidence / studies</w:t>
            </w:r>
          </w:p>
        </w:tc>
      </w:tr>
      <w:tr w:rsidR="00744659" w:rsidRPr="00C53C14" w14:paraId="6EDF29BF"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9BE" w14:textId="77777777" w:rsidR="00744659" w:rsidRPr="00C53C14" w:rsidRDefault="002C38C9">
            <w:pPr>
              <w:spacing w:line="360" w:lineRule="auto"/>
              <w:rPr>
                <w:sz w:val="20"/>
                <w:szCs w:val="20"/>
                <w:lang w:val="en-US"/>
              </w:rPr>
            </w:pPr>
            <w:r w:rsidRPr="00C53C14">
              <w:rPr>
                <w:b w:val="0"/>
                <w:sz w:val="20"/>
                <w:szCs w:val="20"/>
                <w:lang w:val="en-US"/>
              </w:rPr>
              <w:t>Children with cancer – Systematic literature search</w:t>
            </w:r>
          </w:p>
        </w:tc>
      </w:tr>
      <w:tr w:rsidR="00744659" w14:paraId="6EDF29C3" w14:textId="77777777" w:rsidTr="00744659">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9C0" w14:textId="77777777" w:rsidR="00744659" w:rsidRDefault="002C38C9">
            <w:pPr>
              <w:spacing w:line="360" w:lineRule="auto"/>
              <w:rPr>
                <w:sz w:val="20"/>
                <w:szCs w:val="20"/>
              </w:rPr>
            </w:pPr>
            <w:r>
              <w:rPr>
                <w:b w:val="0"/>
                <w:sz w:val="20"/>
                <w:szCs w:val="20"/>
              </w:rPr>
              <w:t>No studies</w:t>
            </w:r>
          </w:p>
        </w:tc>
        <w:tc>
          <w:tcPr>
            <w:tcW w:w="2693" w:type="dxa"/>
            <w:shd w:val="clear" w:color="auto" w:fill="auto"/>
          </w:tcPr>
          <w:p w14:paraId="6EDF29C1"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552" w:type="dxa"/>
            <w:shd w:val="clear" w:color="auto" w:fill="auto"/>
          </w:tcPr>
          <w:p w14:paraId="6EDF29C2" w14:textId="77777777" w:rsidR="00744659" w:rsidRDefault="002C38C9">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744659" w:rsidRPr="00C53C14" w14:paraId="6EDF29C5"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9C4" w14:textId="77777777" w:rsidR="00744659" w:rsidRPr="00C53C14" w:rsidRDefault="002C38C9">
            <w:pPr>
              <w:spacing w:line="360" w:lineRule="auto"/>
              <w:rPr>
                <w:sz w:val="20"/>
                <w:szCs w:val="20"/>
                <w:lang w:val="en-US"/>
              </w:rPr>
            </w:pPr>
            <w:r w:rsidRPr="00C53C14">
              <w:rPr>
                <w:b w:val="0"/>
                <w:sz w:val="20"/>
                <w:szCs w:val="20"/>
                <w:lang w:val="en-US"/>
              </w:rPr>
              <w:t>Children non-cancer – Evidence cited in existing guidelines</w:t>
            </w:r>
          </w:p>
        </w:tc>
      </w:tr>
      <w:tr w:rsidR="00744659" w14:paraId="6EDF29C7"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9C6" w14:textId="77777777" w:rsidR="00744659" w:rsidRDefault="002C38C9">
            <w:pPr>
              <w:spacing w:line="360" w:lineRule="auto"/>
              <w:rPr>
                <w:sz w:val="20"/>
                <w:szCs w:val="20"/>
                <w:u w:val="single"/>
              </w:rPr>
            </w:pPr>
            <w:r>
              <w:rPr>
                <w:b w:val="0"/>
                <w:sz w:val="20"/>
                <w:szCs w:val="20"/>
                <w:u w:val="single"/>
              </w:rPr>
              <w:t>Mortality</w:t>
            </w:r>
          </w:p>
        </w:tc>
      </w:tr>
      <w:tr w:rsidR="00744659" w:rsidRPr="00C53C14" w14:paraId="6EDF29CD"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6EDF29C8" w14:textId="77777777" w:rsidR="00744659" w:rsidRPr="00C53C14" w:rsidRDefault="002C38C9">
            <w:pPr>
              <w:spacing w:line="360" w:lineRule="auto"/>
              <w:rPr>
                <w:sz w:val="20"/>
                <w:szCs w:val="20"/>
                <w:u w:val="single"/>
                <w:lang w:val="en-US"/>
              </w:rPr>
            </w:pPr>
            <w:r w:rsidRPr="00C53C14">
              <w:rPr>
                <w:b w:val="0"/>
                <w:sz w:val="20"/>
                <w:szCs w:val="20"/>
                <w:lang w:val="en-US"/>
              </w:rPr>
              <w:t>No significant differences in group with volume of 15 ml/kg vs. higher than 15 ml/kg</w:t>
            </w:r>
          </w:p>
        </w:tc>
        <w:tc>
          <w:tcPr>
            <w:tcW w:w="2693" w:type="dxa"/>
            <w:shd w:val="clear" w:color="auto" w:fill="auto"/>
          </w:tcPr>
          <w:p w14:paraId="6EDF29C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1.00 (95% CI 0.07 - 13.87)</w:t>
            </w:r>
          </w:p>
          <w:p w14:paraId="6EDF29CA"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RR 0.94 (95% CI 0.43 - 2.04)*</w:t>
            </w:r>
          </w:p>
        </w:tc>
        <w:tc>
          <w:tcPr>
            <w:tcW w:w="2552" w:type="dxa"/>
            <w:shd w:val="clear" w:color="auto" w:fill="auto"/>
          </w:tcPr>
          <w:p w14:paraId="6EDF29CB"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Very low**</w:t>
            </w:r>
            <w:r w:rsidRPr="00C53C14">
              <w:rPr>
                <w:sz w:val="20"/>
                <w:szCs w:val="20"/>
                <w:lang w:val="en-US"/>
              </w:rPr>
              <w:t xml:space="preserve"> / Wong 2005</w:t>
            </w:r>
          </w:p>
          <w:p w14:paraId="6EDF29CC"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Very low**</w:t>
            </w:r>
            <w:r w:rsidRPr="00C53C14">
              <w:rPr>
                <w:sz w:val="20"/>
                <w:szCs w:val="20"/>
                <w:lang w:val="en-US"/>
              </w:rPr>
              <w:t xml:space="preserve"> / Khodabux 2009</w:t>
            </w:r>
          </w:p>
        </w:tc>
      </w:tr>
      <w:tr w:rsidR="00744659" w14:paraId="6EDF29CF"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2F2F2"/>
          </w:tcPr>
          <w:p w14:paraId="6EDF29CE" w14:textId="77777777" w:rsidR="00744659" w:rsidRDefault="002C38C9">
            <w:pPr>
              <w:spacing w:line="360" w:lineRule="auto"/>
              <w:rPr>
                <w:sz w:val="20"/>
                <w:szCs w:val="20"/>
                <w:u w:val="single"/>
              </w:rPr>
            </w:pPr>
            <w:r>
              <w:rPr>
                <w:b w:val="0"/>
                <w:sz w:val="20"/>
                <w:szCs w:val="20"/>
                <w:u w:val="single"/>
              </w:rPr>
              <w:lastRenderedPageBreak/>
              <w:t>Morbidity</w:t>
            </w:r>
          </w:p>
        </w:tc>
      </w:tr>
      <w:tr w:rsidR="00744659" w:rsidRPr="00C53C14" w14:paraId="6EDF29D4"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9D0" w14:textId="77777777" w:rsidR="00744659" w:rsidRPr="00C53C14" w:rsidRDefault="002C38C9">
            <w:pPr>
              <w:spacing w:line="360" w:lineRule="auto"/>
              <w:rPr>
                <w:sz w:val="20"/>
                <w:szCs w:val="20"/>
                <w:u w:val="single"/>
                <w:lang w:val="en-US"/>
              </w:rPr>
            </w:pPr>
            <w:r w:rsidRPr="00C53C14">
              <w:rPr>
                <w:b w:val="0"/>
                <w:sz w:val="20"/>
                <w:szCs w:val="20"/>
                <w:lang w:val="en-US"/>
              </w:rPr>
              <w:t xml:space="preserve">No significant differences in group with volume of 15 ml/kg vs. higher than 15 ml/kg </w:t>
            </w:r>
          </w:p>
        </w:tc>
        <w:tc>
          <w:tcPr>
            <w:tcW w:w="2693" w:type="dxa"/>
            <w:shd w:val="clear" w:color="auto" w:fill="auto"/>
          </w:tcPr>
          <w:p w14:paraId="6EDF29D1"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sz w:val="20"/>
                <w:szCs w:val="20"/>
                <w:lang w:val="en-US"/>
              </w:rPr>
              <w:t>Not significant (no effect measure reported)</w:t>
            </w:r>
          </w:p>
        </w:tc>
        <w:tc>
          <w:tcPr>
            <w:tcW w:w="2552" w:type="dxa"/>
            <w:shd w:val="clear" w:color="auto" w:fill="auto"/>
          </w:tcPr>
          <w:p w14:paraId="6EDF29D2"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Very low**</w:t>
            </w:r>
            <w:r w:rsidRPr="00C53C14">
              <w:rPr>
                <w:sz w:val="20"/>
                <w:szCs w:val="20"/>
                <w:lang w:val="en-US"/>
              </w:rPr>
              <w:t xml:space="preserve"> / Wong 2005</w:t>
            </w:r>
          </w:p>
          <w:p w14:paraId="6EDF29D3" w14:textId="77777777" w:rsidR="00744659" w:rsidRPr="00C53C14"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C53C14">
              <w:rPr>
                <w:i/>
                <w:sz w:val="20"/>
                <w:szCs w:val="20"/>
                <w:lang w:val="en-US"/>
              </w:rPr>
              <w:t>Very low**</w:t>
            </w:r>
            <w:r w:rsidRPr="00C53C14">
              <w:rPr>
                <w:sz w:val="20"/>
                <w:szCs w:val="20"/>
                <w:lang w:val="en-US"/>
              </w:rPr>
              <w:t xml:space="preserve"> / Khodabux 2009</w:t>
            </w:r>
          </w:p>
        </w:tc>
      </w:tr>
      <w:tr w:rsidR="00744659" w:rsidRPr="00C53C14" w14:paraId="6EDF29D6" w14:textId="77777777" w:rsidTr="00744659">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D9D9D9"/>
          </w:tcPr>
          <w:p w14:paraId="6EDF29D5" w14:textId="77777777" w:rsidR="00744659" w:rsidRPr="00C53C14" w:rsidRDefault="002C38C9">
            <w:pPr>
              <w:spacing w:line="360" w:lineRule="auto"/>
              <w:rPr>
                <w:sz w:val="20"/>
                <w:szCs w:val="20"/>
                <w:lang w:val="en-US"/>
              </w:rPr>
            </w:pPr>
            <w:r w:rsidRPr="00C53C14">
              <w:rPr>
                <w:b w:val="0"/>
                <w:sz w:val="20"/>
                <w:szCs w:val="20"/>
                <w:lang w:val="en-US"/>
              </w:rPr>
              <w:t>Adults with cancer – Evidence cited in existing guidelines</w:t>
            </w:r>
          </w:p>
        </w:tc>
      </w:tr>
      <w:tr w:rsidR="00744659" w14:paraId="6EDF29DA" w14:textId="77777777" w:rsidTr="007446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EDF29D7" w14:textId="77777777" w:rsidR="00744659" w:rsidRDefault="002C38C9">
            <w:pPr>
              <w:spacing w:line="360" w:lineRule="auto"/>
              <w:rPr>
                <w:sz w:val="20"/>
                <w:szCs w:val="20"/>
              </w:rPr>
            </w:pPr>
            <w:r>
              <w:rPr>
                <w:b w:val="0"/>
                <w:sz w:val="20"/>
                <w:szCs w:val="20"/>
              </w:rPr>
              <w:t>No studies</w:t>
            </w:r>
          </w:p>
        </w:tc>
        <w:tc>
          <w:tcPr>
            <w:tcW w:w="2693" w:type="dxa"/>
            <w:shd w:val="clear" w:color="auto" w:fill="auto"/>
          </w:tcPr>
          <w:p w14:paraId="6EDF29D8"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2552" w:type="dxa"/>
            <w:shd w:val="clear" w:color="auto" w:fill="auto"/>
          </w:tcPr>
          <w:p w14:paraId="6EDF29D9" w14:textId="77777777" w:rsidR="00744659" w:rsidRDefault="002C38C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6EDF29DB"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Results could not be pooled due to different study populations or outcome measures. </w:t>
      </w:r>
    </w:p>
    <w:p w14:paraId="6EDF29DC"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 The level of evidence is taken directly from the relevant guidelines </w:t>
      </w:r>
      <w:r w:rsidRPr="00C53C14">
        <w:rPr>
          <w:rFonts w:ascii="Calibri" w:eastAsia="Calibri" w:hAnsi="Calibri" w:cs="Calibri"/>
          <w:i/>
          <w:sz w:val="20"/>
          <w:szCs w:val="20"/>
          <w:lang w:val="en-US"/>
        </w:rPr>
        <w:t>minus</w:t>
      </w:r>
      <w:r w:rsidRPr="00C53C14">
        <w:rPr>
          <w:rFonts w:ascii="Calibri" w:eastAsia="Calibri" w:hAnsi="Calibri" w:cs="Calibri"/>
          <w:sz w:val="20"/>
          <w:szCs w:val="20"/>
          <w:lang w:val="en-US"/>
        </w:rPr>
        <w:t xml:space="preserve"> 1 level for indirectness in this guideline. </w:t>
      </w:r>
    </w:p>
    <w:p w14:paraId="6EDF29DD" w14:textId="77777777" w:rsidR="00744659" w:rsidRPr="00C53C14" w:rsidRDefault="00744659">
      <w:pPr>
        <w:spacing w:line="360" w:lineRule="auto"/>
        <w:rPr>
          <w:rFonts w:ascii="Calibri" w:eastAsia="Calibri" w:hAnsi="Calibri" w:cs="Calibri"/>
          <w:b/>
          <w:sz w:val="20"/>
          <w:szCs w:val="20"/>
          <w:lang w:val="en-US"/>
        </w:rPr>
      </w:pPr>
    </w:p>
    <w:p w14:paraId="6EDF29DE" w14:textId="77777777" w:rsidR="00744659" w:rsidRDefault="002C38C9">
      <w:pPr>
        <w:spacing w:line="360" w:lineRule="auto"/>
        <w:rPr>
          <w:rFonts w:ascii="Calibri" w:eastAsia="Calibri" w:hAnsi="Calibri" w:cs="Calibri"/>
          <w:b/>
          <w:sz w:val="20"/>
          <w:szCs w:val="20"/>
        </w:rPr>
      </w:pPr>
      <w:r>
        <w:rPr>
          <w:rFonts w:ascii="Calibri" w:eastAsia="Calibri" w:hAnsi="Calibri" w:cs="Calibri"/>
          <w:b/>
          <w:sz w:val="20"/>
          <w:szCs w:val="20"/>
        </w:rPr>
        <w:t>C. Conclusions</w:t>
      </w:r>
    </w:p>
    <w:tbl>
      <w:tblPr>
        <w:tblStyle w:val="afff2"/>
        <w:tblW w:w="10665" w:type="dxa"/>
        <w:tblInd w:w="-5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8835"/>
      </w:tblGrid>
      <w:tr w:rsidR="00744659" w14:paraId="6EDF29E3" w14:textId="77777777">
        <w:tc>
          <w:tcPr>
            <w:tcW w:w="1830" w:type="dxa"/>
            <w:shd w:val="clear" w:color="auto" w:fill="EFEFEF"/>
            <w:tcMar>
              <w:top w:w="100" w:type="dxa"/>
              <w:left w:w="100" w:type="dxa"/>
              <w:bottom w:w="100" w:type="dxa"/>
              <w:right w:w="100" w:type="dxa"/>
            </w:tcMar>
            <w:vAlign w:val="center"/>
          </w:tcPr>
          <w:p w14:paraId="6EDF29DF" w14:textId="77777777" w:rsidR="00744659" w:rsidRPr="00C53C14" w:rsidRDefault="002C38C9">
            <w:pPr>
              <w:widowControl w:val="0"/>
              <w:spacing w:line="360" w:lineRule="auto"/>
              <w:jc w:val="center"/>
              <w:rPr>
                <w:b/>
                <w:sz w:val="20"/>
                <w:szCs w:val="20"/>
                <w:vertAlign w:val="superscript"/>
                <w:lang w:val="en-US"/>
              </w:rPr>
            </w:pPr>
            <w:r w:rsidRPr="00C53C14">
              <w:rPr>
                <w:b/>
                <w:sz w:val="20"/>
                <w:szCs w:val="20"/>
                <w:lang w:val="en-US"/>
              </w:rPr>
              <w:t>VERY LOW QUALITY OF EVIDENCE (GRADE)</w:t>
            </w:r>
          </w:p>
        </w:tc>
        <w:tc>
          <w:tcPr>
            <w:tcW w:w="8835" w:type="dxa"/>
            <w:shd w:val="clear" w:color="auto" w:fill="auto"/>
            <w:tcMar>
              <w:top w:w="100" w:type="dxa"/>
              <w:left w:w="100" w:type="dxa"/>
              <w:bottom w:w="100" w:type="dxa"/>
              <w:right w:w="100" w:type="dxa"/>
            </w:tcMar>
            <w:vAlign w:val="center"/>
          </w:tcPr>
          <w:p w14:paraId="6EDF29E0" w14:textId="77777777" w:rsidR="00744659" w:rsidRPr="00C53C14" w:rsidRDefault="002C38C9">
            <w:pPr>
              <w:spacing w:line="360" w:lineRule="auto"/>
              <w:rPr>
                <w:i/>
                <w:sz w:val="20"/>
                <w:szCs w:val="20"/>
                <w:lang w:val="en-US"/>
              </w:rPr>
            </w:pPr>
            <w:r w:rsidRPr="00C53C14">
              <w:rPr>
                <w:sz w:val="20"/>
                <w:szCs w:val="20"/>
                <w:lang w:val="en-US"/>
              </w:rPr>
              <w:br/>
              <w:t xml:space="preserve">No significant difference regarding morbidity with a </w:t>
            </w:r>
            <w:r w:rsidRPr="00C53C14">
              <w:rPr>
                <w:i/>
                <w:sz w:val="20"/>
                <w:szCs w:val="20"/>
                <w:lang w:val="en-US"/>
              </w:rPr>
              <w:t>volume of 10 ml/kg versus higher than 10 ml/kg</w:t>
            </w:r>
            <w:r w:rsidRPr="00C53C14">
              <w:rPr>
                <w:sz w:val="20"/>
                <w:szCs w:val="20"/>
                <w:lang w:val="en-US"/>
              </w:rPr>
              <w:t xml:space="preserve"> in 1 study.</w:t>
            </w:r>
          </w:p>
          <w:p w14:paraId="6EDF29E1" w14:textId="77777777" w:rsidR="00744659" w:rsidRPr="00C53C14" w:rsidRDefault="00744659">
            <w:pPr>
              <w:spacing w:line="360" w:lineRule="auto"/>
              <w:rPr>
                <w:sz w:val="20"/>
                <w:szCs w:val="20"/>
                <w:lang w:val="en-US"/>
              </w:rPr>
            </w:pPr>
          </w:p>
          <w:p w14:paraId="6EDF29E2" w14:textId="77777777" w:rsidR="00744659" w:rsidRDefault="002C38C9">
            <w:pPr>
              <w:spacing w:line="360" w:lineRule="auto"/>
              <w:rPr>
                <w:sz w:val="20"/>
                <w:szCs w:val="20"/>
              </w:rPr>
            </w:pPr>
            <w:r>
              <w:rPr>
                <w:sz w:val="20"/>
                <w:szCs w:val="20"/>
              </w:rPr>
              <w:t>Sources (</w:t>
            </w:r>
            <w:r>
              <w:rPr>
                <w:i/>
                <w:sz w:val="20"/>
                <w:szCs w:val="20"/>
              </w:rPr>
              <w:t>Paul, 2002</w:t>
            </w:r>
            <w:r>
              <w:rPr>
                <w:sz w:val="20"/>
                <w:szCs w:val="20"/>
              </w:rPr>
              <w:t>)</w:t>
            </w:r>
          </w:p>
        </w:tc>
      </w:tr>
    </w:tbl>
    <w:p w14:paraId="6EDF29E4" w14:textId="77777777" w:rsidR="00744659" w:rsidRDefault="00744659">
      <w:pPr>
        <w:spacing w:line="360" w:lineRule="auto"/>
        <w:rPr>
          <w:rFonts w:ascii="Calibri" w:eastAsia="Calibri" w:hAnsi="Calibri" w:cs="Calibri"/>
          <w:b/>
          <w:sz w:val="20"/>
          <w:szCs w:val="20"/>
        </w:rPr>
      </w:pPr>
    </w:p>
    <w:tbl>
      <w:tblPr>
        <w:tblStyle w:val="afff3"/>
        <w:tblW w:w="10665" w:type="dxa"/>
        <w:tblInd w:w="-5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8835"/>
      </w:tblGrid>
      <w:tr w:rsidR="00744659" w14:paraId="6EDF29E9" w14:textId="77777777">
        <w:tc>
          <w:tcPr>
            <w:tcW w:w="1830" w:type="dxa"/>
            <w:shd w:val="clear" w:color="auto" w:fill="EFEFEF"/>
            <w:tcMar>
              <w:top w:w="100" w:type="dxa"/>
              <w:left w:w="100" w:type="dxa"/>
              <w:bottom w:w="100" w:type="dxa"/>
              <w:right w:w="100" w:type="dxa"/>
            </w:tcMar>
            <w:vAlign w:val="center"/>
          </w:tcPr>
          <w:p w14:paraId="6EDF29E5" w14:textId="77777777" w:rsidR="00744659" w:rsidRPr="00C53C14" w:rsidRDefault="002C38C9">
            <w:pPr>
              <w:widowControl w:val="0"/>
              <w:spacing w:line="360" w:lineRule="auto"/>
              <w:jc w:val="center"/>
              <w:rPr>
                <w:b/>
                <w:sz w:val="20"/>
                <w:szCs w:val="20"/>
                <w:lang w:val="en-US"/>
              </w:rPr>
            </w:pPr>
            <w:r w:rsidRPr="00C53C14">
              <w:rPr>
                <w:b/>
                <w:sz w:val="20"/>
                <w:szCs w:val="20"/>
                <w:lang w:val="en-US"/>
              </w:rPr>
              <w:t>VERY LOW QUALITY OF EVIDENCE (GRADE)</w:t>
            </w:r>
          </w:p>
        </w:tc>
        <w:tc>
          <w:tcPr>
            <w:tcW w:w="8835" w:type="dxa"/>
            <w:shd w:val="clear" w:color="auto" w:fill="auto"/>
            <w:tcMar>
              <w:top w:w="100" w:type="dxa"/>
              <w:left w:w="100" w:type="dxa"/>
              <w:bottom w:w="100" w:type="dxa"/>
              <w:right w:w="100" w:type="dxa"/>
            </w:tcMar>
          </w:tcPr>
          <w:p w14:paraId="6EDF29E6" w14:textId="77777777" w:rsidR="00744659" w:rsidRPr="00C53C14" w:rsidRDefault="002C38C9">
            <w:pPr>
              <w:spacing w:line="360" w:lineRule="auto"/>
              <w:rPr>
                <w:sz w:val="20"/>
                <w:szCs w:val="20"/>
                <w:lang w:val="en-US"/>
              </w:rPr>
            </w:pPr>
            <w:r w:rsidRPr="00C53C14">
              <w:rPr>
                <w:sz w:val="20"/>
                <w:szCs w:val="20"/>
                <w:lang w:val="en-US"/>
              </w:rPr>
              <w:br/>
              <w:t xml:space="preserve">No significant difference regarding mortality and morbidity with a </w:t>
            </w:r>
            <w:r w:rsidRPr="00C53C14">
              <w:rPr>
                <w:i/>
                <w:sz w:val="20"/>
                <w:szCs w:val="20"/>
                <w:lang w:val="en-US"/>
              </w:rPr>
              <w:t>volume of 15 ml/kg versus higher than 15 ml/kg</w:t>
            </w:r>
            <w:r w:rsidRPr="00C53C14">
              <w:rPr>
                <w:sz w:val="20"/>
                <w:szCs w:val="20"/>
                <w:lang w:val="en-US"/>
              </w:rPr>
              <w:t xml:space="preserve"> in 2 studies.</w:t>
            </w:r>
          </w:p>
          <w:p w14:paraId="6EDF29E7" w14:textId="77777777" w:rsidR="00744659" w:rsidRPr="00C53C14" w:rsidRDefault="00744659">
            <w:pPr>
              <w:spacing w:line="360" w:lineRule="auto"/>
              <w:rPr>
                <w:sz w:val="20"/>
                <w:szCs w:val="20"/>
                <w:lang w:val="en-US"/>
              </w:rPr>
            </w:pPr>
          </w:p>
          <w:p w14:paraId="6EDF29E8" w14:textId="77777777" w:rsidR="00744659" w:rsidRDefault="002C38C9">
            <w:pPr>
              <w:spacing w:line="360" w:lineRule="auto"/>
              <w:rPr>
                <w:sz w:val="20"/>
                <w:szCs w:val="20"/>
              </w:rPr>
            </w:pPr>
            <w:r>
              <w:rPr>
                <w:sz w:val="20"/>
                <w:szCs w:val="20"/>
              </w:rPr>
              <w:t>Sources (</w:t>
            </w:r>
            <w:r>
              <w:rPr>
                <w:i/>
                <w:sz w:val="20"/>
                <w:szCs w:val="20"/>
              </w:rPr>
              <w:t>Khodabux, 2009; Wong, 2005</w:t>
            </w:r>
            <w:r>
              <w:rPr>
                <w:sz w:val="20"/>
                <w:szCs w:val="20"/>
              </w:rPr>
              <w:t xml:space="preserve">) </w:t>
            </w:r>
          </w:p>
        </w:tc>
      </w:tr>
    </w:tbl>
    <w:p w14:paraId="6EDF29EA" w14:textId="77777777" w:rsidR="00744659" w:rsidRPr="00C53C14" w:rsidRDefault="002C38C9">
      <w:pPr>
        <w:spacing w:after="200"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br/>
        <w:t>8. INFUSION RATES OF RED BLOOD TRANSFUSIONS</w:t>
      </w:r>
    </w:p>
    <w:p w14:paraId="6EDF29EB" w14:textId="77777777" w:rsidR="00744659" w:rsidRPr="00C53C14" w:rsidRDefault="002C38C9">
      <w:pPr>
        <w:spacing w:after="200"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8.1 INFUSION RATES OF RED BLOOD TRANSFUSIONS IN CHILDREN WITH CANCER</w:t>
      </w:r>
      <w:r w:rsidRPr="00C53C14">
        <w:rPr>
          <w:rFonts w:ascii="Calibri" w:eastAsia="Calibri" w:hAnsi="Calibri" w:cs="Calibri"/>
          <w:b/>
          <w:sz w:val="20"/>
          <w:szCs w:val="20"/>
          <w:lang w:val="en-US"/>
        </w:rPr>
        <w:br/>
        <w:t>A. Discussion of the literature</w:t>
      </w:r>
      <w:r w:rsidRPr="00C53C14">
        <w:rPr>
          <w:rFonts w:ascii="Calibri" w:eastAsia="Calibri" w:hAnsi="Calibri" w:cs="Calibri"/>
          <w:b/>
          <w:sz w:val="20"/>
          <w:szCs w:val="20"/>
          <w:lang w:val="en-US"/>
        </w:rPr>
        <w:br/>
      </w:r>
      <w:r w:rsidRPr="00C53C14">
        <w:rPr>
          <w:rFonts w:ascii="Calibri" w:eastAsia="Calibri" w:hAnsi="Calibri" w:cs="Calibri"/>
          <w:i/>
          <w:sz w:val="20"/>
          <w:szCs w:val="20"/>
          <w:lang w:val="en-US"/>
        </w:rPr>
        <w:t>A1: Discussion of the evidence</w:t>
      </w:r>
      <w:r w:rsidRPr="00C53C14">
        <w:rPr>
          <w:rFonts w:ascii="Calibri" w:eastAsia="Calibri" w:hAnsi="Calibri" w:cs="Calibri"/>
          <w:i/>
          <w:sz w:val="20"/>
          <w:szCs w:val="20"/>
          <w:lang w:val="en-US"/>
        </w:rPr>
        <w:br/>
      </w:r>
      <w:r w:rsidRPr="00C53C14">
        <w:rPr>
          <w:rFonts w:ascii="Calibri" w:eastAsia="Calibri" w:hAnsi="Calibri" w:cs="Calibri"/>
          <w:sz w:val="20"/>
          <w:szCs w:val="20"/>
          <w:u w:val="single"/>
          <w:lang w:val="en-US"/>
        </w:rPr>
        <w:t>A1.1: Evidence in pediatric oncology</w:t>
      </w:r>
      <w:r w:rsidRPr="00C53C14">
        <w:rPr>
          <w:rFonts w:ascii="Calibri" w:eastAsia="Calibri" w:hAnsi="Calibri" w:cs="Calibri"/>
          <w:sz w:val="20"/>
          <w:szCs w:val="20"/>
          <w:u w:val="single"/>
          <w:lang w:val="en-US"/>
        </w:rPr>
        <w:br/>
      </w:r>
      <w:r w:rsidRPr="00C53C14">
        <w:rPr>
          <w:rFonts w:ascii="Calibri" w:eastAsia="Calibri" w:hAnsi="Calibri" w:cs="Calibri"/>
          <w:sz w:val="20"/>
          <w:szCs w:val="20"/>
          <w:lang w:val="en-US"/>
        </w:rPr>
        <w:t>No pediatric oncology studies included children.</w:t>
      </w:r>
    </w:p>
    <w:p w14:paraId="6EDF29EC"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A1.2: Recommendations and evidence derived from guidelines</w:t>
      </w:r>
    </w:p>
    <w:p w14:paraId="6EDF29ED" w14:textId="458B3858"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sz w:val="20"/>
          <w:szCs w:val="20"/>
          <w:lang w:val="en-US"/>
        </w:rPr>
        <w:t>One guideline was identified. JPAC (2013) (</w:t>
      </w:r>
      <w:r w:rsidR="00E445B1">
        <w:rPr>
          <w:rFonts w:ascii="Calibri" w:eastAsia="Calibri" w:hAnsi="Calibri" w:cs="Calibri"/>
          <w:sz w:val="20"/>
          <w:szCs w:val="20"/>
          <w:lang w:val="en-US"/>
        </w:rPr>
        <w:t>41</w:t>
      </w:r>
      <w:r w:rsidRPr="00C53C14">
        <w:rPr>
          <w:rFonts w:ascii="Calibri" w:eastAsia="Calibri" w:hAnsi="Calibri" w:cs="Calibri"/>
          <w:sz w:val="20"/>
          <w:szCs w:val="20"/>
          <w:lang w:val="en-US"/>
        </w:rPr>
        <w:t xml:space="preserve">) has recommended a RBC infusion rate of 5 ml/kg/hour and the transfusion must be completed within 4 hours, this was based on consensus. </w:t>
      </w:r>
    </w:p>
    <w:p w14:paraId="6EDF29EE" w14:textId="77777777" w:rsidR="00744659" w:rsidRPr="00C53C14" w:rsidRDefault="00744659">
      <w:pPr>
        <w:spacing w:line="360" w:lineRule="auto"/>
        <w:rPr>
          <w:rFonts w:ascii="Calibri" w:eastAsia="Calibri" w:hAnsi="Calibri" w:cs="Calibri"/>
          <w:sz w:val="20"/>
          <w:szCs w:val="20"/>
          <w:lang w:val="en-US"/>
        </w:rPr>
      </w:pPr>
    </w:p>
    <w:p w14:paraId="6EDF29EF"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9F0"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lang w:val="en-US"/>
        </w:rPr>
        <w:lastRenderedPageBreak/>
        <w:t>There were no primary pediatric oncology studies included from the systematic literature search and no additional studies from the additional literature review.</w:t>
      </w:r>
    </w:p>
    <w:p w14:paraId="6EDF29F1" w14:textId="77777777" w:rsidR="00744659" w:rsidRPr="00C53C14" w:rsidRDefault="00744659">
      <w:pPr>
        <w:spacing w:line="360" w:lineRule="auto"/>
        <w:rPr>
          <w:rFonts w:ascii="Calibri" w:eastAsia="Calibri" w:hAnsi="Calibri" w:cs="Calibri"/>
          <w:b/>
          <w:sz w:val="20"/>
          <w:szCs w:val="20"/>
          <w:lang w:val="en-US"/>
        </w:rPr>
      </w:pPr>
    </w:p>
    <w:p w14:paraId="6EDF29F2"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9F3"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results were presented. </w:t>
      </w:r>
    </w:p>
    <w:p w14:paraId="6EDF29F4" w14:textId="77777777" w:rsidR="00744659" w:rsidRPr="00C53C14" w:rsidRDefault="00744659">
      <w:pPr>
        <w:spacing w:line="360" w:lineRule="auto"/>
        <w:rPr>
          <w:rFonts w:ascii="Calibri" w:eastAsia="Calibri" w:hAnsi="Calibri" w:cs="Calibri"/>
          <w:b/>
          <w:sz w:val="20"/>
          <w:szCs w:val="20"/>
          <w:lang w:val="en-US"/>
        </w:rPr>
      </w:pPr>
    </w:p>
    <w:p w14:paraId="6EDF29F5"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b/>
          <w:sz w:val="20"/>
          <w:szCs w:val="20"/>
          <w:lang w:val="en-US"/>
        </w:rPr>
        <w:t>C. Conclusions</w:t>
      </w:r>
    </w:p>
    <w:p w14:paraId="6EDF29F6"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conclusions were formulated. </w:t>
      </w:r>
    </w:p>
    <w:p w14:paraId="6EDF29F7"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br/>
        <w:t>8.2 INFUSION RATES OF RED BLOOD TRANSFUSIONS IN NEONATES WITH CANCER</w:t>
      </w:r>
      <w:r w:rsidRPr="00C53C14">
        <w:rPr>
          <w:rFonts w:ascii="Calibri" w:eastAsia="Calibri" w:hAnsi="Calibri" w:cs="Calibri"/>
          <w:b/>
          <w:sz w:val="20"/>
          <w:szCs w:val="20"/>
          <w:lang w:val="en-US"/>
        </w:rPr>
        <w:br/>
        <w:t>A. Discussion of the literature</w:t>
      </w:r>
    </w:p>
    <w:p w14:paraId="6EDF29F8"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A1: Discussion of the evidence</w:t>
      </w:r>
    </w:p>
    <w:p w14:paraId="6EDF29F9"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A1.1: Evidence in pediatric oncology</w:t>
      </w:r>
    </w:p>
    <w:p w14:paraId="6EDF29FA"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No pediatric oncology studies included neonates.</w:t>
      </w:r>
    </w:p>
    <w:p w14:paraId="6EDF29FB" w14:textId="77777777" w:rsidR="00744659" w:rsidRPr="00C53C14" w:rsidRDefault="00744659">
      <w:pPr>
        <w:spacing w:line="360" w:lineRule="auto"/>
        <w:rPr>
          <w:rFonts w:ascii="Calibri" w:eastAsia="Calibri" w:hAnsi="Calibri" w:cs="Calibri"/>
          <w:sz w:val="20"/>
          <w:szCs w:val="20"/>
          <w:lang w:val="en-US"/>
        </w:rPr>
      </w:pPr>
    </w:p>
    <w:p w14:paraId="6EDF29FC" w14:textId="77777777" w:rsidR="00744659" w:rsidRPr="00C53C14" w:rsidRDefault="002C38C9">
      <w:pPr>
        <w:spacing w:line="360" w:lineRule="auto"/>
        <w:rPr>
          <w:rFonts w:ascii="Calibri" w:eastAsia="Calibri" w:hAnsi="Calibri" w:cs="Calibri"/>
          <w:sz w:val="20"/>
          <w:szCs w:val="20"/>
          <w:u w:val="single"/>
          <w:lang w:val="en-US"/>
        </w:rPr>
      </w:pPr>
      <w:r w:rsidRPr="00C53C14">
        <w:rPr>
          <w:rFonts w:ascii="Calibri" w:eastAsia="Calibri" w:hAnsi="Calibri" w:cs="Calibri"/>
          <w:sz w:val="20"/>
          <w:szCs w:val="20"/>
          <w:u w:val="single"/>
          <w:lang w:val="en-US"/>
        </w:rPr>
        <w:t>A1.2: Recommendations and evidence derived from guidelines</w:t>
      </w:r>
    </w:p>
    <w:p w14:paraId="6EDF29FD"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The Dutch Association of Medical Specialists (21) has recommended an infusion rate in neonates of 5 ml/kg/hour based on consensus.</w:t>
      </w:r>
      <w:r w:rsidRPr="00C53C14">
        <w:rPr>
          <w:rFonts w:ascii="Calibri" w:eastAsia="Calibri" w:hAnsi="Calibri" w:cs="Calibri"/>
          <w:i/>
          <w:sz w:val="20"/>
          <w:szCs w:val="20"/>
          <w:lang w:val="en-US"/>
        </w:rPr>
        <w:br/>
      </w:r>
    </w:p>
    <w:p w14:paraId="6EDF29FE" w14:textId="77777777" w:rsidR="00744659" w:rsidRPr="00C53C14" w:rsidRDefault="002C38C9">
      <w:pPr>
        <w:spacing w:line="360" w:lineRule="auto"/>
        <w:rPr>
          <w:rFonts w:ascii="Calibri" w:eastAsia="Calibri" w:hAnsi="Calibri" w:cs="Calibri"/>
          <w:i/>
          <w:sz w:val="20"/>
          <w:szCs w:val="20"/>
          <w:lang w:val="en-US"/>
        </w:rPr>
      </w:pPr>
      <w:r w:rsidRPr="00C53C14">
        <w:rPr>
          <w:rFonts w:ascii="Calibri" w:eastAsia="Calibri" w:hAnsi="Calibri" w:cs="Calibri"/>
          <w:i/>
          <w:sz w:val="20"/>
          <w:szCs w:val="20"/>
          <w:lang w:val="en-US"/>
        </w:rPr>
        <w:t>A2: Description of the included studies</w:t>
      </w:r>
    </w:p>
    <w:p w14:paraId="6EDF29FF"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sz w:val="20"/>
          <w:szCs w:val="20"/>
          <w:lang w:val="en-US"/>
        </w:rPr>
        <w:t>There were no primary pediatric oncology studies included from the systematic literature search and no additional studies from the additional literature review.</w:t>
      </w:r>
    </w:p>
    <w:p w14:paraId="6EDF2A00" w14:textId="77777777" w:rsidR="00744659" w:rsidRPr="00C53C14" w:rsidRDefault="00744659">
      <w:pPr>
        <w:spacing w:line="360" w:lineRule="auto"/>
        <w:rPr>
          <w:rFonts w:ascii="Calibri" w:eastAsia="Calibri" w:hAnsi="Calibri" w:cs="Calibri"/>
          <w:b/>
          <w:sz w:val="20"/>
          <w:szCs w:val="20"/>
          <w:lang w:val="en-US"/>
        </w:rPr>
      </w:pPr>
    </w:p>
    <w:p w14:paraId="6EDF2A01"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B. Results</w:t>
      </w:r>
    </w:p>
    <w:p w14:paraId="6EDF2A02" w14:textId="77777777" w:rsidR="00744659" w:rsidRPr="00C53C14"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results were presented. </w:t>
      </w:r>
    </w:p>
    <w:p w14:paraId="6EDF2A03" w14:textId="77777777" w:rsidR="00744659" w:rsidRPr="00C53C14" w:rsidRDefault="00744659">
      <w:pPr>
        <w:spacing w:line="360" w:lineRule="auto"/>
        <w:rPr>
          <w:rFonts w:ascii="Calibri" w:eastAsia="Calibri" w:hAnsi="Calibri" w:cs="Calibri"/>
          <w:b/>
          <w:sz w:val="20"/>
          <w:szCs w:val="20"/>
          <w:lang w:val="en-US"/>
        </w:rPr>
      </w:pPr>
    </w:p>
    <w:p w14:paraId="6EDF2A04" w14:textId="77777777" w:rsidR="00744659" w:rsidRPr="00C53C14" w:rsidRDefault="002C38C9">
      <w:pPr>
        <w:spacing w:line="360" w:lineRule="auto"/>
        <w:rPr>
          <w:rFonts w:ascii="Calibri" w:eastAsia="Calibri" w:hAnsi="Calibri" w:cs="Calibri"/>
          <w:b/>
          <w:sz w:val="20"/>
          <w:szCs w:val="20"/>
          <w:lang w:val="en-US"/>
        </w:rPr>
      </w:pPr>
      <w:r w:rsidRPr="00C53C14">
        <w:rPr>
          <w:rFonts w:ascii="Calibri" w:eastAsia="Calibri" w:hAnsi="Calibri" w:cs="Calibri"/>
          <w:b/>
          <w:sz w:val="20"/>
          <w:szCs w:val="20"/>
          <w:lang w:val="en-US"/>
        </w:rPr>
        <w:t>C. Conclusions</w:t>
      </w:r>
    </w:p>
    <w:p w14:paraId="6EDF2A05" w14:textId="22224134" w:rsidR="005A1956" w:rsidRDefault="002C38C9">
      <w:pPr>
        <w:spacing w:line="360" w:lineRule="auto"/>
        <w:rPr>
          <w:rFonts w:ascii="Calibri" w:eastAsia="Calibri" w:hAnsi="Calibri" w:cs="Calibri"/>
          <w:sz w:val="20"/>
          <w:szCs w:val="20"/>
          <w:lang w:val="en-US"/>
        </w:rPr>
      </w:pPr>
      <w:r w:rsidRPr="00C53C14">
        <w:rPr>
          <w:rFonts w:ascii="Calibri" w:eastAsia="Calibri" w:hAnsi="Calibri" w:cs="Calibri"/>
          <w:sz w:val="20"/>
          <w:szCs w:val="20"/>
          <w:lang w:val="en-US"/>
        </w:rPr>
        <w:t xml:space="preserve">As no studies were included, no conclusions were formulated. </w:t>
      </w:r>
    </w:p>
    <w:p w14:paraId="172C26C2" w14:textId="77777777" w:rsidR="005A1956" w:rsidRDefault="005A1956">
      <w:pPr>
        <w:rPr>
          <w:rFonts w:ascii="Calibri" w:eastAsia="Calibri" w:hAnsi="Calibri" w:cs="Calibri"/>
          <w:sz w:val="20"/>
          <w:szCs w:val="20"/>
          <w:lang w:val="en-US"/>
        </w:rPr>
      </w:pPr>
      <w:r>
        <w:rPr>
          <w:rFonts w:ascii="Calibri" w:eastAsia="Calibri" w:hAnsi="Calibri" w:cs="Calibri"/>
          <w:sz w:val="20"/>
          <w:szCs w:val="20"/>
          <w:lang w:val="en-US"/>
        </w:rPr>
        <w:br w:type="page"/>
      </w:r>
    </w:p>
    <w:p w14:paraId="4754FAB1" w14:textId="29E60CCF" w:rsidR="00744659" w:rsidRPr="005A1956" w:rsidRDefault="005A1956">
      <w:pPr>
        <w:spacing w:line="360" w:lineRule="auto"/>
        <w:rPr>
          <w:rFonts w:asciiTheme="majorHAnsi" w:hAnsiTheme="majorHAnsi" w:cstheme="majorHAnsi"/>
          <w:sz w:val="20"/>
          <w:szCs w:val="20"/>
          <w:lang w:val="en-US"/>
        </w:rPr>
      </w:pPr>
      <w:r w:rsidRPr="005A1956">
        <w:rPr>
          <w:rFonts w:asciiTheme="majorHAnsi" w:hAnsiTheme="majorHAnsi" w:cstheme="majorHAnsi"/>
          <w:sz w:val="20"/>
          <w:szCs w:val="20"/>
          <w:lang w:val="en-US"/>
        </w:rPr>
        <w:lastRenderedPageBreak/>
        <w:t>REFERENCES</w:t>
      </w:r>
    </w:p>
    <w:p w14:paraId="315B4998" w14:textId="77777777" w:rsidR="005A1956" w:rsidRPr="005A1956" w:rsidRDefault="005A1956">
      <w:pPr>
        <w:spacing w:line="360" w:lineRule="auto"/>
        <w:rPr>
          <w:rFonts w:asciiTheme="majorHAnsi" w:hAnsiTheme="majorHAnsi" w:cstheme="majorHAnsi"/>
          <w:sz w:val="20"/>
          <w:szCs w:val="20"/>
          <w:lang w:val="en-US"/>
        </w:rPr>
      </w:pPr>
    </w:p>
    <w:p w14:paraId="33408C85" w14:textId="299A6D9B"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1.</w:t>
      </w:r>
      <w:r>
        <w:rPr>
          <w:rFonts w:asciiTheme="majorHAnsi" w:hAnsiTheme="majorHAnsi" w:cstheme="majorHAnsi"/>
          <w:sz w:val="20"/>
          <w:szCs w:val="20"/>
          <w:lang w:val="nl-NL"/>
        </w:rPr>
        <w:tab/>
      </w:r>
      <w:r w:rsidRPr="005A1956">
        <w:rPr>
          <w:rFonts w:asciiTheme="majorHAnsi" w:hAnsiTheme="majorHAnsi" w:cstheme="majorHAnsi"/>
          <w:sz w:val="20"/>
          <w:szCs w:val="20"/>
          <w:lang w:val="nl-NL"/>
        </w:rPr>
        <w:t>Lightdale JR, Randolph AG, Tran CM, Jiang H, Colon A, Houlahan K, Lehmann LE (2012) Impact of a conservative red blood cell transfusion strategy in children undergoing hematopoietic stem cell transplantation. Biol Blood Marrow Transplant 18(5):813–817. https://doi.org/10.1016/j.bbmt.2011.10.043</w:t>
      </w:r>
    </w:p>
    <w:p w14:paraId="2CE08244" w14:textId="1228E405"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2.</w:t>
      </w:r>
      <w:r>
        <w:rPr>
          <w:rFonts w:asciiTheme="majorHAnsi" w:hAnsiTheme="majorHAnsi" w:cstheme="majorHAnsi"/>
          <w:sz w:val="20"/>
          <w:szCs w:val="20"/>
          <w:lang w:val="nl-NL"/>
        </w:rPr>
        <w:tab/>
      </w:r>
      <w:r w:rsidRPr="005A1956">
        <w:rPr>
          <w:rFonts w:asciiTheme="majorHAnsi" w:hAnsiTheme="majorHAnsi" w:cstheme="majorHAnsi"/>
          <w:sz w:val="20"/>
          <w:szCs w:val="20"/>
          <w:lang w:val="nl-NL"/>
        </w:rPr>
        <w:t>Bateman ST, Lacroix J, Boven K, Forbes P, Barton R, Thomas NJ, Jacobs B, Markovitz B, Goldstein B, Hanson JH, Li HA, Randolph AG (2008) Anemia, blood loss, and blood transfusions in North American children in the intensive care unit. Am J Respir Crit Care Med 178(1):26–33. https://doi.org/10.1164/rccm.200711-1637oc</w:t>
      </w:r>
    </w:p>
    <w:p w14:paraId="349E09E4" w14:textId="654F069E"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3.</w:t>
      </w:r>
      <w:r>
        <w:rPr>
          <w:rFonts w:asciiTheme="majorHAnsi" w:hAnsiTheme="majorHAnsi" w:cstheme="majorHAnsi"/>
          <w:sz w:val="20"/>
          <w:szCs w:val="20"/>
          <w:lang w:val="nl-NL"/>
        </w:rPr>
        <w:t xml:space="preserve"> </w:t>
      </w:r>
      <w:r>
        <w:rPr>
          <w:rFonts w:asciiTheme="majorHAnsi" w:hAnsiTheme="majorHAnsi" w:cstheme="majorHAnsi"/>
          <w:sz w:val="20"/>
          <w:szCs w:val="20"/>
          <w:lang w:val="nl-NL"/>
        </w:rPr>
        <w:tab/>
      </w:r>
      <w:r w:rsidRPr="005A1956">
        <w:rPr>
          <w:rFonts w:asciiTheme="majorHAnsi" w:hAnsiTheme="majorHAnsi" w:cstheme="majorHAnsi"/>
          <w:sz w:val="20"/>
          <w:szCs w:val="20"/>
          <w:lang w:val="nl-NL"/>
        </w:rPr>
        <w:t>Lucarelli G, Galimberti M, Polchi P, Angelucci E, Baronciani D, Giardini C, Politi P, Durazzi SMT, Muretto P, Albertini F (1990) Bone marrow transplantation in patients with thalassemia. N Engl J Med 322(7):417–421. https://doi.org/10.1056/nejm199002153220701</w:t>
      </w:r>
    </w:p>
    <w:p w14:paraId="07EE377E" w14:textId="6A21B54C"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4.</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Cochrane handbook for systematic reviews of interventions (2011) Cochrane handbook for systematic reviews of interventions. https://handbook-5-1.cochrane.org/</w:t>
      </w:r>
      <w:r w:rsidRPr="005A1956">
        <w:rPr>
          <w:rFonts w:asciiTheme="majorHAnsi" w:hAnsiTheme="majorHAnsi" w:cstheme="majorHAnsi"/>
          <w:sz w:val="20"/>
          <w:szCs w:val="20"/>
          <w:u w:val="single"/>
          <w:lang w:val="nl-NL"/>
        </w:rPr>
        <w:t> </w:t>
      </w:r>
    </w:p>
    <w:p w14:paraId="2736104C" w14:textId="1EDC9A78"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5.</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Mulder RL, Brown MC, Skinner R, van Dalen EC, Hudson MM, Kremer LCM (2021) Handbook for guideline development; collaboration between International Guideline Harmonization Group, PanCare Guideline Group and Cochrane Childhood Cancer</w:t>
      </w:r>
    </w:p>
    <w:p w14:paraId="0F11EBF9" w14:textId="69DF650F"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6.</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Schünemann H, Brożek J, Guyatt G, Oxman A (2013) GRADE handbook. GRADE handbook. https://netherlands.cochrane.org/sites/netherlands.cochrane.org/files/public/uploads/6_agree_ii_dutch.pdf</w:t>
      </w:r>
    </w:p>
    <w:p w14:paraId="70887489" w14:textId="7D689E8D"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7.</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AGREE Next Steps Consortium. Appraisal of Guidelines for Research &amp; Evaluation (AGREE) II Instrument. www.agreetrust.org</w:t>
      </w:r>
    </w:p>
    <w:p w14:paraId="1828D646" w14:textId="63E7B945"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8.</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Guyatt GH, Oxman AD, Vist GE, Kunz R, Falck-Ytter Y, Alonso-Coello P et al (2008) GRADE: an emerging consensus on rating quality of evidence and strength of recommendations. BMJ 336(7650):924–926</w:t>
      </w:r>
    </w:p>
    <w:p w14:paraId="2D50FA5E" w14:textId="42A0C312"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9.</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Kirpalani H, Whyte RK, Andersen C, Asztalos EV, Heddle N, Blajchman MA, Peliowski A, Rios A, LaCorte M, Connelly R, Barrington K, Roberts RS (2006) The premature infants in need of transfusion (pint) study: a randomized, controlled trial of a restrictive (LOW) versus liberal (HIGH) transfusion threshold for extremely low birth weight infants. J Pediatr 149(3):301-307.e3. https://doi.org/10.1016/j.jpeds.2006.05.011</w:t>
      </w:r>
    </w:p>
    <w:p w14:paraId="14E5F012" w14:textId="4D8685D2"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10.</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Robitaille N, Lacroix J, Alexandrov L, Clayton L, Cortier M, Schultz KR, Duval M (2013) Excess of veno-occlusive disease in a randomized clinical trial on a higher trigger for red blood cell transfusion after bone marrow transplantation: a Canadian blood and marrow transplant group trial. Biol Blood Marrow Transplant 19(3):468–473. https://doi.org/10.1016/j.bbmt.2012.12.002</w:t>
      </w:r>
    </w:p>
    <w:p w14:paraId="544DC1CB" w14:textId="7F2E3C5B"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11.</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Carson JL, Noveck H, Berlin JA, Gould SA (2002) Mortality and morbidity in patients with very low postoperative Hb levels who decline blood transfusion. Transfusion 42(7):812–818. https://doi.org/10.1046/j.1537-2995.2002.00123.x</w:t>
      </w:r>
    </w:p>
    <w:p w14:paraId="322F7F76" w14:textId="6C47730B"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12.</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Carson JL, Carless PA, Hébert PC (2012) Transfusion thresholds and other strategies for guiding allogeneic red blood cell transfusion. Cochrane Database Syst Rev 1–62. https://doi.org/10.1002/14651858.cd002042.pub3</w:t>
      </w:r>
    </w:p>
    <w:p w14:paraId="7C263E3D" w14:textId="4D2F1233"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lastRenderedPageBreak/>
        <w:t>13.</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Shander A, Javidroozi M, Naqvi S, Aregbeyen O, Çaylan M, Demir S, Juhl A (2014) An update on mortality and morbidity in patients with very low postoperative hemoglobin levels who decline blood transfusion (CME). Transfusion 54(10pt2):2688–2695. https://doi.org/10.1111/trf.12565</w:t>
      </w:r>
    </w:p>
    <w:p w14:paraId="41198367" w14:textId="5C00ECAF"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14.</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Lacroix J, Hébert PC, Hutchison JS, Hume HA, Tucci M, Ducruet T, Gauvin F, Collet J-P, Toledano BJ, Robillard P, Joffe A, Biarent D, Meert K, Peters MJ (2007) Transfusion strategies for patients in pediatric intensive care units. N Engl J Med 356(16):1609–1619. https://doi.org/10.1056/nejmoa066240</w:t>
      </w:r>
    </w:p>
    <w:p w14:paraId="3B90823B" w14:textId="737970F4"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15.</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Hébert PC, Wells G, Blajchman MA, Marshall J, Martin C, Pagliarello G, Tweeddale M, Schweitzer I, Yetisir E (1999) A multicenter, randomized, controlled clinical trial of transfusion requirements in critical care. N Engl J Med 340(6):409–417. https://doi.org/10.1056/nejm199902113400601</w:t>
      </w:r>
    </w:p>
    <w:p w14:paraId="2BABD571" w14:textId="4C82C4CF"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16.</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Rohde JM, Dimcheff DE, Blumberg N, Saint S, Langa KM, Kuhn L, Hickner A, Rogers MAM (2014) Health care–associated infection after red blood cell transfusion. JAMA 311(13):1317. https://doi.org/10.1001/jama.2014.2726</w:t>
      </w:r>
    </w:p>
    <w:p w14:paraId="7831D308" w14:textId="180DC4F3"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17.</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Lacroix J, Demaret P, Tucci M (2012) Red blood cell transfusion: decision making in pediatric intensive care units. Semin Perinatol 36(4):225–231. https://doi.org/10.1053/j.semperi.2012.04.002</w:t>
      </w:r>
    </w:p>
    <w:p w14:paraId="1206A33A" w14:textId="1195128E"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18.</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Jansen AJG, Essink-Bot M, Beckers EAM, Hop WCJ, Schipperus MR, Van Rhenen D (2003) Quality of life measurement in patients with transfusion-dependent myelodysplastic syndromes. Br J Haematol 121(2):270–274. https://doi.org/10.1046/j.1365-2141.2003.04272.x</w:t>
      </w:r>
    </w:p>
    <w:p w14:paraId="67A73146" w14:textId="01AFBC51"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19.</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Carson JL, Terrin ML, Noveck H, Sanders DW, Chaitman BR, Rhoads GG, Nemo G, Dragert K, Beaupre L, Hildebrand K, Macaulay W, Lewis C, Cook DR, Dobbin G, Zakriya KJ, Apple FS, Horney RA, Magaziner J (2011) Liberal or restrictive transfusion in high-risk patients after hip surgery. N Engl J Med 365(26):2453–2462. https://doi.org/10.1056/nejmoa1012452</w:t>
      </w:r>
    </w:p>
    <w:p w14:paraId="54AA105D" w14:textId="1933803C"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20.</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Lackritz EM, Hightower AW, Zucker JR, Ruebush TK, Onudi CO, Steketee RW, Were JBO, Patrick E, Campbell CC (1997) Longitudinal evaluation of severely anemic children in Kenya. AIDS 11(12):1487–1494. https://doi.org/10.1097/00002030-199712000-00013</w:t>
      </w:r>
    </w:p>
    <w:p w14:paraId="343A87F2" w14:textId="2099DE6E"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21.</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Viele MK, Weiskopf RB (1994) What can we learn about the need for transfusion from patients who refuse blood? The experience with Jehovah’s witnesses. Transfusion 34(5):396–401. https://doi.org/10.1046/j.1537-2995.1994.34594249050.x</w:t>
      </w:r>
    </w:p>
    <w:p w14:paraId="523F8A8D" w14:textId="4870E34A"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22.</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Federation of Medical Specialists (2019) Startpagina - Bloedtransfusiebeleid - Richtlijn - Richtlijnendatabase. Federation of Medical Specialists. https://richtlijnendatabase.nl/richtlijn/bloedtransfusiebeleid/startpagina_-_bloedtransfusiebeleid.html</w:t>
      </w:r>
    </w:p>
    <w:p w14:paraId="089E971B" w14:textId="28FA4115"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23.</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Holst LB, Haase N, Wetterslev J, Wernerman J, Guttormsen AB, Karlsson S, Johansson PI, Åneman A, Vang ML, Winding R, Nebrich L, Nibro HL, Rasmussen BS, Lauridsen JRM, Nielsen JS, Oldner A, Pettilä V, Cronhjort MB, Andersen LH, Perner A (2014) Lower versus higher hemoglobin threshold for transfusion in septic shock. N Engl J Med 371(15):1381–1391. https://doi.org/10.1056/nejmoa1406617</w:t>
      </w:r>
    </w:p>
    <w:p w14:paraId="21895D52" w14:textId="281A63F2"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24.</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 xml:space="preserve">Muszynski JA, Guzzetta NA, Hall MW, Macrae D, Valentine SL, Bateman ST, Spinella PC (2018) Recommendations on RBC transfusions for critically ill children with nonhemorrhagic shock from the pediatric </w:t>
      </w:r>
      <w:r w:rsidRPr="005A1956">
        <w:rPr>
          <w:rFonts w:asciiTheme="majorHAnsi" w:hAnsiTheme="majorHAnsi" w:cstheme="majorHAnsi"/>
          <w:sz w:val="20"/>
          <w:szCs w:val="20"/>
          <w:lang w:val="nl-NL"/>
        </w:rPr>
        <w:lastRenderedPageBreak/>
        <w:t>critical care transfusion and anemia expertise initiative. Pediatr Crit Care Med 19:S121–S126. https://doi.org/10.1097/pcc.0000000000001620</w:t>
      </w:r>
    </w:p>
    <w:p w14:paraId="352AA1BE" w14:textId="14DD8C20"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25.</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Henke M, Sindlinger F, Ikenberg H, Gerds T, Schumacher M (2004) Blood hemoglobin level and treatment outcome of early breast cancer. Strahlenther Onkol 180(1):45–51. https://doi.org/10.1007/s00066-004-1123-7</w:t>
      </w:r>
    </w:p>
    <w:p w14:paraId="2AF848B0" w14:textId="1D8EF79A"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26.</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Hoff CM, Hansen HS, Overgaard M, Grau C, Johansen J, Bentzen J, Overgaard J (2011) The importance of haemoglobin level and effect of transfusion in HNSCC patients treated with radiotherapy—results from the randomized DAHANCA 5 study. Radiother Oncol 98(1):28–33. https://doi.org/10.1016/j.radonc.2010.09.024</w:t>
      </w:r>
    </w:p>
    <w:p w14:paraId="2022BF8B" w14:textId="6EDD54BF"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27.</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Hoff CM, Lassen P, Eriksen JG, Hansen HS, Specht L, Overgaard M, Grau C, Johansen J, Bentzen J, Andersen L, Evensen JF, Overgaard J (2011) Does transfusion improve the outcome for HNSCC patients treated with radiotherapy?—results from the randomized DAHANCA 5 and 7 trials. Acta Oncol 50(7):1006–1014. https://doi.org/10.3109/0284186x.2011.592650</w:t>
      </w:r>
    </w:p>
    <w:p w14:paraId="6321E89E" w14:textId="2EDB6395"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28.</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Janssens GO, Rademakers SE, Terhaard CH, Doornaert PA, Bijl HP, van den Ende P, Chin A, Takes RP, de Bree R, Hoogsteen IJ, Bussink J, Span PN, Kaanders JH (2014) Improved recurrence-free survival with ARCON for anemic patients with laryngeal cancer. Clin Cancer Res 20(5):1345–1354. https://doi.org/10.1158/1078-0432.ccr-13-1730</w:t>
      </w:r>
      <w:r w:rsidRPr="005A1956">
        <w:rPr>
          <w:rFonts w:asciiTheme="majorHAnsi" w:hAnsiTheme="majorHAnsi" w:cstheme="majorHAnsi"/>
          <w:sz w:val="20"/>
          <w:szCs w:val="20"/>
          <w:u w:val="single"/>
          <w:lang w:val="nl-NL"/>
        </w:rPr>
        <w:t> </w:t>
      </w:r>
    </w:p>
    <w:p w14:paraId="140D29C2" w14:textId="18FE2327"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29.</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Patient Blood Management Guidelines: Module 3 (2012) Patient Blood Management Guidelines National Blood Authority. https://www.blood.gov.au/pubs/pbm/module3/abbreviations_and_acronyms.html</w:t>
      </w:r>
    </w:p>
    <w:p w14:paraId="1887FE40" w14:textId="503B0755"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30.</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Willems A, Harrington K, Lacroix J, Biarent D, Joffe AR, Wensley D, Ducruet T, Hébert PC, Tucci M (2010) Comparison of two red-cell transfusion strategies after pediatric cardiac surgery: a subgroup analysis. Crit Care Med 38(2):649–656. https://doi.org/10.1097/ccm.0b013e3181bc816c</w:t>
      </w:r>
    </w:p>
    <w:p w14:paraId="26AC8EDB" w14:textId="3C35ABF6"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31.</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Hajjar LA, Vincent J-L, Galas FRBG, Nakamura RE, Silva CMP, Santos MH, Fukushima J, Filho RK, Sierra DB, Lopes NH, Mauad T, Roquim AC, Sundin MR, Leão WC, Almeida JP, Pomerantzeff PM, Dallan LO, Jatene FB, Stolf NAG, Auler JOC (2010) Transfusion requirements after cardiac surgery. JAMA 304(14):1559. https://doi.org/10.1001/jama.2010.1446</w:t>
      </w:r>
    </w:p>
    <w:p w14:paraId="20F9FE7C" w14:textId="5A215443"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32.</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Cholette JM, Rubenstein JS, Alfieris GM, Powers KS, Eaton M, Lerner NB (2011) Children with single-ventricle physiology do not benefit from higher hemoglobin levels post cavopulmonary connection: results of a prospective, randomized, controlled trial of a restrictive versus liberal red-cell transfusion strategy*. Pediatr Crit Care Med 12(1):39–45. https://doi.org/10.1097/pcc.0b013e3181e329db</w:t>
      </w:r>
    </w:p>
    <w:p w14:paraId="620CFB99" w14:textId="703A8E40"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33.</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Valentine SL, Bembea MM, Muszynski JA, Cholette JM, Doctor A, Spinella PC, Steiner ME, Tucci M, Hassan NE, Parker RI, Lacroix J, Argent A, Carson JL, Remy KE, Demaret P, Emeriaud G, Kneyber MCJ, Guzzetta N, Hall MW, Bateman ST (2018) Consensus recommendations for RBC transfusion practice in critically ill children from the pediatric critical care transfusion and anemia expertise initiative. Pediatr Crit Care Med 19(9):884–898. https://www.ncbi.nlm.nih.gov/pmc/articles/PMC6126913/pdf/nihms966887.pdf32.332</w:t>
      </w:r>
    </w:p>
    <w:p w14:paraId="1D0E4E21" w14:textId="08B576E0"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34.</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Giammarco S, Chiusolo P, Piccirillo N, Di Giovanni A, Metafuni E, Laurenti L, Sica S, Pagano L (2016) Hyperleukocytosis and leukostasis: management of a medical emergency. Expert Rev Hematol 10(2):147–154. https://doi.org/10.1080/17474086.2017.1270754</w:t>
      </w:r>
    </w:p>
    <w:p w14:paraId="22F8FD55" w14:textId="01EB34F5"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lastRenderedPageBreak/>
        <w:t>35.</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Padmanabhan A, Connelly-Smith L, Aqui N, Balogun RA, Klingel R, Meyer E, Pham HP, Schneiderman J, Witt V, Wu Y, Zantek ND, Dunbar NM, Schwartz GEJ (2019) Guidelines on the use of therapeutic apheresis in clinical practice—evidence-based approach from the Writing Committee of the American Society for Apheresis: the eighth special Issue. J Clin Apheresis 34(3):171–354. https://doi.org/10.1002/jca.21705</w:t>
      </w:r>
    </w:p>
    <w:p w14:paraId="47C2CE65" w14:textId="3A0202F4"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36.</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Kopolovic I, Ostro J, Tsubota H, Lin Y, Cserti-Gazdewich CM, Messner HA, Keir AK, DenHollander N, Dzik WS, Callum J (2015) A systematic review of transfusion-associated graft-versus-host disease. Blood 126(3):406–414. https://doi.org/10.1182/blood-2015-01-620872</w:t>
      </w:r>
    </w:p>
    <w:p w14:paraId="645DDFDA" w14:textId="5FB69A01"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37.</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Paul DA, Leef KH, Locke RG, Stefano JL (2002) Transfusion volume in infants with very low birth weight: a randomized trial of 10 versus 20 mL/kg. J Pediatr Hematol Oncol 24(1):43–46. https://doi.org/10.1097/00043426-200201000-00012</w:t>
      </w:r>
    </w:p>
    <w:p w14:paraId="2C1AD4B9" w14:textId="314087AC"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38.</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Khodabux CM, Hack KEA, von Lindern JS, Brouwers H, Walther FJ, Brand A (2009) A comparative cohort study on transfusion practice and outcome in two Dutch tertiary neonatal centres. Transfus Med 19(4):195–201. https://doi.org/10.1111/j.1365-3148.2009.00934.x</w:t>
      </w:r>
    </w:p>
    <w:p w14:paraId="5C477228" w14:textId="7FA13983"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39.</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Wong H, Connelly R, Day A, Flavin MP (2007) A comparison of high and standard blood transfusion volumes in premature infants. Acta Paediatr 94(5):624–625. https://doi.org/10.1111/j.1651-2227.2005.tb01949.x</w:t>
      </w:r>
    </w:p>
    <w:p w14:paraId="55B5E3B7" w14:textId="77C681FB"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40.</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Olupot-Olupot P, Engoru C, Thompson J, Nteziyaremye J, Chebet M, Ssenyondo T, Dambisya CM, Okuuny V, Wokulira R, Amorut D, Ongodia P, Mpoya A, Williams TN, Uyoga S, Macharia A, Gibb DM, Walker AS, Maitland K (2014) Phase II trial of standard versus increased transfusion volume in Ugandan children with acute severe anemia. BMC Med 12(1):67. https://doi.org/10.1186/1741-7015-12-67</w:t>
      </w:r>
    </w:p>
    <w:p w14:paraId="4C1B7D5C" w14:textId="431BC2AF"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41.</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JPAC. United Kingdom Blood Services (2013) Handbook of transfusion medicine 5th Edi (5th ed., 2013 editie). TSO</w:t>
      </w:r>
    </w:p>
    <w:p w14:paraId="5B7CBCE7" w14:textId="5DBC6F99"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42.</w:t>
      </w:r>
      <w:r w:rsidR="001B7893">
        <w:rPr>
          <w:rFonts w:asciiTheme="majorHAnsi" w:hAnsiTheme="majorHAnsi" w:cstheme="majorHAnsi"/>
          <w:sz w:val="20"/>
          <w:szCs w:val="20"/>
          <w:lang w:val="nl-NL"/>
        </w:rPr>
        <w:tab/>
      </w:r>
      <w:r w:rsidRPr="005A1956">
        <w:rPr>
          <w:rFonts w:asciiTheme="majorHAnsi" w:hAnsiTheme="majorHAnsi" w:cstheme="majorHAnsi"/>
          <w:i/>
          <w:iCs/>
          <w:sz w:val="20"/>
          <w:szCs w:val="20"/>
          <w:lang w:val="nl-NL"/>
        </w:rPr>
        <w:t>Richtlijn bloedtransfusie</w:t>
      </w:r>
      <w:r w:rsidRPr="005A1956">
        <w:rPr>
          <w:rFonts w:asciiTheme="majorHAnsi" w:hAnsiTheme="majorHAnsi" w:cstheme="majorHAnsi"/>
          <w:sz w:val="20"/>
          <w:szCs w:val="20"/>
          <w:lang w:val="nl-NL"/>
        </w:rPr>
        <w:t> (2011) CBO. https://www.nvog.nl/wp-content/uploads/2018/02/Bloedtransfusie-2.0-11-11-2011.pdf</w:t>
      </w:r>
    </w:p>
    <w:p w14:paraId="2112D743" w14:textId="2ABE4BAA"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43.</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NICE (2015) Everview | blood transfusion | guidance | NICE. https://www.nice.org.uk/guidance/ng24/evidence/full-guideline-pdf-2177160733</w:t>
      </w:r>
    </w:p>
    <w:p w14:paraId="47FCCA53" w14:textId="33877D9E"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44.</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New HV, Berryman J, Bolton-Maggs PHB, Cantwell C, Chalmers EA, Davies T, Gottstein R, Kelleher A, Kumar S, Morley SL, Stanworth SJ (2016) Guidelines on transfusion for fetuses, neonates and older children. Br J Haematol 175(5):784–828. https://doi.org/10.1111/bjh.14233</w:t>
      </w:r>
    </w:p>
    <w:p w14:paraId="0B80A56C" w14:textId="783E1437"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45.</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Smith PJ, Ekert H (1976) Evidence of stem-cell competition in children with malignant disease. The Lancet 307(7963):776–779. https://doi.org/10.1016/s0140-6736(76)91613-5</w:t>
      </w:r>
    </w:p>
    <w:p w14:paraId="174AE846" w14:textId="1554C71B"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46.</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Toogood I (1978) Controlled study of hypertransfusion during remission induction in childhood acute lymphocytic leukemia. The Lancet 312(8095):862–864. https://doi.org/10.1016/s0140-6736(78)91570-2</w:t>
      </w:r>
    </w:p>
    <w:p w14:paraId="4D233F7E" w14:textId="0E1B2153"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47.</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English M, Ahmed M, Ngando C, Berkley J, Ross A (2002) Blood transfusion for severe anaemia in children in a Kenyan hospital. The Lancet 359(9305):494–495. https://doi.org/10.1016/s0140-6736(02)07666-3</w:t>
      </w:r>
    </w:p>
    <w:p w14:paraId="00F0C05C" w14:textId="4D41999C"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48.</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Lackritz EM, Campbell CC, Ruebush TK, Hightower AW, Wakube W, Were JBO (1992) Effect of blood transfusion on survival among children in a Kenyan hospital. The Lancet 340(8818):524–528. https://doi.org/10.1016/0140-6736(92)91719-o</w:t>
      </w:r>
    </w:p>
    <w:p w14:paraId="325C7001" w14:textId="1A291789"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lastRenderedPageBreak/>
        <w:t>49.</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Akech SO, Hassall O, Pamba A, Idro R, Williams TN, Newton CRJC, Maitland K (2008) Survival and haematological recovery of children with severe malaria transfused in accordance to WHO guidelines in Kilifi, Kenya. Malaria J 7(1):256. https://doi.org/10.1186/1475-2875-7-256</w:t>
      </w:r>
    </w:p>
    <w:p w14:paraId="369A166C" w14:textId="10433590"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50.</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Connelly RJ, Stone SH, Whyte RK (1999) Early versus late red cell transfusion in low-birth-weight infants. Pediatr Res 43(4):170A</w:t>
      </w:r>
    </w:p>
    <w:p w14:paraId="2806E426" w14:textId="35518BBF"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51.</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Bell EF (2005) Randomized trial of liberal versus restrictive guidelines for red blood cell transfusion in preterm infants. Pediatrics 115(6):1685–1691. https://doi.org/10.1542/peds.2004-1884</w:t>
      </w:r>
    </w:p>
    <w:p w14:paraId="3A8A39FA" w14:textId="68A02CE1"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52.</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Whyte R, Kirpalani H (2011) Low versus high haemoglobin concentration threshold for blood transfusion for preventing morbidity and mortality in very low birth weight infants. Cochrane Database Syst Rev 1. https://doi.org/10.1002/14651858.cd000512.pub2</w:t>
      </w:r>
    </w:p>
    <w:p w14:paraId="0C7CD057" w14:textId="6AE35B99"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53.</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Chen H-L, Tseng H-I, Lu C-C, Yang S-N, Fan H-C, Yang R-C (2009) Effect of blood transfusions on the outcome of very low body weight preterm infants under two different transfusion criteria. Pediatr Neonatol 50(3):110–116. https://doi.org/10.1016/s1875-9572(09)60045-0</w:t>
      </w:r>
    </w:p>
    <w:p w14:paraId="71BCC1EB" w14:textId="2860937A"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54.</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Venkatesh V, Khan R, Curley A, Hopewell S, Doree C, Stanworth S (2012) The safety and efficacy of red cell transfusions in neonates: a systematic review of randomized controlled trials. Br J Haematol 158(3):370–385. https://doi.org/10.1111/j.1365-2141.2012.09180.x</w:t>
      </w:r>
    </w:p>
    <w:p w14:paraId="6D8A0F22" w14:textId="108082EA"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55.</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Brooks SE, Marcus DM, Gillis D, Pirie E, Johnson MH, C. R. N. I. §., Bhatia J (1999) The effect of blood transfusion protocol on retinopathy of prematurity: a prospective, randomized study. Pediatrics 104(3):514–518. https://doi.org/10.1542/peds.104.3.514</w:t>
      </w:r>
    </w:p>
    <w:p w14:paraId="6A0F2AB4" w14:textId="482C2A3F"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56.</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Mukhopadhyay K, Ghosh PS, Narang A, Dogra MR (2004) Cut off level for RBC trans-fusion in sick preterm neonates. PediatricResearch 55:288A</w:t>
      </w:r>
    </w:p>
    <w:p w14:paraId="7124963D" w14:textId="2EE071FC"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57.</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Marsh K, Forster D, Waruiru C, Mwangi I, Winstanley M, Marsh V, Newton CR, Winstanley P, Warn P, Peshu N, Pasvol G, Snow RW (1995) Indicators of life-threatening malaria in African children. N Engl J Med 332(21):1399–1404. https://doi.org/10.1056/nejm199505253322102</w:t>
      </w:r>
    </w:p>
    <w:p w14:paraId="641906BE" w14:textId="2C41CB0E" w:rsidR="005A1956" w:rsidRPr="005A1956" w:rsidRDefault="005A1956" w:rsidP="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58.</w:t>
      </w:r>
      <w:r w:rsidR="001B7893">
        <w:rPr>
          <w:rFonts w:asciiTheme="majorHAnsi" w:hAnsiTheme="majorHAnsi" w:cstheme="majorHAnsi"/>
          <w:sz w:val="20"/>
          <w:szCs w:val="20"/>
          <w:lang w:val="nl-NL"/>
        </w:rPr>
        <w:tab/>
      </w:r>
      <w:r w:rsidRPr="005A1956">
        <w:rPr>
          <w:rFonts w:asciiTheme="majorHAnsi" w:hAnsiTheme="majorHAnsi" w:cstheme="majorHAnsi"/>
          <w:sz w:val="20"/>
          <w:szCs w:val="20"/>
          <w:lang w:val="nl-NL"/>
        </w:rPr>
        <w:t>Retter A, Wyncoll D, Pearse R, Carson D, McKechnie S, Stanworth S, Allard S, Thomas D, Walsh T (2012) Guidelines on the management of anaemia and red cell transfusion in adult critically ill patients. Br J Haematol 160(4):445–464. https://doi.org/10.1111/bjh.12143</w:t>
      </w:r>
    </w:p>
    <w:p w14:paraId="2B4F1A6E" w14:textId="08C2030F" w:rsidR="005A1956" w:rsidRPr="001B7893" w:rsidRDefault="005A1956">
      <w:pPr>
        <w:spacing w:line="360" w:lineRule="auto"/>
        <w:rPr>
          <w:rFonts w:asciiTheme="majorHAnsi" w:hAnsiTheme="majorHAnsi" w:cstheme="majorHAnsi"/>
          <w:sz w:val="20"/>
          <w:szCs w:val="20"/>
          <w:lang w:val="nl-NL"/>
        </w:rPr>
      </w:pPr>
      <w:r w:rsidRPr="005A1956">
        <w:rPr>
          <w:rFonts w:asciiTheme="majorHAnsi" w:hAnsiTheme="majorHAnsi" w:cstheme="majorHAnsi"/>
          <w:sz w:val="20"/>
          <w:szCs w:val="20"/>
          <w:lang w:val="nl-NL"/>
        </w:rPr>
        <w:t>59.Mulder RL, Font-Gonzalez A, Hudson MM, Van Santen HM, Loeffen EAH, Burns K, Quinn GP, Van Dulmen-Den Broeder E, Byrne J, Haupt R, Wallace WH, Van Den Heuvel-Eibrink MM, Anazodo A, Anderson RA, Barnbrock A, Beck JD, Bos AME, Demeestere I, Denzer C, Verhaak CM (2021) Fertility preservation for female patients with childhood, adolescent, and young adult cancer: recommendations from the PanCareLIFE Consortium and the international late effects of childhood cancer guideline harmonization group. Lancet Oncol 22(2):e45–e56. https://doi.org/10.1016/s1470-2045(20)30594-5</w:t>
      </w:r>
    </w:p>
    <w:sectPr w:rsidR="005A1956" w:rsidRPr="001B7893">
      <w:type w:val="continuous"/>
      <w:pgSz w:w="11909" w:h="16834"/>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E7DFB"/>
    <w:multiLevelType w:val="multilevel"/>
    <w:tmpl w:val="CE5E7C5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08D8796B"/>
    <w:multiLevelType w:val="multilevel"/>
    <w:tmpl w:val="7F5444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700E72"/>
    <w:multiLevelType w:val="multilevel"/>
    <w:tmpl w:val="A198BFB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E780AFE"/>
    <w:multiLevelType w:val="multilevel"/>
    <w:tmpl w:val="CDB2C5E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2D4F7220"/>
    <w:multiLevelType w:val="multilevel"/>
    <w:tmpl w:val="1D1C2E5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43CD4B0F"/>
    <w:multiLevelType w:val="multilevel"/>
    <w:tmpl w:val="69CC2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04205EF"/>
    <w:multiLevelType w:val="multilevel"/>
    <w:tmpl w:val="89E48C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38117905">
    <w:abstractNumId w:val="0"/>
  </w:num>
  <w:num w:numId="2" w16cid:durableId="998575899">
    <w:abstractNumId w:val="1"/>
  </w:num>
  <w:num w:numId="3" w16cid:durableId="2096508242">
    <w:abstractNumId w:val="4"/>
  </w:num>
  <w:num w:numId="4" w16cid:durableId="2085837849">
    <w:abstractNumId w:val="6"/>
  </w:num>
  <w:num w:numId="5" w16cid:durableId="1094664617">
    <w:abstractNumId w:val="2"/>
  </w:num>
  <w:num w:numId="6" w16cid:durableId="1309823206">
    <w:abstractNumId w:val="5"/>
  </w:num>
  <w:num w:numId="7" w16cid:durableId="393771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659"/>
    <w:rsid w:val="00066769"/>
    <w:rsid w:val="001B7893"/>
    <w:rsid w:val="001F16B9"/>
    <w:rsid w:val="002C38C9"/>
    <w:rsid w:val="00343985"/>
    <w:rsid w:val="00385974"/>
    <w:rsid w:val="00524035"/>
    <w:rsid w:val="005A1956"/>
    <w:rsid w:val="00675680"/>
    <w:rsid w:val="006773C5"/>
    <w:rsid w:val="00744659"/>
    <w:rsid w:val="007502F5"/>
    <w:rsid w:val="00782AEA"/>
    <w:rsid w:val="00B413CD"/>
    <w:rsid w:val="00B477AC"/>
    <w:rsid w:val="00BE4039"/>
    <w:rsid w:val="00C53C14"/>
    <w:rsid w:val="00E445B1"/>
    <w:rsid w:val="00EB5B6B"/>
    <w:rsid w:val="00EF7B71"/>
    <w:rsid w:val="00F278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F21BC"/>
  <w15:docId w15:val="{DF4F8E93-6C94-4B58-8A34-F6DF8E3E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w:type="table" w:customStyle="1" w:styleId="a">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0">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1">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2">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3">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4">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5">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6">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7">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8">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9">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a">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b">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c">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d">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e">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0">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1">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2">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3">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4">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5">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6">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7">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8">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9">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a">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b">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c">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d">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e">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0">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f1">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f2">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f3">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4">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5">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6">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7">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8">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9">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a">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b">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fc">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d">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fe">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ff">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ff0">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f1">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ff2">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table" w:customStyle="1" w:styleId="afff3">
    <w:basedOn w:val="TableNormal"/>
    <w:pPr>
      <w:spacing w:line="240" w:lineRule="auto"/>
    </w:pPr>
    <w:rPr>
      <w:rFonts w:ascii="Calibri" w:eastAsia="Calibri" w:hAnsi="Calibri" w:cs="Calibri"/>
    </w:rPr>
    <w:tblPr>
      <w:tblStyleRowBandSize w:val="1"/>
      <w:tblStyleColBandSize w:val="1"/>
      <w:tblCellMar>
        <w:top w:w="100" w:type="dxa"/>
        <w:left w:w="108" w:type="dxa"/>
        <w:bottom w:w="100" w:type="dxa"/>
        <w:right w:w="108" w:type="dxa"/>
      </w:tblCellMar>
    </w:tblPr>
  </w:style>
  <w:style w:type="character" w:styleId="Hyperlink">
    <w:name w:val="Hyperlink"/>
    <w:basedOn w:val="Standaardalinea-lettertype"/>
    <w:uiPriority w:val="99"/>
    <w:unhideWhenUsed/>
    <w:rsid w:val="005A1956"/>
    <w:rPr>
      <w:color w:val="0000FF" w:themeColor="hyperlink"/>
      <w:u w:val="single"/>
    </w:rPr>
  </w:style>
  <w:style w:type="character" w:styleId="Onopgelostemelding">
    <w:name w:val="Unresolved Mention"/>
    <w:basedOn w:val="Standaardalinea-lettertype"/>
    <w:uiPriority w:val="99"/>
    <w:semiHidden/>
    <w:unhideWhenUsed/>
    <w:rsid w:val="005A1956"/>
    <w:rPr>
      <w:color w:val="605E5C"/>
      <w:shd w:val="clear" w:color="auto" w:fill="E1DFDD"/>
    </w:rPr>
  </w:style>
  <w:style w:type="paragraph" w:styleId="Lijstalinea">
    <w:name w:val="List Paragraph"/>
    <w:basedOn w:val="Standaard"/>
    <w:uiPriority w:val="34"/>
    <w:qFormat/>
    <w:rsid w:val="005A19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2375633">
      <w:bodyDiv w:val="1"/>
      <w:marLeft w:val="0"/>
      <w:marRight w:val="0"/>
      <w:marTop w:val="0"/>
      <w:marBottom w:val="0"/>
      <w:divBdr>
        <w:top w:val="none" w:sz="0" w:space="0" w:color="auto"/>
        <w:left w:val="none" w:sz="0" w:space="0" w:color="auto"/>
        <w:bottom w:val="none" w:sz="0" w:space="0" w:color="auto"/>
        <w:right w:val="none" w:sz="0" w:space="0" w:color="auto"/>
      </w:divBdr>
      <w:divsChild>
        <w:div w:id="532226765">
          <w:marLeft w:val="120"/>
          <w:marRight w:val="0"/>
          <w:marTop w:val="120"/>
          <w:marBottom w:val="120"/>
          <w:divBdr>
            <w:top w:val="none" w:sz="0" w:space="0" w:color="auto"/>
            <w:left w:val="none" w:sz="0" w:space="0" w:color="auto"/>
            <w:bottom w:val="none" w:sz="0" w:space="0" w:color="auto"/>
            <w:right w:val="none" w:sz="0" w:space="0" w:color="auto"/>
          </w:divBdr>
          <w:divsChild>
            <w:div w:id="1946188823">
              <w:marLeft w:val="0"/>
              <w:marRight w:val="0"/>
              <w:marTop w:val="0"/>
              <w:marBottom w:val="0"/>
              <w:divBdr>
                <w:top w:val="none" w:sz="0" w:space="0" w:color="auto"/>
                <w:left w:val="none" w:sz="0" w:space="0" w:color="auto"/>
                <w:bottom w:val="none" w:sz="0" w:space="0" w:color="auto"/>
                <w:right w:val="none" w:sz="0" w:space="0" w:color="auto"/>
              </w:divBdr>
            </w:div>
          </w:divsChild>
        </w:div>
        <w:div w:id="1735617362">
          <w:marLeft w:val="120"/>
          <w:marRight w:val="0"/>
          <w:marTop w:val="120"/>
          <w:marBottom w:val="120"/>
          <w:divBdr>
            <w:top w:val="none" w:sz="0" w:space="0" w:color="auto"/>
            <w:left w:val="none" w:sz="0" w:space="0" w:color="auto"/>
            <w:bottom w:val="none" w:sz="0" w:space="0" w:color="auto"/>
            <w:right w:val="none" w:sz="0" w:space="0" w:color="auto"/>
          </w:divBdr>
          <w:divsChild>
            <w:div w:id="544564604">
              <w:marLeft w:val="0"/>
              <w:marRight w:val="0"/>
              <w:marTop w:val="0"/>
              <w:marBottom w:val="0"/>
              <w:divBdr>
                <w:top w:val="none" w:sz="0" w:space="0" w:color="auto"/>
                <w:left w:val="none" w:sz="0" w:space="0" w:color="auto"/>
                <w:bottom w:val="none" w:sz="0" w:space="0" w:color="auto"/>
                <w:right w:val="none" w:sz="0" w:space="0" w:color="auto"/>
              </w:divBdr>
            </w:div>
          </w:divsChild>
        </w:div>
        <w:div w:id="1545554127">
          <w:marLeft w:val="120"/>
          <w:marRight w:val="0"/>
          <w:marTop w:val="120"/>
          <w:marBottom w:val="120"/>
          <w:divBdr>
            <w:top w:val="none" w:sz="0" w:space="0" w:color="auto"/>
            <w:left w:val="none" w:sz="0" w:space="0" w:color="auto"/>
            <w:bottom w:val="none" w:sz="0" w:space="0" w:color="auto"/>
            <w:right w:val="none" w:sz="0" w:space="0" w:color="auto"/>
          </w:divBdr>
          <w:divsChild>
            <w:div w:id="1558129212">
              <w:marLeft w:val="0"/>
              <w:marRight w:val="0"/>
              <w:marTop w:val="0"/>
              <w:marBottom w:val="0"/>
              <w:divBdr>
                <w:top w:val="none" w:sz="0" w:space="0" w:color="auto"/>
                <w:left w:val="none" w:sz="0" w:space="0" w:color="auto"/>
                <w:bottom w:val="none" w:sz="0" w:space="0" w:color="auto"/>
                <w:right w:val="none" w:sz="0" w:space="0" w:color="auto"/>
              </w:divBdr>
            </w:div>
          </w:divsChild>
        </w:div>
        <w:div w:id="922419290">
          <w:marLeft w:val="120"/>
          <w:marRight w:val="0"/>
          <w:marTop w:val="120"/>
          <w:marBottom w:val="120"/>
          <w:divBdr>
            <w:top w:val="none" w:sz="0" w:space="0" w:color="auto"/>
            <w:left w:val="none" w:sz="0" w:space="0" w:color="auto"/>
            <w:bottom w:val="none" w:sz="0" w:space="0" w:color="auto"/>
            <w:right w:val="none" w:sz="0" w:space="0" w:color="auto"/>
          </w:divBdr>
          <w:divsChild>
            <w:div w:id="1183789554">
              <w:marLeft w:val="0"/>
              <w:marRight w:val="0"/>
              <w:marTop w:val="0"/>
              <w:marBottom w:val="0"/>
              <w:divBdr>
                <w:top w:val="none" w:sz="0" w:space="0" w:color="auto"/>
                <w:left w:val="none" w:sz="0" w:space="0" w:color="auto"/>
                <w:bottom w:val="none" w:sz="0" w:space="0" w:color="auto"/>
                <w:right w:val="none" w:sz="0" w:space="0" w:color="auto"/>
              </w:divBdr>
              <w:divsChild>
                <w:div w:id="139318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955">
          <w:marLeft w:val="120"/>
          <w:marRight w:val="0"/>
          <w:marTop w:val="120"/>
          <w:marBottom w:val="120"/>
          <w:divBdr>
            <w:top w:val="none" w:sz="0" w:space="0" w:color="auto"/>
            <w:left w:val="none" w:sz="0" w:space="0" w:color="auto"/>
            <w:bottom w:val="none" w:sz="0" w:space="0" w:color="auto"/>
            <w:right w:val="none" w:sz="0" w:space="0" w:color="auto"/>
          </w:divBdr>
          <w:divsChild>
            <w:div w:id="2086486901">
              <w:marLeft w:val="0"/>
              <w:marRight w:val="0"/>
              <w:marTop w:val="0"/>
              <w:marBottom w:val="0"/>
              <w:divBdr>
                <w:top w:val="none" w:sz="0" w:space="0" w:color="auto"/>
                <w:left w:val="none" w:sz="0" w:space="0" w:color="auto"/>
                <w:bottom w:val="none" w:sz="0" w:space="0" w:color="auto"/>
                <w:right w:val="none" w:sz="0" w:space="0" w:color="auto"/>
              </w:divBdr>
            </w:div>
          </w:divsChild>
        </w:div>
        <w:div w:id="683899378">
          <w:marLeft w:val="120"/>
          <w:marRight w:val="0"/>
          <w:marTop w:val="120"/>
          <w:marBottom w:val="120"/>
          <w:divBdr>
            <w:top w:val="none" w:sz="0" w:space="0" w:color="auto"/>
            <w:left w:val="none" w:sz="0" w:space="0" w:color="auto"/>
            <w:bottom w:val="none" w:sz="0" w:space="0" w:color="auto"/>
            <w:right w:val="none" w:sz="0" w:space="0" w:color="auto"/>
          </w:divBdr>
          <w:divsChild>
            <w:div w:id="159003522">
              <w:marLeft w:val="0"/>
              <w:marRight w:val="0"/>
              <w:marTop w:val="0"/>
              <w:marBottom w:val="0"/>
              <w:divBdr>
                <w:top w:val="none" w:sz="0" w:space="0" w:color="auto"/>
                <w:left w:val="none" w:sz="0" w:space="0" w:color="auto"/>
                <w:bottom w:val="none" w:sz="0" w:space="0" w:color="auto"/>
                <w:right w:val="none" w:sz="0" w:space="0" w:color="auto"/>
              </w:divBdr>
            </w:div>
          </w:divsChild>
        </w:div>
        <w:div w:id="1476024725">
          <w:marLeft w:val="120"/>
          <w:marRight w:val="0"/>
          <w:marTop w:val="120"/>
          <w:marBottom w:val="120"/>
          <w:divBdr>
            <w:top w:val="none" w:sz="0" w:space="0" w:color="auto"/>
            <w:left w:val="none" w:sz="0" w:space="0" w:color="auto"/>
            <w:bottom w:val="none" w:sz="0" w:space="0" w:color="auto"/>
            <w:right w:val="none" w:sz="0" w:space="0" w:color="auto"/>
          </w:divBdr>
          <w:divsChild>
            <w:div w:id="1382557180">
              <w:marLeft w:val="0"/>
              <w:marRight w:val="0"/>
              <w:marTop w:val="0"/>
              <w:marBottom w:val="0"/>
              <w:divBdr>
                <w:top w:val="none" w:sz="0" w:space="0" w:color="auto"/>
                <w:left w:val="none" w:sz="0" w:space="0" w:color="auto"/>
                <w:bottom w:val="none" w:sz="0" w:space="0" w:color="auto"/>
                <w:right w:val="none" w:sz="0" w:space="0" w:color="auto"/>
              </w:divBdr>
            </w:div>
          </w:divsChild>
        </w:div>
        <w:div w:id="562954510">
          <w:marLeft w:val="120"/>
          <w:marRight w:val="0"/>
          <w:marTop w:val="120"/>
          <w:marBottom w:val="120"/>
          <w:divBdr>
            <w:top w:val="none" w:sz="0" w:space="0" w:color="auto"/>
            <w:left w:val="none" w:sz="0" w:space="0" w:color="auto"/>
            <w:bottom w:val="none" w:sz="0" w:space="0" w:color="auto"/>
            <w:right w:val="none" w:sz="0" w:space="0" w:color="auto"/>
          </w:divBdr>
          <w:divsChild>
            <w:div w:id="1122186124">
              <w:marLeft w:val="0"/>
              <w:marRight w:val="0"/>
              <w:marTop w:val="0"/>
              <w:marBottom w:val="0"/>
              <w:divBdr>
                <w:top w:val="none" w:sz="0" w:space="0" w:color="auto"/>
                <w:left w:val="none" w:sz="0" w:space="0" w:color="auto"/>
                <w:bottom w:val="none" w:sz="0" w:space="0" w:color="auto"/>
                <w:right w:val="none" w:sz="0" w:space="0" w:color="auto"/>
              </w:divBdr>
            </w:div>
          </w:divsChild>
        </w:div>
        <w:div w:id="2000109817">
          <w:marLeft w:val="120"/>
          <w:marRight w:val="0"/>
          <w:marTop w:val="120"/>
          <w:marBottom w:val="120"/>
          <w:divBdr>
            <w:top w:val="none" w:sz="0" w:space="0" w:color="auto"/>
            <w:left w:val="none" w:sz="0" w:space="0" w:color="auto"/>
            <w:bottom w:val="none" w:sz="0" w:space="0" w:color="auto"/>
            <w:right w:val="none" w:sz="0" w:space="0" w:color="auto"/>
          </w:divBdr>
          <w:divsChild>
            <w:div w:id="1808088849">
              <w:marLeft w:val="0"/>
              <w:marRight w:val="0"/>
              <w:marTop w:val="0"/>
              <w:marBottom w:val="0"/>
              <w:divBdr>
                <w:top w:val="none" w:sz="0" w:space="0" w:color="auto"/>
                <w:left w:val="none" w:sz="0" w:space="0" w:color="auto"/>
                <w:bottom w:val="none" w:sz="0" w:space="0" w:color="auto"/>
                <w:right w:val="none" w:sz="0" w:space="0" w:color="auto"/>
              </w:divBdr>
            </w:div>
          </w:divsChild>
        </w:div>
        <w:div w:id="404452004">
          <w:marLeft w:val="120"/>
          <w:marRight w:val="0"/>
          <w:marTop w:val="120"/>
          <w:marBottom w:val="120"/>
          <w:divBdr>
            <w:top w:val="none" w:sz="0" w:space="0" w:color="auto"/>
            <w:left w:val="none" w:sz="0" w:space="0" w:color="auto"/>
            <w:bottom w:val="none" w:sz="0" w:space="0" w:color="auto"/>
            <w:right w:val="none" w:sz="0" w:space="0" w:color="auto"/>
          </w:divBdr>
          <w:divsChild>
            <w:div w:id="897319643">
              <w:marLeft w:val="0"/>
              <w:marRight w:val="0"/>
              <w:marTop w:val="0"/>
              <w:marBottom w:val="0"/>
              <w:divBdr>
                <w:top w:val="none" w:sz="0" w:space="0" w:color="auto"/>
                <w:left w:val="none" w:sz="0" w:space="0" w:color="auto"/>
                <w:bottom w:val="none" w:sz="0" w:space="0" w:color="auto"/>
                <w:right w:val="none" w:sz="0" w:space="0" w:color="auto"/>
              </w:divBdr>
            </w:div>
          </w:divsChild>
        </w:div>
        <w:div w:id="1152211634">
          <w:marLeft w:val="120"/>
          <w:marRight w:val="0"/>
          <w:marTop w:val="120"/>
          <w:marBottom w:val="120"/>
          <w:divBdr>
            <w:top w:val="none" w:sz="0" w:space="0" w:color="auto"/>
            <w:left w:val="none" w:sz="0" w:space="0" w:color="auto"/>
            <w:bottom w:val="none" w:sz="0" w:space="0" w:color="auto"/>
            <w:right w:val="none" w:sz="0" w:space="0" w:color="auto"/>
          </w:divBdr>
          <w:divsChild>
            <w:div w:id="473372492">
              <w:marLeft w:val="0"/>
              <w:marRight w:val="0"/>
              <w:marTop w:val="0"/>
              <w:marBottom w:val="0"/>
              <w:divBdr>
                <w:top w:val="none" w:sz="0" w:space="0" w:color="auto"/>
                <w:left w:val="none" w:sz="0" w:space="0" w:color="auto"/>
                <w:bottom w:val="none" w:sz="0" w:space="0" w:color="auto"/>
                <w:right w:val="none" w:sz="0" w:space="0" w:color="auto"/>
              </w:divBdr>
            </w:div>
          </w:divsChild>
        </w:div>
        <w:div w:id="1319267928">
          <w:marLeft w:val="120"/>
          <w:marRight w:val="0"/>
          <w:marTop w:val="120"/>
          <w:marBottom w:val="120"/>
          <w:divBdr>
            <w:top w:val="none" w:sz="0" w:space="0" w:color="auto"/>
            <w:left w:val="none" w:sz="0" w:space="0" w:color="auto"/>
            <w:bottom w:val="none" w:sz="0" w:space="0" w:color="auto"/>
            <w:right w:val="none" w:sz="0" w:space="0" w:color="auto"/>
          </w:divBdr>
          <w:divsChild>
            <w:div w:id="1977030866">
              <w:marLeft w:val="0"/>
              <w:marRight w:val="0"/>
              <w:marTop w:val="0"/>
              <w:marBottom w:val="0"/>
              <w:divBdr>
                <w:top w:val="none" w:sz="0" w:space="0" w:color="auto"/>
                <w:left w:val="none" w:sz="0" w:space="0" w:color="auto"/>
                <w:bottom w:val="none" w:sz="0" w:space="0" w:color="auto"/>
                <w:right w:val="none" w:sz="0" w:space="0" w:color="auto"/>
              </w:divBdr>
            </w:div>
          </w:divsChild>
        </w:div>
        <w:div w:id="1526139947">
          <w:marLeft w:val="120"/>
          <w:marRight w:val="0"/>
          <w:marTop w:val="120"/>
          <w:marBottom w:val="120"/>
          <w:divBdr>
            <w:top w:val="none" w:sz="0" w:space="0" w:color="auto"/>
            <w:left w:val="none" w:sz="0" w:space="0" w:color="auto"/>
            <w:bottom w:val="none" w:sz="0" w:space="0" w:color="auto"/>
            <w:right w:val="none" w:sz="0" w:space="0" w:color="auto"/>
          </w:divBdr>
          <w:divsChild>
            <w:div w:id="1187015897">
              <w:marLeft w:val="0"/>
              <w:marRight w:val="0"/>
              <w:marTop w:val="0"/>
              <w:marBottom w:val="0"/>
              <w:divBdr>
                <w:top w:val="none" w:sz="0" w:space="0" w:color="auto"/>
                <w:left w:val="none" w:sz="0" w:space="0" w:color="auto"/>
                <w:bottom w:val="none" w:sz="0" w:space="0" w:color="auto"/>
                <w:right w:val="none" w:sz="0" w:space="0" w:color="auto"/>
              </w:divBdr>
            </w:div>
          </w:divsChild>
        </w:div>
        <w:div w:id="1843162895">
          <w:marLeft w:val="120"/>
          <w:marRight w:val="0"/>
          <w:marTop w:val="120"/>
          <w:marBottom w:val="120"/>
          <w:divBdr>
            <w:top w:val="none" w:sz="0" w:space="0" w:color="auto"/>
            <w:left w:val="none" w:sz="0" w:space="0" w:color="auto"/>
            <w:bottom w:val="none" w:sz="0" w:space="0" w:color="auto"/>
            <w:right w:val="none" w:sz="0" w:space="0" w:color="auto"/>
          </w:divBdr>
          <w:divsChild>
            <w:div w:id="1385985929">
              <w:marLeft w:val="0"/>
              <w:marRight w:val="0"/>
              <w:marTop w:val="0"/>
              <w:marBottom w:val="0"/>
              <w:divBdr>
                <w:top w:val="none" w:sz="0" w:space="0" w:color="auto"/>
                <w:left w:val="none" w:sz="0" w:space="0" w:color="auto"/>
                <w:bottom w:val="none" w:sz="0" w:space="0" w:color="auto"/>
                <w:right w:val="none" w:sz="0" w:space="0" w:color="auto"/>
              </w:divBdr>
            </w:div>
          </w:divsChild>
        </w:div>
        <w:div w:id="738747928">
          <w:marLeft w:val="120"/>
          <w:marRight w:val="0"/>
          <w:marTop w:val="120"/>
          <w:marBottom w:val="120"/>
          <w:divBdr>
            <w:top w:val="none" w:sz="0" w:space="0" w:color="auto"/>
            <w:left w:val="none" w:sz="0" w:space="0" w:color="auto"/>
            <w:bottom w:val="none" w:sz="0" w:space="0" w:color="auto"/>
            <w:right w:val="none" w:sz="0" w:space="0" w:color="auto"/>
          </w:divBdr>
          <w:divsChild>
            <w:div w:id="784466615">
              <w:marLeft w:val="0"/>
              <w:marRight w:val="0"/>
              <w:marTop w:val="0"/>
              <w:marBottom w:val="0"/>
              <w:divBdr>
                <w:top w:val="none" w:sz="0" w:space="0" w:color="auto"/>
                <w:left w:val="none" w:sz="0" w:space="0" w:color="auto"/>
                <w:bottom w:val="none" w:sz="0" w:space="0" w:color="auto"/>
                <w:right w:val="none" w:sz="0" w:space="0" w:color="auto"/>
              </w:divBdr>
            </w:div>
          </w:divsChild>
        </w:div>
        <w:div w:id="2126993786">
          <w:marLeft w:val="120"/>
          <w:marRight w:val="0"/>
          <w:marTop w:val="120"/>
          <w:marBottom w:val="120"/>
          <w:divBdr>
            <w:top w:val="none" w:sz="0" w:space="0" w:color="auto"/>
            <w:left w:val="none" w:sz="0" w:space="0" w:color="auto"/>
            <w:bottom w:val="none" w:sz="0" w:space="0" w:color="auto"/>
            <w:right w:val="none" w:sz="0" w:space="0" w:color="auto"/>
          </w:divBdr>
          <w:divsChild>
            <w:div w:id="1328748826">
              <w:marLeft w:val="0"/>
              <w:marRight w:val="0"/>
              <w:marTop w:val="0"/>
              <w:marBottom w:val="0"/>
              <w:divBdr>
                <w:top w:val="none" w:sz="0" w:space="0" w:color="auto"/>
                <w:left w:val="none" w:sz="0" w:space="0" w:color="auto"/>
                <w:bottom w:val="none" w:sz="0" w:space="0" w:color="auto"/>
                <w:right w:val="none" w:sz="0" w:space="0" w:color="auto"/>
              </w:divBdr>
            </w:div>
          </w:divsChild>
        </w:div>
        <w:div w:id="724715999">
          <w:marLeft w:val="120"/>
          <w:marRight w:val="0"/>
          <w:marTop w:val="120"/>
          <w:marBottom w:val="120"/>
          <w:divBdr>
            <w:top w:val="none" w:sz="0" w:space="0" w:color="auto"/>
            <w:left w:val="none" w:sz="0" w:space="0" w:color="auto"/>
            <w:bottom w:val="none" w:sz="0" w:space="0" w:color="auto"/>
            <w:right w:val="none" w:sz="0" w:space="0" w:color="auto"/>
          </w:divBdr>
          <w:divsChild>
            <w:div w:id="1290629306">
              <w:marLeft w:val="0"/>
              <w:marRight w:val="0"/>
              <w:marTop w:val="0"/>
              <w:marBottom w:val="0"/>
              <w:divBdr>
                <w:top w:val="none" w:sz="0" w:space="0" w:color="auto"/>
                <w:left w:val="none" w:sz="0" w:space="0" w:color="auto"/>
                <w:bottom w:val="none" w:sz="0" w:space="0" w:color="auto"/>
                <w:right w:val="none" w:sz="0" w:space="0" w:color="auto"/>
              </w:divBdr>
            </w:div>
          </w:divsChild>
        </w:div>
        <w:div w:id="1844127699">
          <w:marLeft w:val="120"/>
          <w:marRight w:val="0"/>
          <w:marTop w:val="120"/>
          <w:marBottom w:val="120"/>
          <w:divBdr>
            <w:top w:val="none" w:sz="0" w:space="0" w:color="auto"/>
            <w:left w:val="none" w:sz="0" w:space="0" w:color="auto"/>
            <w:bottom w:val="none" w:sz="0" w:space="0" w:color="auto"/>
            <w:right w:val="none" w:sz="0" w:space="0" w:color="auto"/>
          </w:divBdr>
          <w:divsChild>
            <w:div w:id="87432123">
              <w:marLeft w:val="0"/>
              <w:marRight w:val="0"/>
              <w:marTop w:val="0"/>
              <w:marBottom w:val="0"/>
              <w:divBdr>
                <w:top w:val="none" w:sz="0" w:space="0" w:color="auto"/>
                <w:left w:val="none" w:sz="0" w:space="0" w:color="auto"/>
                <w:bottom w:val="none" w:sz="0" w:space="0" w:color="auto"/>
                <w:right w:val="none" w:sz="0" w:space="0" w:color="auto"/>
              </w:divBdr>
            </w:div>
          </w:divsChild>
        </w:div>
        <w:div w:id="1391147621">
          <w:marLeft w:val="120"/>
          <w:marRight w:val="0"/>
          <w:marTop w:val="120"/>
          <w:marBottom w:val="120"/>
          <w:divBdr>
            <w:top w:val="none" w:sz="0" w:space="0" w:color="auto"/>
            <w:left w:val="none" w:sz="0" w:space="0" w:color="auto"/>
            <w:bottom w:val="none" w:sz="0" w:space="0" w:color="auto"/>
            <w:right w:val="none" w:sz="0" w:space="0" w:color="auto"/>
          </w:divBdr>
          <w:divsChild>
            <w:div w:id="1413966491">
              <w:marLeft w:val="0"/>
              <w:marRight w:val="0"/>
              <w:marTop w:val="0"/>
              <w:marBottom w:val="0"/>
              <w:divBdr>
                <w:top w:val="none" w:sz="0" w:space="0" w:color="auto"/>
                <w:left w:val="none" w:sz="0" w:space="0" w:color="auto"/>
                <w:bottom w:val="none" w:sz="0" w:space="0" w:color="auto"/>
                <w:right w:val="none" w:sz="0" w:space="0" w:color="auto"/>
              </w:divBdr>
            </w:div>
          </w:divsChild>
        </w:div>
        <w:div w:id="45185094">
          <w:marLeft w:val="120"/>
          <w:marRight w:val="0"/>
          <w:marTop w:val="120"/>
          <w:marBottom w:val="120"/>
          <w:divBdr>
            <w:top w:val="none" w:sz="0" w:space="0" w:color="auto"/>
            <w:left w:val="none" w:sz="0" w:space="0" w:color="auto"/>
            <w:bottom w:val="none" w:sz="0" w:space="0" w:color="auto"/>
            <w:right w:val="none" w:sz="0" w:space="0" w:color="auto"/>
          </w:divBdr>
          <w:divsChild>
            <w:div w:id="1158305811">
              <w:marLeft w:val="0"/>
              <w:marRight w:val="0"/>
              <w:marTop w:val="0"/>
              <w:marBottom w:val="0"/>
              <w:divBdr>
                <w:top w:val="none" w:sz="0" w:space="0" w:color="auto"/>
                <w:left w:val="none" w:sz="0" w:space="0" w:color="auto"/>
                <w:bottom w:val="none" w:sz="0" w:space="0" w:color="auto"/>
                <w:right w:val="none" w:sz="0" w:space="0" w:color="auto"/>
              </w:divBdr>
            </w:div>
          </w:divsChild>
        </w:div>
        <w:div w:id="1542746434">
          <w:marLeft w:val="120"/>
          <w:marRight w:val="0"/>
          <w:marTop w:val="120"/>
          <w:marBottom w:val="120"/>
          <w:divBdr>
            <w:top w:val="none" w:sz="0" w:space="0" w:color="auto"/>
            <w:left w:val="none" w:sz="0" w:space="0" w:color="auto"/>
            <w:bottom w:val="none" w:sz="0" w:space="0" w:color="auto"/>
            <w:right w:val="none" w:sz="0" w:space="0" w:color="auto"/>
          </w:divBdr>
          <w:divsChild>
            <w:div w:id="1323582998">
              <w:marLeft w:val="0"/>
              <w:marRight w:val="0"/>
              <w:marTop w:val="0"/>
              <w:marBottom w:val="0"/>
              <w:divBdr>
                <w:top w:val="none" w:sz="0" w:space="0" w:color="auto"/>
                <w:left w:val="none" w:sz="0" w:space="0" w:color="auto"/>
                <w:bottom w:val="none" w:sz="0" w:space="0" w:color="auto"/>
                <w:right w:val="none" w:sz="0" w:space="0" w:color="auto"/>
              </w:divBdr>
            </w:div>
          </w:divsChild>
        </w:div>
        <w:div w:id="240482627">
          <w:marLeft w:val="120"/>
          <w:marRight w:val="0"/>
          <w:marTop w:val="120"/>
          <w:marBottom w:val="120"/>
          <w:divBdr>
            <w:top w:val="none" w:sz="0" w:space="0" w:color="auto"/>
            <w:left w:val="none" w:sz="0" w:space="0" w:color="auto"/>
            <w:bottom w:val="none" w:sz="0" w:space="0" w:color="auto"/>
            <w:right w:val="none" w:sz="0" w:space="0" w:color="auto"/>
          </w:divBdr>
          <w:divsChild>
            <w:div w:id="199975493">
              <w:marLeft w:val="0"/>
              <w:marRight w:val="0"/>
              <w:marTop w:val="0"/>
              <w:marBottom w:val="0"/>
              <w:divBdr>
                <w:top w:val="none" w:sz="0" w:space="0" w:color="auto"/>
                <w:left w:val="none" w:sz="0" w:space="0" w:color="auto"/>
                <w:bottom w:val="none" w:sz="0" w:space="0" w:color="auto"/>
                <w:right w:val="none" w:sz="0" w:space="0" w:color="auto"/>
              </w:divBdr>
            </w:div>
          </w:divsChild>
        </w:div>
        <w:div w:id="1976134274">
          <w:marLeft w:val="120"/>
          <w:marRight w:val="0"/>
          <w:marTop w:val="120"/>
          <w:marBottom w:val="120"/>
          <w:divBdr>
            <w:top w:val="none" w:sz="0" w:space="0" w:color="auto"/>
            <w:left w:val="none" w:sz="0" w:space="0" w:color="auto"/>
            <w:bottom w:val="none" w:sz="0" w:space="0" w:color="auto"/>
            <w:right w:val="none" w:sz="0" w:space="0" w:color="auto"/>
          </w:divBdr>
          <w:divsChild>
            <w:div w:id="499782537">
              <w:marLeft w:val="0"/>
              <w:marRight w:val="0"/>
              <w:marTop w:val="0"/>
              <w:marBottom w:val="0"/>
              <w:divBdr>
                <w:top w:val="none" w:sz="0" w:space="0" w:color="auto"/>
                <w:left w:val="none" w:sz="0" w:space="0" w:color="auto"/>
                <w:bottom w:val="none" w:sz="0" w:space="0" w:color="auto"/>
                <w:right w:val="none" w:sz="0" w:space="0" w:color="auto"/>
              </w:divBdr>
            </w:div>
          </w:divsChild>
        </w:div>
        <w:div w:id="555749259">
          <w:marLeft w:val="120"/>
          <w:marRight w:val="0"/>
          <w:marTop w:val="120"/>
          <w:marBottom w:val="120"/>
          <w:divBdr>
            <w:top w:val="none" w:sz="0" w:space="0" w:color="auto"/>
            <w:left w:val="none" w:sz="0" w:space="0" w:color="auto"/>
            <w:bottom w:val="none" w:sz="0" w:space="0" w:color="auto"/>
            <w:right w:val="none" w:sz="0" w:space="0" w:color="auto"/>
          </w:divBdr>
          <w:divsChild>
            <w:div w:id="557595436">
              <w:marLeft w:val="0"/>
              <w:marRight w:val="0"/>
              <w:marTop w:val="0"/>
              <w:marBottom w:val="0"/>
              <w:divBdr>
                <w:top w:val="none" w:sz="0" w:space="0" w:color="auto"/>
                <w:left w:val="none" w:sz="0" w:space="0" w:color="auto"/>
                <w:bottom w:val="none" w:sz="0" w:space="0" w:color="auto"/>
                <w:right w:val="none" w:sz="0" w:space="0" w:color="auto"/>
              </w:divBdr>
            </w:div>
          </w:divsChild>
        </w:div>
        <w:div w:id="125705885">
          <w:marLeft w:val="120"/>
          <w:marRight w:val="0"/>
          <w:marTop w:val="120"/>
          <w:marBottom w:val="120"/>
          <w:divBdr>
            <w:top w:val="none" w:sz="0" w:space="0" w:color="auto"/>
            <w:left w:val="none" w:sz="0" w:space="0" w:color="auto"/>
            <w:bottom w:val="none" w:sz="0" w:space="0" w:color="auto"/>
            <w:right w:val="none" w:sz="0" w:space="0" w:color="auto"/>
          </w:divBdr>
          <w:divsChild>
            <w:div w:id="1200359485">
              <w:marLeft w:val="0"/>
              <w:marRight w:val="0"/>
              <w:marTop w:val="0"/>
              <w:marBottom w:val="0"/>
              <w:divBdr>
                <w:top w:val="none" w:sz="0" w:space="0" w:color="auto"/>
                <w:left w:val="none" w:sz="0" w:space="0" w:color="auto"/>
                <w:bottom w:val="none" w:sz="0" w:space="0" w:color="auto"/>
                <w:right w:val="none" w:sz="0" w:space="0" w:color="auto"/>
              </w:divBdr>
            </w:div>
          </w:divsChild>
        </w:div>
        <w:div w:id="106391227">
          <w:marLeft w:val="120"/>
          <w:marRight w:val="0"/>
          <w:marTop w:val="120"/>
          <w:marBottom w:val="120"/>
          <w:divBdr>
            <w:top w:val="none" w:sz="0" w:space="0" w:color="auto"/>
            <w:left w:val="none" w:sz="0" w:space="0" w:color="auto"/>
            <w:bottom w:val="none" w:sz="0" w:space="0" w:color="auto"/>
            <w:right w:val="none" w:sz="0" w:space="0" w:color="auto"/>
          </w:divBdr>
          <w:divsChild>
            <w:div w:id="2070418350">
              <w:marLeft w:val="0"/>
              <w:marRight w:val="0"/>
              <w:marTop w:val="0"/>
              <w:marBottom w:val="0"/>
              <w:divBdr>
                <w:top w:val="none" w:sz="0" w:space="0" w:color="auto"/>
                <w:left w:val="none" w:sz="0" w:space="0" w:color="auto"/>
                <w:bottom w:val="none" w:sz="0" w:space="0" w:color="auto"/>
                <w:right w:val="none" w:sz="0" w:space="0" w:color="auto"/>
              </w:divBdr>
            </w:div>
          </w:divsChild>
        </w:div>
        <w:div w:id="1400981558">
          <w:marLeft w:val="120"/>
          <w:marRight w:val="0"/>
          <w:marTop w:val="120"/>
          <w:marBottom w:val="120"/>
          <w:divBdr>
            <w:top w:val="none" w:sz="0" w:space="0" w:color="auto"/>
            <w:left w:val="none" w:sz="0" w:space="0" w:color="auto"/>
            <w:bottom w:val="none" w:sz="0" w:space="0" w:color="auto"/>
            <w:right w:val="none" w:sz="0" w:space="0" w:color="auto"/>
          </w:divBdr>
          <w:divsChild>
            <w:div w:id="1117602072">
              <w:marLeft w:val="0"/>
              <w:marRight w:val="0"/>
              <w:marTop w:val="0"/>
              <w:marBottom w:val="0"/>
              <w:divBdr>
                <w:top w:val="none" w:sz="0" w:space="0" w:color="auto"/>
                <w:left w:val="none" w:sz="0" w:space="0" w:color="auto"/>
                <w:bottom w:val="none" w:sz="0" w:space="0" w:color="auto"/>
                <w:right w:val="none" w:sz="0" w:space="0" w:color="auto"/>
              </w:divBdr>
            </w:div>
          </w:divsChild>
        </w:div>
        <w:div w:id="1200702555">
          <w:marLeft w:val="120"/>
          <w:marRight w:val="0"/>
          <w:marTop w:val="120"/>
          <w:marBottom w:val="120"/>
          <w:divBdr>
            <w:top w:val="none" w:sz="0" w:space="0" w:color="auto"/>
            <w:left w:val="none" w:sz="0" w:space="0" w:color="auto"/>
            <w:bottom w:val="none" w:sz="0" w:space="0" w:color="auto"/>
            <w:right w:val="none" w:sz="0" w:space="0" w:color="auto"/>
          </w:divBdr>
          <w:divsChild>
            <w:div w:id="665589960">
              <w:marLeft w:val="0"/>
              <w:marRight w:val="0"/>
              <w:marTop w:val="0"/>
              <w:marBottom w:val="0"/>
              <w:divBdr>
                <w:top w:val="none" w:sz="0" w:space="0" w:color="auto"/>
                <w:left w:val="none" w:sz="0" w:space="0" w:color="auto"/>
                <w:bottom w:val="none" w:sz="0" w:space="0" w:color="auto"/>
                <w:right w:val="none" w:sz="0" w:space="0" w:color="auto"/>
              </w:divBdr>
              <w:divsChild>
                <w:div w:id="164870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17118">
          <w:marLeft w:val="120"/>
          <w:marRight w:val="0"/>
          <w:marTop w:val="120"/>
          <w:marBottom w:val="120"/>
          <w:divBdr>
            <w:top w:val="none" w:sz="0" w:space="0" w:color="auto"/>
            <w:left w:val="none" w:sz="0" w:space="0" w:color="auto"/>
            <w:bottom w:val="none" w:sz="0" w:space="0" w:color="auto"/>
            <w:right w:val="none" w:sz="0" w:space="0" w:color="auto"/>
          </w:divBdr>
          <w:divsChild>
            <w:div w:id="1795321162">
              <w:marLeft w:val="0"/>
              <w:marRight w:val="0"/>
              <w:marTop w:val="0"/>
              <w:marBottom w:val="0"/>
              <w:divBdr>
                <w:top w:val="none" w:sz="0" w:space="0" w:color="auto"/>
                <w:left w:val="none" w:sz="0" w:space="0" w:color="auto"/>
                <w:bottom w:val="none" w:sz="0" w:space="0" w:color="auto"/>
                <w:right w:val="none" w:sz="0" w:space="0" w:color="auto"/>
              </w:divBdr>
            </w:div>
          </w:divsChild>
        </w:div>
        <w:div w:id="504172609">
          <w:marLeft w:val="120"/>
          <w:marRight w:val="0"/>
          <w:marTop w:val="120"/>
          <w:marBottom w:val="120"/>
          <w:divBdr>
            <w:top w:val="none" w:sz="0" w:space="0" w:color="auto"/>
            <w:left w:val="none" w:sz="0" w:space="0" w:color="auto"/>
            <w:bottom w:val="none" w:sz="0" w:space="0" w:color="auto"/>
            <w:right w:val="none" w:sz="0" w:space="0" w:color="auto"/>
          </w:divBdr>
          <w:divsChild>
            <w:div w:id="928125697">
              <w:marLeft w:val="0"/>
              <w:marRight w:val="0"/>
              <w:marTop w:val="0"/>
              <w:marBottom w:val="0"/>
              <w:divBdr>
                <w:top w:val="none" w:sz="0" w:space="0" w:color="auto"/>
                <w:left w:val="none" w:sz="0" w:space="0" w:color="auto"/>
                <w:bottom w:val="none" w:sz="0" w:space="0" w:color="auto"/>
                <w:right w:val="none" w:sz="0" w:space="0" w:color="auto"/>
              </w:divBdr>
            </w:div>
          </w:divsChild>
        </w:div>
        <w:div w:id="1633361896">
          <w:marLeft w:val="120"/>
          <w:marRight w:val="0"/>
          <w:marTop w:val="120"/>
          <w:marBottom w:val="120"/>
          <w:divBdr>
            <w:top w:val="none" w:sz="0" w:space="0" w:color="auto"/>
            <w:left w:val="none" w:sz="0" w:space="0" w:color="auto"/>
            <w:bottom w:val="none" w:sz="0" w:space="0" w:color="auto"/>
            <w:right w:val="none" w:sz="0" w:space="0" w:color="auto"/>
          </w:divBdr>
          <w:divsChild>
            <w:div w:id="535578191">
              <w:marLeft w:val="0"/>
              <w:marRight w:val="0"/>
              <w:marTop w:val="0"/>
              <w:marBottom w:val="0"/>
              <w:divBdr>
                <w:top w:val="none" w:sz="0" w:space="0" w:color="auto"/>
                <w:left w:val="none" w:sz="0" w:space="0" w:color="auto"/>
                <w:bottom w:val="none" w:sz="0" w:space="0" w:color="auto"/>
                <w:right w:val="none" w:sz="0" w:space="0" w:color="auto"/>
              </w:divBdr>
            </w:div>
          </w:divsChild>
        </w:div>
        <w:div w:id="431169055">
          <w:marLeft w:val="120"/>
          <w:marRight w:val="0"/>
          <w:marTop w:val="120"/>
          <w:marBottom w:val="120"/>
          <w:divBdr>
            <w:top w:val="none" w:sz="0" w:space="0" w:color="auto"/>
            <w:left w:val="none" w:sz="0" w:space="0" w:color="auto"/>
            <w:bottom w:val="none" w:sz="0" w:space="0" w:color="auto"/>
            <w:right w:val="none" w:sz="0" w:space="0" w:color="auto"/>
          </w:divBdr>
          <w:divsChild>
            <w:div w:id="220946459">
              <w:marLeft w:val="0"/>
              <w:marRight w:val="0"/>
              <w:marTop w:val="0"/>
              <w:marBottom w:val="0"/>
              <w:divBdr>
                <w:top w:val="none" w:sz="0" w:space="0" w:color="auto"/>
                <w:left w:val="none" w:sz="0" w:space="0" w:color="auto"/>
                <w:bottom w:val="none" w:sz="0" w:space="0" w:color="auto"/>
                <w:right w:val="none" w:sz="0" w:space="0" w:color="auto"/>
              </w:divBdr>
            </w:div>
          </w:divsChild>
        </w:div>
        <w:div w:id="2123527265">
          <w:marLeft w:val="120"/>
          <w:marRight w:val="0"/>
          <w:marTop w:val="120"/>
          <w:marBottom w:val="120"/>
          <w:divBdr>
            <w:top w:val="none" w:sz="0" w:space="0" w:color="auto"/>
            <w:left w:val="none" w:sz="0" w:space="0" w:color="auto"/>
            <w:bottom w:val="none" w:sz="0" w:space="0" w:color="auto"/>
            <w:right w:val="none" w:sz="0" w:space="0" w:color="auto"/>
          </w:divBdr>
          <w:divsChild>
            <w:div w:id="189607449">
              <w:marLeft w:val="0"/>
              <w:marRight w:val="0"/>
              <w:marTop w:val="0"/>
              <w:marBottom w:val="0"/>
              <w:divBdr>
                <w:top w:val="none" w:sz="0" w:space="0" w:color="auto"/>
                <w:left w:val="none" w:sz="0" w:space="0" w:color="auto"/>
                <w:bottom w:val="none" w:sz="0" w:space="0" w:color="auto"/>
                <w:right w:val="none" w:sz="0" w:space="0" w:color="auto"/>
              </w:divBdr>
            </w:div>
          </w:divsChild>
        </w:div>
        <w:div w:id="1405563710">
          <w:marLeft w:val="120"/>
          <w:marRight w:val="0"/>
          <w:marTop w:val="120"/>
          <w:marBottom w:val="120"/>
          <w:divBdr>
            <w:top w:val="none" w:sz="0" w:space="0" w:color="auto"/>
            <w:left w:val="none" w:sz="0" w:space="0" w:color="auto"/>
            <w:bottom w:val="none" w:sz="0" w:space="0" w:color="auto"/>
            <w:right w:val="none" w:sz="0" w:space="0" w:color="auto"/>
          </w:divBdr>
          <w:divsChild>
            <w:div w:id="1405958427">
              <w:marLeft w:val="0"/>
              <w:marRight w:val="0"/>
              <w:marTop w:val="0"/>
              <w:marBottom w:val="0"/>
              <w:divBdr>
                <w:top w:val="none" w:sz="0" w:space="0" w:color="auto"/>
                <w:left w:val="none" w:sz="0" w:space="0" w:color="auto"/>
                <w:bottom w:val="none" w:sz="0" w:space="0" w:color="auto"/>
                <w:right w:val="none" w:sz="0" w:space="0" w:color="auto"/>
              </w:divBdr>
            </w:div>
          </w:divsChild>
        </w:div>
        <w:div w:id="2062904242">
          <w:marLeft w:val="120"/>
          <w:marRight w:val="0"/>
          <w:marTop w:val="120"/>
          <w:marBottom w:val="120"/>
          <w:divBdr>
            <w:top w:val="none" w:sz="0" w:space="0" w:color="auto"/>
            <w:left w:val="none" w:sz="0" w:space="0" w:color="auto"/>
            <w:bottom w:val="none" w:sz="0" w:space="0" w:color="auto"/>
            <w:right w:val="none" w:sz="0" w:space="0" w:color="auto"/>
          </w:divBdr>
          <w:divsChild>
            <w:div w:id="1777820842">
              <w:marLeft w:val="0"/>
              <w:marRight w:val="0"/>
              <w:marTop w:val="0"/>
              <w:marBottom w:val="0"/>
              <w:divBdr>
                <w:top w:val="none" w:sz="0" w:space="0" w:color="auto"/>
                <w:left w:val="none" w:sz="0" w:space="0" w:color="auto"/>
                <w:bottom w:val="none" w:sz="0" w:space="0" w:color="auto"/>
                <w:right w:val="none" w:sz="0" w:space="0" w:color="auto"/>
              </w:divBdr>
            </w:div>
          </w:divsChild>
        </w:div>
        <w:div w:id="1211575011">
          <w:marLeft w:val="120"/>
          <w:marRight w:val="0"/>
          <w:marTop w:val="120"/>
          <w:marBottom w:val="120"/>
          <w:divBdr>
            <w:top w:val="none" w:sz="0" w:space="0" w:color="auto"/>
            <w:left w:val="none" w:sz="0" w:space="0" w:color="auto"/>
            <w:bottom w:val="none" w:sz="0" w:space="0" w:color="auto"/>
            <w:right w:val="none" w:sz="0" w:space="0" w:color="auto"/>
          </w:divBdr>
          <w:divsChild>
            <w:div w:id="997271099">
              <w:marLeft w:val="0"/>
              <w:marRight w:val="0"/>
              <w:marTop w:val="0"/>
              <w:marBottom w:val="0"/>
              <w:divBdr>
                <w:top w:val="none" w:sz="0" w:space="0" w:color="auto"/>
                <w:left w:val="none" w:sz="0" w:space="0" w:color="auto"/>
                <w:bottom w:val="none" w:sz="0" w:space="0" w:color="auto"/>
                <w:right w:val="none" w:sz="0" w:space="0" w:color="auto"/>
              </w:divBdr>
            </w:div>
          </w:divsChild>
        </w:div>
        <w:div w:id="1677149826">
          <w:marLeft w:val="120"/>
          <w:marRight w:val="0"/>
          <w:marTop w:val="120"/>
          <w:marBottom w:val="120"/>
          <w:divBdr>
            <w:top w:val="none" w:sz="0" w:space="0" w:color="auto"/>
            <w:left w:val="none" w:sz="0" w:space="0" w:color="auto"/>
            <w:bottom w:val="none" w:sz="0" w:space="0" w:color="auto"/>
            <w:right w:val="none" w:sz="0" w:space="0" w:color="auto"/>
          </w:divBdr>
          <w:divsChild>
            <w:div w:id="1545941438">
              <w:marLeft w:val="0"/>
              <w:marRight w:val="0"/>
              <w:marTop w:val="0"/>
              <w:marBottom w:val="0"/>
              <w:divBdr>
                <w:top w:val="none" w:sz="0" w:space="0" w:color="auto"/>
                <w:left w:val="none" w:sz="0" w:space="0" w:color="auto"/>
                <w:bottom w:val="none" w:sz="0" w:space="0" w:color="auto"/>
                <w:right w:val="none" w:sz="0" w:space="0" w:color="auto"/>
              </w:divBdr>
            </w:div>
          </w:divsChild>
        </w:div>
        <w:div w:id="2137721911">
          <w:marLeft w:val="120"/>
          <w:marRight w:val="0"/>
          <w:marTop w:val="120"/>
          <w:marBottom w:val="120"/>
          <w:divBdr>
            <w:top w:val="none" w:sz="0" w:space="0" w:color="auto"/>
            <w:left w:val="none" w:sz="0" w:space="0" w:color="auto"/>
            <w:bottom w:val="none" w:sz="0" w:space="0" w:color="auto"/>
            <w:right w:val="none" w:sz="0" w:space="0" w:color="auto"/>
          </w:divBdr>
          <w:divsChild>
            <w:div w:id="1935438039">
              <w:marLeft w:val="0"/>
              <w:marRight w:val="0"/>
              <w:marTop w:val="0"/>
              <w:marBottom w:val="0"/>
              <w:divBdr>
                <w:top w:val="none" w:sz="0" w:space="0" w:color="auto"/>
                <w:left w:val="none" w:sz="0" w:space="0" w:color="auto"/>
                <w:bottom w:val="none" w:sz="0" w:space="0" w:color="auto"/>
                <w:right w:val="none" w:sz="0" w:space="0" w:color="auto"/>
              </w:divBdr>
            </w:div>
          </w:divsChild>
        </w:div>
        <w:div w:id="311837464">
          <w:marLeft w:val="120"/>
          <w:marRight w:val="0"/>
          <w:marTop w:val="120"/>
          <w:marBottom w:val="120"/>
          <w:divBdr>
            <w:top w:val="none" w:sz="0" w:space="0" w:color="auto"/>
            <w:left w:val="none" w:sz="0" w:space="0" w:color="auto"/>
            <w:bottom w:val="none" w:sz="0" w:space="0" w:color="auto"/>
            <w:right w:val="none" w:sz="0" w:space="0" w:color="auto"/>
          </w:divBdr>
          <w:divsChild>
            <w:div w:id="904536697">
              <w:marLeft w:val="0"/>
              <w:marRight w:val="0"/>
              <w:marTop w:val="0"/>
              <w:marBottom w:val="0"/>
              <w:divBdr>
                <w:top w:val="none" w:sz="0" w:space="0" w:color="auto"/>
                <w:left w:val="none" w:sz="0" w:space="0" w:color="auto"/>
                <w:bottom w:val="none" w:sz="0" w:space="0" w:color="auto"/>
                <w:right w:val="none" w:sz="0" w:space="0" w:color="auto"/>
              </w:divBdr>
            </w:div>
          </w:divsChild>
        </w:div>
        <w:div w:id="1887181680">
          <w:marLeft w:val="120"/>
          <w:marRight w:val="0"/>
          <w:marTop w:val="120"/>
          <w:marBottom w:val="120"/>
          <w:divBdr>
            <w:top w:val="none" w:sz="0" w:space="0" w:color="auto"/>
            <w:left w:val="none" w:sz="0" w:space="0" w:color="auto"/>
            <w:bottom w:val="none" w:sz="0" w:space="0" w:color="auto"/>
            <w:right w:val="none" w:sz="0" w:space="0" w:color="auto"/>
          </w:divBdr>
          <w:divsChild>
            <w:div w:id="399524581">
              <w:marLeft w:val="0"/>
              <w:marRight w:val="0"/>
              <w:marTop w:val="0"/>
              <w:marBottom w:val="0"/>
              <w:divBdr>
                <w:top w:val="none" w:sz="0" w:space="0" w:color="auto"/>
                <w:left w:val="none" w:sz="0" w:space="0" w:color="auto"/>
                <w:bottom w:val="none" w:sz="0" w:space="0" w:color="auto"/>
                <w:right w:val="none" w:sz="0" w:space="0" w:color="auto"/>
              </w:divBdr>
            </w:div>
          </w:divsChild>
        </w:div>
        <w:div w:id="1474910069">
          <w:marLeft w:val="120"/>
          <w:marRight w:val="0"/>
          <w:marTop w:val="120"/>
          <w:marBottom w:val="120"/>
          <w:divBdr>
            <w:top w:val="none" w:sz="0" w:space="0" w:color="auto"/>
            <w:left w:val="none" w:sz="0" w:space="0" w:color="auto"/>
            <w:bottom w:val="none" w:sz="0" w:space="0" w:color="auto"/>
            <w:right w:val="none" w:sz="0" w:space="0" w:color="auto"/>
          </w:divBdr>
          <w:divsChild>
            <w:div w:id="454447409">
              <w:marLeft w:val="0"/>
              <w:marRight w:val="0"/>
              <w:marTop w:val="0"/>
              <w:marBottom w:val="0"/>
              <w:divBdr>
                <w:top w:val="none" w:sz="0" w:space="0" w:color="auto"/>
                <w:left w:val="none" w:sz="0" w:space="0" w:color="auto"/>
                <w:bottom w:val="none" w:sz="0" w:space="0" w:color="auto"/>
                <w:right w:val="none" w:sz="0" w:space="0" w:color="auto"/>
              </w:divBdr>
            </w:div>
          </w:divsChild>
        </w:div>
        <w:div w:id="375667528">
          <w:marLeft w:val="120"/>
          <w:marRight w:val="0"/>
          <w:marTop w:val="120"/>
          <w:marBottom w:val="120"/>
          <w:divBdr>
            <w:top w:val="none" w:sz="0" w:space="0" w:color="auto"/>
            <w:left w:val="none" w:sz="0" w:space="0" w:color="auto"/>
            <w:bottom w:val="none" w:sz="0" w:space="0" w:color="auto"/>
            <w:right w:val="none" w:sz="0" w:space="0" w:color="auto"/>
          </w:divBdr>
          <w:divsChild>
            <w:div w:id="1273128100">
              <w:marLeft w:val="0"/>
              <w:marRight w:val="0"/>
              <w:marTop w:val="0"/>
              <w:marBottom w:val="0"/>
              <w:divBdr>
                <w:top w:val="none" w:sz="0" w:space="0" w:color="auto"/>
                <w:left w:val="none" w:sz="0" w:space="0" w:color="auto"/>
                <w:bottom w:val="none" w:sz="0" w:space="0" w:color="auto"/>
                <w:right w:val="none" w:sz="0" w:space="0" w:color="auto"/>
              </w:divBdr>
            </w:div>
          </w:divsChild>
        </w:div>
        <w:div w:id="1367100043">
          <w:marLeft w:val="120"/>
          <w:marRight w:val="0"/>
          <w:marTop w:val="120"/>
          <w:marBottom w:val="120"/>
          <w:divBdr>
            <w:top w:val="none" w:sz="0" w:space="0" w:color="auto"/>
            <w:left w:val="none" w:sz="0" w:space="0" w:color="auto"/>
            <w:bottom w:val="none" w:sz="0" w:space="0" w:color="auto"/>
            <w:right w:val="none" w:sz="0" w:space="0" w:color="auto"/>
          </w:divBdr>
          <w:divsChild>
            <w:div w:id="1314482849">
              <w:marLeft w:val="0"/>
              <w:marRight w:val="0"/>
              <w:marTop w:val="0"/>
              <w:marBottom w:val="0"/>
              <w:divBdr>
                <w:top w:val="none" w:sz="0" w:space="0" w:color="auto"/>
                <w:left w:val="none" w:sz="0" w:space="0" w:color="auto"/>
                <w:bottom w:val="none" w:sz="0" w:space="0" w:color="auto"/>
                <w:right w:val="none" w:sz="0" w:space="0" w:color="auto"/>
              </w:divBdr>
            </w:div>
          </w:divsChild>
        </w:div>
        <w:div w:id="1092627896">
          <w:marLeft w:val="120"/>
          <w:marRight w:val="0"/>
          <w:marTop w:val="120"/>
          <w:marBottom w:val="120"/>
          <w:divBdr>
            <w:top w:val="none" w:sz="0" w:space="0" w:color="auto"/>
            <w:left w:val="none" w:sz="0" w:space="0" w:color="auto"/>
            <w:bottom w:val="none" w:sz="0" w:space="0" w:color="auto"/>
            <w:right w:val="none" w:sz="0" w:space="0" w:color="auto"/>
          </w:divBdr>
          <w:divsChild>
            <w:div w:id="1294797366">
              <w:marLeft w:val="0"/>
              <w:marRight w:val="0"/>
              <w:marTop w:val="0"/>
              <w:marBottom w:val="0"/>
              <w:divBdr>
                <w:top w:val="none" w:sz="0" w:space="0" w:color="auto"/>
                <w:left w:val="none" w:sz="0" w:space="0" w:color="auto"/>
                <w:bottom w:val="none" w:sz="0" w:space="0" w:color="auto"/>
                <w:right w:val="none" w:sz="0" w:space="0" w:color="auto"/>
              </w:divBdr>
            </w:div>
          </w:divsChild>
        </w:div>
        <w:div w:id="1493452459">
          <w:marLeft w:val="120"/>
          <w:marRight w:val="0"/>
          <w:marTop w:val="120"/>
          <w:marBottom w:val="120"/>
          <w:divBdr>
            <w:top w:val="none" w:sz="0" w:space="0" w:color="auto"/>
            <w:left w:val="none" w:sz="0" w:space="0" w:color="auto"/>
            <w:bottom w:val="none" w:sz="0" w:space="0" w:color="auto"/>
            <w:right w:val="none" w:sz="0" w:space="0" w:color="auto"/>
          </w:divBdr>
          <w:divsChild>
            <w:div w:id="2022319145">
              <w:marLeft w:val="0"/>
              <w:marRight w:val="0"/>
              <w:marTop w:val="0"/>
              <w:marBottom w:val="0"/>
              <w:divBdr>
                <w:top w:val="none" w:sz="0" w:space="0" w:color="auto"/>
                <w:left w:val="none" w:sz="0" w:space="0" w:color="auto"/>
                <w:bottom w:val="none" w:sz="0" w:space="0" w:color="auto"/>
                <w:right w:val="none" w:sz="0" w:space="0" w:color="auto"/>
              </w:divBdr>
            </w:div>
          </w:divsChild>
        </w:div>
        <w:div w:id="1462111216">
          <w:marLeft w:val="120"/>
          <w:marRight w:val="0"/>
          <w:marTop w:val="120"/>
          <w:marBottom w:val="120"/>
          <w:divBdr>
            <w:top w:val="none" w:sz="0" w:space="0" w:color="auto"/>
            <w:left w:val="none" w:sz="0" w:space="0" w:color="auto"/>
            <w:bottom w:val="none" w:sz="0" w:space="0" w:color="auto"/>
            <w:right w:val="none" w:sz="0" w:space="0" w:color="auto"/>
          </w:divBdr>
          <w:divsChild>
            <w:div w:id="1024787665">
              <w:marLeft w:val="0"/>
              <w:marRight w:val="0"/>
              <w:marTop w:val="0"/>
              <w:marBottom w:val="0"/>
              <w:divBdr>
                <w:top w:val="none" w:sz="0" w:space="0" w:color="auto"/>
                <w:left w:val="none" w:sz="0" w:space="0" w:color="auto"/>
                <w:bottom w:val="none" w:sz="0" w:space="0" w:color="auto"/>
                <w:right w:val="none" w:sz="0" w:space="0" w:color="auto"/>
              </w:divBdr>
            </w:div>
          </w:divsChild>
        </w:div>
        <w:div w:id="1186751423">
          <w:marLeft w:val="120"/>
          <w:marRight w:val="0"/>
          <w:marTop w:val="120"/>
          <w:marBottom w:val="120"/>
          <w:divBdr>
            <w:top w:val="none" w:sz="0" w:space="0" w:color="auto"/>
            <w:left w:val="none" w:sz="0" w:space="0" w:color="auto"/>
            <w:bottom w:val="none" w:sz="0" w:space="0" w:color="auto"/>
            <w:right w:val="none" w:sz="0" w:space="0" w:color="auto"/>
          </w:divBdr>
          <w:divsChild>
            <w:div w:id="1853449275">
              <w:marLeft w:val="0"/>
              <w:marRight w:val="0"/>
              <w:marTop w:val="0"/>
              <w:marBottom w:val="0"/>
              <w:divBdr>
                <w:top w:val="none" w:sz="0" w:space="0" w:color="auto"/>
                <w:left w:val="none" w:sz="0" w:space="0" w:color="auto"/>
                <w:bottom w:val="none" w:sz="0" w:space="0" w:color="auto"/>
                <w:right w:val="none" w:sz="0" w:space="0" w:color="auto"/>
              </w:divBdr>
            </w:div>
          </w:divsChild>
        </w:div>
        <w:div w:id="156002761">
          <w:marLeft w:val="120"/>
          <w:marRight w:val="0"/>
          <w:marTop w:val="120"/>
          <w:marBottom w:val="120"/>
          <w:divBdr>
            <w:top w:val="none" w:sz="0" w:space="0" w:color="auto"/>
            <w:left w:val="none" w:sz="0" w:space="0" w:color="auto"/>
            <w:bottom w:val="none" w:sz="0" w:space="0" w:color="auto"/>
            <w:right w:val="none" w:sz="0" w:space="0" w:color="auto"/>
          </w:divBdr>
          <w:divsChild>
            <w:div w:id="869103524">
              <w:marLeft w:val="0"/>
              <w:marRight w:val="0"/>
              <w:marTop w:val="0"/>
              <w:marBottom w:val="0"/>
              <w:divBdr>
                <w:top w:val="none" w:sz="0" w:space="0" w:color="auto"/>
                <w:left w:val="none" w:sz="0" w:space="0" w:color="auto"/>
                <w:bottom w:val="none" w:sz="0" w:space="0" w:color="auto"/>
                <w:right w:val="none" w:sz="0" w:space="0" w:color="auto"/>
              </w:divBdr>
            </w:div>
          </w:divsChild>
        </w:div>
        <w:div w:id="1386679137">
          <w:marLeft w:val="120"/>
          <w:marRight w:val="0"/>
          <w:marTop w:val="120"/>
          <w:marBottom w:val="120"/>
          <w:divBdr>
            <w:top w:val="none" w:sz="0" w:space="0" w:color="auto"/>
            <w:left w:val="none" w:sz="0" w:space="0" w:color="auto"/>
            <w:bottom w:val="none" w:sz="0" w:space="0" w:color="auto"/>
            <w:right w:val="none" w:sz="0" w:space="0" w:color="auto"/>
          </w:divBdr>
          <w:divsChild>
            <w:div w:id="2080056455">
              <w:marLeft w:val="0"/>
              <w:marRight w:val="0"/>
              <w:marTop w:val="0"/>
              <w:marBottom w:val="0"/>
              <w:divBdr>
                <w:top w:val="none" w:sz="0" w:space="0" w:color="auto"/>
                <w:left w:val="none" w:sz="0" w:space="0" w:color="auto"/>
                <w:bottom w:val="none" w:sz="0" w:space="0" w:color="auto"/>
                <w:right w:val="none" w:sz="0" w:space="0" w:color="auto"/>
              </w:divBdr>
            </w:div>
          </w:divsChild>
        </w:div>
        <w:div w:id="1863125748">
          <w:marLeft w:val="120"/>
          <w:marRight w:val="0"/>
          <w:marTop w:val="120"/>
          <w:marBottom w:val="120"/>
          <w:divBdr>
            <w:top w:val="none" w:sz="0" w:space="0" w:color="auto"/>
            <w:left w:val="none" w:sz="0" w:space="0" w:color="auto"/>
            <w:bottom w:val="none" w:sz="0" w:space="0" w:color="auto"/>
            <w:right w:val="none" w:sz="0" w:space="0" w:color="auto"/>
          </w:divBdr>
          <w:divsChild>
            <w:div w:id="36247580">
              <w:marLeft w:val="0"/>
              <w:marRight w:val="0"/>
              <w:marTop w:val="0"/>
              <w:marBottom w:val="0"/>
              <w:divBdr>
                <w:top w:val="none" w:sz="0" w:space="0" w:color="auto"/>
                <w:left w:val="none" w:sz="0" w:space="0" w:color="auto"/>
                <w:bottom w:val="none" w:sz="0" w:space="0" w:color="auto"/>
                <w:right w:val="none" w:sz="0" w:space="0" w:color="auto"/>
              </w:divBdr>
            </w:div>
          </w:divsChild>
        </w:div>
        <w:div w:id="292296089">
          <w:marLeft w:val="120"/>
          <w:marRight w:val="0"/>
          <w:marTop w:val="120"/>
          <w:marBottom w:val="120"/>
          <w:divBdr>
            <w:top w:val="none" w:sz="0" w:space="0" w:color="auto"/>
            <w:left w:val="none" w:sz="0" w:space="0" w:color="auto"/>
            <w:bottom w:val="none" w:sz="0" w:space="0" w:color="auto"/>
            <w:right w:val="none" w:sz="0" w:space="0" w:color="auto"/>
          </w:divBdr>
          <w:divsChild>
            <w:div w:id="855845104">
              <w:marLeft w:val="0"/>
              <w:marRight w:val="0"/>
              <w:marTop w:val="0"/>
              <w:marBottom w:val="0"/>
              <w:divBdr>
                <w:top w:val="none" w:sz="0" w:space="0" w:color="auto"/>
                <w:left w:val="none" w:sz="0" w:space="0" w:color="auto"/>
                <w:bottom w:val="none" w:sz="0" w:space="0" w:color="auto"/>
                <w:right w:val="none" w:sz="0" w:space="0" w:color="auto"/>
              </w:divBdr>
            </w:div>
          </w:divsChild>
        </w:div>
        <w:div w:id="1191454259">
          <w:marLeft w:val="120"/>
          <w:marRight w:val="0"/>
          <w:marTop w:val="120"/>
          <w:marBottom w:val="120"/>
          <w:divBdr>
            <w:top w:val="none" w:sz="0" w:space="0" w:color="auto"/>
            <w:left w:val="none" w:sz="0" w:space="0" w:color="auto"/>
            <w:bottom w:val="none" w:sz="0" w:space="0" w:color="auto"/>
            <w:right w:val="none" w:sz="0" w:space="0" w:color="auto"/>
          </w:divBdr>
          <w:divsChild>
            <w:div w:id="743838449">
              <w:marLeft w:val="0"/>
              <w:marRight w:val="0"/>
              <w:marTop w:val="0"/>
              <w:marBottom w:val="0"/>
              <w:divBdr>
                <w:top w:val="none" w:sz="0" w:space="0" w:color="auto"/>
                <w:left w:val="none" w:sz="0" w:space="0" w:color="auto"/>
                <w:bottom w:val="none" w:sz="0" w:space="0" w:color="auto"/>
                <w:right w:val="none" w:sz="0" w:space="0" w:color="auto"/>
              </w:divBdr>
            </w:div>
          </w:divsChild>
        </w:div>
        <w:div w:id="1672636778">
          <w:marLeft w:val="120"/>
          <w:marRight w:val="0"/>
          <w:marTop w:val="120"/>
          <w:marBottom w:val="120"/>
          <w:divBdr>
            <w:top w:val="none" w:sz="0" w:space="0" w:color="auto"/>
            <w:left w:val="none" w:sz="0" w:space="0" w:color="auto"/>
            <w:bottom w:val="none" w:sz="0" w:space="0" w:color="auto"/>
            <w:right w:val="none" w:sz="0" w:space="0" w:color="auto"/>
          </w:divBdr>
          <w:divsChild>
            <w:div w:id="386881067">
              <w:marLeft w:val="0"/>
              <w:marRight w:val="0"/>
              <w:marTop w:val="0"/>
              <w:marBottom w:val="0"/>
              <w:divBdr>
                <w:top w:val="none" w:sz="0" w:space="0" w:color="auto"/>
                <w:left w:val="none" w:sz="0" w:space="0" w:color="auto"/>
                <w:bottom w:val="none" w:sz="0" w:space="0" w:color="auto"/>
                <w:right w:val="none" w:sz="0" w:space="0" w:color="auto"/>
              </w:divBdr>
            </w:div>
          </w:divsChild>
        </w:div>
        <w:div w:id="374357815">
          <w:marLeft w:val="120"/>
          <w:marRight w:val="0"/>
          <w:marTop w:val="120"/>
          <w:marBottom w:val="120"/>
          <w:divBdr>
            <w:top w:val="none" w:sz="0" w:space="0" w:color="auto"/>
            <w:left w:val="none" w:sz="0" w:space="0" w:color="auto"/>
            <w:bottom w:val="none" w:sz="0" w:space="0" w:color="auto"/>
            <w:right w:val="none" w:sz="0" w:space="0" w:color="auto"/>
          </w:divBdr>
          <w:divsChild>
            <w:div w:id="718633162">
              <w:marLeft w:val="0"/>
              <w:marRight w:val="0"/>
              <w:marTop w:val="0"/>
              <w:marBottom w:val="0"/>
              <w:divBdr>
                <w:top w:val="none" w:sz="0" w:space="0" w:color="auto"/>
                <w:left w:val="none" w:sz="0" w:space="0" w:color="auto"/>
                <w:bottom w:val="none" w:sz="0" w:space="0" w:color="auto"/>
                <w:right w:val="none" w:sz="0" w:space="0" w:color="auto"/>
              </w:divBdr>
            </w:div>
          </w:divsChild>
        </w:div>
        <w:div w:id="756445238">
          <w:marLeft w:val="120"/>
          <w:marRight w:val="0"/>
          <w:marTop w:val="120"/>
          <w:marBottom w:val="120"/>
          <w:divBdr>
            <w:top w:val="none" w:sz="0" w:space="0" w:color="auto"/>
            <w:left w:val="none" w:sz="0" w:space="0" w:color="auto"/>
            <w:bottom w:val="none" w:sz="0" w:space="0" w:color="auto"/>
            <w:right w:val="none" w:sz="0" w:space="0" w:color="auto"/>
          </w:divBdr>
          <w:divsChild>
            <w:div w:id="1248927143">
              <w:marLeft w:val="0"/>
              <w:marRight w:val="0"/>
              <w:marTop w:val="0"/>
              <w:marBottom w:val="0"/>
              <w:divBdr>
                <w:top w:val="none" w:sz="0" w:space="0" w:color="auto"/>
                <w:left w:val="none" w:sz="0" w:space="0" w:color="auto"/>
                <w:bottom w:val="none" w:sz="0" w:space="0" w:color="auto"/>
                <w:right w:val="none" w:sz="0" w:space="0" w:color="auto"/>
              </w:divBdr>
            </w:div>
          </w:divsChild>
        </w:div>
        <w:div w:id="1512988758">
          <w:marLeft w:val="120"/>
          <w:marRight w:val="0"/>
          <w:marTop w:val="120"/>
          <w:marBottom w:val="120"/>
          <w:divBdr>
            <w:top w:val="none" w:sz="0" w:space="0" w:color="auto"/>
            <w:left w:val="none" w:sz="0" w:space="0" w:color="auto"/>
            <w:bottom w:val="none" w:sz="0" w:space="0" w:color="auto"/>
            <w:right w:val="none" w:sz="0" w:space="0" w:color="auto"/>
          </w:divBdr>
          <w:divsChild>
            <w:div w:id="1731028831">
              <w:marLeft w:val="0"/>
              <w:marRight w:val="0"/>
              <w:marTop w:val="0"/>
              <w:marBottom w:val="0"/>
              <w:divBdr>
                <w:top w:val="none" w:sz="0" w:space="0" w:color="auto"/>
                <w:left w:val="none" w:sz="0" w:space="0" w:color="auto"/>
                <w:bottom w:val="none" w:sz="0" w:space="0" w:color="auto"/>
                <w:right w:val="none" w:sz="0" w:space="0" w:color="auto"/>
              </w:divBdr>
            </w:div>
          </w:divsChild>
        </w:div>
        <w:div w:id="1764573913">
          <w:marLeft w:val="120"/>
          <w:marRight w:val="0"/>
          <w:marTop w:val="120"/>
          <w:marBottom w:val="120"/>
          <w:divBdr>
            <w:top w:val="none" w:sz="0" w:space="0" w:color="auto"/>
            <w:left w:val="none" w:sz="0" w:space="0" w:color="auto"/>
            <w:bottom w:val="none" w:sz="0" w:space="0" w:color="auto"/>
            <w:right w:val="none" w:sz="0" w:space="0" w:color="auto"/>
          </w:divBdr>
          <w:divsChild>
            <w:div w:id="1758747577">
              <w:marLeft w:val="0"/>
              <w:marRight w:val="0"/>
              <w:marTop w:val="0"/>
              <w:marBottom w:val="0"/>
              <w:divBdr>
                <w:top w:val="none" w:sz="0" w:space="0" w:color="auto"/>
                <w:left w:val="none" w:sz="0" w:space="0" w:color="auto"/>
                <w:bottom w:val="none" w:sz="0" w:space="0" w:color="auto"/>
                <w:right w:val="none" w:sz="0" w:space="0" w:color="auto"/>
              </w:divBdr>
            </w:div>
          </w:divsChild>
        </w:div>
        <w:div w:id="99300227">
          <w:marLeft w:val="120"/>
          <w:marRight w:val="0"/>
          <w:marTop w:val="120"/>
          <w:marBottom w:val="120"/>
          <w:divBdr>
            <w:top w:val="none" w:sz="0" w:space="0" w:color="auto"/>
            <w:left w:val="none" w:sz="0" w:space="0" w:color="auto"/>
            <w:bottom w:val="none" w:sz="0" w:space="0" w:color="auto"/>
            <w:right w:val="none" w:sz="0" w:space="0" w:color="auto"/>
          </w:divBdr>
          <w:divsChild>
            <w:div w:id="611405539">
              <w:marLeft w:val="0"/>
              <w:marRight w:val="0"/>
              <w:marTop w:val="0"/>
              <w:marBottom w:val="0"/>
              <w:divBdr>
                <w:top w:val="none" w:sz="0" w:space="0" w:color="auto"/>
                <w:left w:val="none" w:sz="0" w:space="0" w:color="auto"/>
                <w:bottom w:val="none" w:sz="0" w:space="0" w:color="auto"/>
                <w:right w:val="none" w:sz="0" w:space="0" w:color="auto"/>
              </w:divBdr>
            </w:div>
          </w:divsChild>
        </w:div>
        <w:div w:id="211116924">
          <w:marLeft w:val="120"/>
          <w:marRight w:val="0"/>
          <w:marTop w:val="120"/>
          <w:marBottom w:val="120"/>
          <w:divBdr>
            <w:top w:val="none" w:sz="0" w:space="0" w:color="auto"/>
            <w:left w:val="none" w:sz="0" w:space="0" w:color="auto"/>
            <w:bottom w:val="none" w:sz="0" w:space="0" w:color="auto"/>
            <w:right w:val="none" w:sz="0" w:space="0" w:color="auto"/>
          </w:divBdr>
          <w:divsChild>
            <w:div w:id="85138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306571">
      <w:bodyDiv w:val="1"/>
      <w:marLeft w:val="0"/>
      <w:marRight w:val="0"/>
      <w:marTop w:val="0"/>
      <w:marBottom w:val="0"/>
      <w:divBdr>
        <w:top w:val="none" w:sz="0" w:space="0" w:color="auto"/>
        <w:left w:val="none" w:sz="0" w:space="0" w:color="auto"/>
        <w:bottom w:val="none" w:sz="0" w:space="0" w:color="auto"/>
        <w:right w:val="none" w:sz="0" w:space="0" w:color="auto"/>
      </w:divBdr>
      <w:divsChild>
        <w:div w:id="258832141">
          <w:marLeft w:val="120"/>
          <w:marRight w:val="0"/>
          <w:marTop w:val="120"/>
          <w:marBottom w:val="120"/>
          <w:divBdr>
            <w:top w:val="none" w:sz="0" w:space="0" w:color="auto"/>
            <w:left w:val="none" w:sz="0" w:space="0" w:color="auto"/>
            <w:bottom w:val="none" w:sz="0" w:space="0" w:color="auto"/>
            <w:right w:val="none" w:sz="0" w:space="0" w:color="auto"/>
          </w:divBdr>
          <w:divsChild>
            <w:div w:id="309134500">
              <w:marLeft w:val="0"/>
              <w:marRight w:val="0"/>
              <w:marTop w:val="0"/>
              <w:marBottom w:val="0"/>
              <w:divBdr>
                <w:top w:val="none" w:sz="0" w:space="0" w:color="auto"/>
                <w:left w:val="none" w:sz="0" w:space="0" w:color="auto"/>
                <w:bottom w:val="none" w:sz="0" w:space="0" w:color="auto"/>
                <w:right w:val="none" w:sz="0" w:space="0" w:color="auto"/>
              </w:divBdr>
            </w:div>
          </w:divsChild>
        </w:div>
        <w:div w:id="1888490745">
          <w:marLeft w:val="120"/>
          <w:marRight w:val="0"/>
          <w:marTop w:val="120"/>
          <w:marBottom w:val="120"/>
          <w:divBdr>
            <w:top w:val="none" w:sz="0" w:space="0" w:color="auto"/>
            <w:left w:val="none" w:sz="0" w:space="0" w:color="auto"/>
            <w:bottom w:val="none" w:sz="0" w:space="0" w:color="auto"/>
            <w:right w:val="none" w:sz="0" w:space="0" w:color="auto"/>
          </w:divBdr>
          <w:divsChild>
            <w:div w:id="1209881876">
              <w:marLeft w:val="0"/>
              <w:marRight w:val="0"/>
              <w:marTop w:val="0"/>
              <w:marBottom w:val="0"/>
              <w:divBdr>
                <w:top w:val="none" w:sz="0" w:space="0" w:color="auto"/>
                <w:left w:val="none" w:sz="0" w:space="0" w:color="auto"/>
                <w:bottom w:val="none" w:sz="0" w:space="0" w:color="auto"/>
                <w:right w:val="none" w:sz="0" w:space="0" w:color="auto"/>
              </w:divBdr>
            </w:div>
          </w:divsChild>
        </w:div>
        <w:div w:id="889878037">
          <w:marLeft w:val="120"/>
          <w:marRight w:val="0"/>
          <w:marTop w:val="120"/>
          <w:marBottom w:val="120"/>
          <w:divBdr>
            <w:top w:val="none" w:sz="0" w:space="0" w:color="auto"/>
            <w:left w:val="none" w:sz="0" w:space="0" w:color="auto"/>
            <w:bottom w:val="none" w:sz="0" w:space="0" w:color="auto"/>
            <w:right w:val="none" w:sz="0" w:space="0" w:color="auto"/>
          </w:divBdr>
          <w:divsChild>
            <w:div w:id="791217547">
              <w:marLeft w:val="0"/>
              <w:marRight w:val="0"/>
              <w:marTop w:val="0"/>
              <w:marBottom w:val="0"/>
              <w:divBdr>
                <w:top w:val="none" w:sz="0" w:space="0" w:color="auto"/>
                <w:left w:val="none" w:sz="0" w:space="0" w:color="auto"/>
                <w:bottom w:val="none" w:sz="0" w:space="0" w:color="auto"/>
                <w:right w:val="none" w:sz="0" w:space="0" w:color="auto"/>
              </w:divBdr>
            </w:div>
          </w:divsChild>
        </w:div>
        <w:div w:id="713045939">
          <w:marLeft w:val="120"/>
          <w:marRight w:val="0"/>
          <w:marTop w:val="120"/>
          <w:marBottom w:val="120"/>
          <w:divBdr>
            <w:top w:val="none" w:sz="0" w:space="0" w:color="auto"/>
            <w:left w:val="none" w:sz="0" w:space="0" w:color="auto"/>
            <w:bottom w:val="none" w:sz="0" w:space="0" w:color="auto"/>
            <w:right w:val="none" w:sz="0" w:space="0" w:color="auto"/>
          </w:divBdr>
          <w:divsChild>
            <w:div w:id="773865554">
              <w:marLeft w:val="0"/>
              <w:marRight w:val="0"/>
              <w:marTop w:val="0"/>
              <w:marBottom w:val="0"/>
              <w:divBdr>
                <w:top w:val="none" w:sz="0" w:space="0" w:color="auto"/>
                <w:left w:val="none" w:sz="0" w:space="0" w:color="auto"/>
                <w:bottom w:val="none" w:sz="0" w:space="0" w:color="auto"/>
                <w:right w:val="none" w:sz="0" w:space="0" w:color="auto"/>
              </w:divBdr>
              <w:divsChild>
                <w:div w:id="96986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925568">
          <w:marLeft w:val="120"/>
          <w:marRight w:val="0"/>
          <w:marTop w:val="120"/>
          <w:marBottom w:val="120"/>
          <w:divBdr>
            <w:top w:val="none" w:sz="0" w:space="0" w:color="auto"/>
            <w:left w:val="none" w:sz="0" w:space="0" w:color="auto"/>
            <w:bottom w:val="none" w:sz="0" w:space="0" w:color="auto"/>
            <w:right w:val="none" w:sz="0" w:space="0" w:color="auto"/>
          </w:divBdr>
          <w:divsChild>
            <w:div w:id="1624113569">
              <w:marLeft w:val="0"/>
              <w:marRight w:val="0"/>
              <w:marTop w:val="0"/>
              <w:marBottom w:val="0"/>
              <w:divBdr>
                <w:top w:val="none" w:sz="0" w:space="0" w:color="auto"/>
                <w:left w:val="none" w:sz="0" w:space="0" w:color="auto"/>
                <w:bottom w:val="none" w:sz="0" w:space="0" w:color="auto"/>
                <w:right w:val="none" w:sz="0" w:space="0" w:color="auto"/>
              </w:divBdr>
            </w:div>
          </w:divsChild>
        </w:div>
        <w:div w:id="1918202398">
          <w:marLeft w:val="120"/>
          <w:marRight w:val="0"/>
          <w:marTop w:val="120"/>
          <w:marBottom w:val="120"/>
          <w:divBdr>
            <w:top w:val="none" w:sz="0" w:space="0" w:color="auto"/>
            <w:left w:val="none" w:sz="0" w:space="0" w:color="auto"/>
            <w:bottom w:val="none" w:sz="0" w:space="0" w:color="auto"/>
            <w:right w:val="none" w:sz="0" w:space="0" w:color="auto"/>
          </w:divBdr>
          <w:divsChild>
            <w:div w:id="282737184">
              <w:marLeft w:val="0"/>
              <w:marRight w:val="0"/>
              <w:marTop w:val="0"/>
              <w:marBottom w:val="0"/>
              <w:divBdr>
                <w:top w:val="none" w:sz="0" w:space="0" w:color="auto"/>
                <w:left w:val="none" w:sz="0" w:space="0" w:color="auto"/>
                <w:bottom w:val="none" w:sz="0" w:space="0" w:color="auto"/>
                <w:right w:val="none" w:sz="0" w:space="0" w:color="auto"/>
              </w:divBdr>
            </w:div>
          </w:divsChild>
        </w:div>
        <w:div w:id="1886406145">
          <w:marLeft w:val="120"/>
          <w:marRight w:val="0"/>
          <w:marTop w:val="120"/>
          <w:marBottom w:val="120"/>
          <w:divBdr>
            <w:top w:val="none" w:sz="0" w:space="0" w:color="auto"/>
            <w:left w:val="none" w:sz="0" w:space="0" w:color="auto"/>
            <w:bottom w:val="none" w:sz="0" w:space="0" w:color="auto"/>
            <w:right w:val="none" w:sz="0" w:space="0" w:color="auto"/>
          </w:divBdr>
          <w:divsChild>
            <w:div w:id="202180188">
              <w:marLeft w:val="0"/>
              <w:marRight w:val="0"/>
              <w:marTop w:val="0"/>
              <w:marBottom w:val="0"/>
              <w:divBdr>
                <w:top w:val="none" w:sz="0" w:space="0" w:color="auto"/>
                <w:left w:val="none" w:sz="0" w:space="0" w:color="auto"/>
                <w:bottom w:val="none" w:sz="0" w:space="0" w:color="auto"/>
                <w:right w:val="none" w:sz="0" w:space="0" w:color="auto"/>
              </w:divBdr>
            </w:div>
          </w:divsChild>
        </w:div>
        <w:div w:id="119155767">
          <w:marLeft w:val="120"/>
          <w:marRight w:val="0"/>
          <w:marTop w:val="120"/>
          <w:marBottom w:val="120"/>
          <w:divBdr>
            <w:top w:val="none" w:sz="0" w:space="0" w:color="auto"/>
            <w:left w:val="none" w:sz="0" w:space="0" w:color="auto"/>
            <w:bottom w:val="none" w:sz="0" w:space="0" w:color="auto"/>
            <w:right w:val="none" w:sz="0" w:space="0" w:color="auto"/>
          </w:divBdr>
          <w:divsChild>
            <w:div w:id="521018667">
              <w:marLeft w:val="0"/>
              <w:marRight w:val="0"/>
              <w:marTop w:val="0"/>
              <w:marBottom w:val="0"/>
              <w:divBdr>
                <w:top w:val="none" w:sz="0" w:space="0" w:color="auto"/>
                <w:left w:val="none" w:sz="0" w:space="0" w:color="auto"/>
                <w:bottom w:val="none" w:sz="0" w:space="0" w:color="auto"/>
                <w:right w:val="none" w:sz="0" w:space="0" w:color="auto"/>
              </w:divBdr>
            </w:div>
          </w:divsChild>
        </w:div>
        <w:div w:id="502281798">
          <w:marLeft w:val="120"/>
          <w:marRight w:val="0"/>
          <w:marTop w:val="120"/>
          <w:marBottom w:val="120"/>
          <w:divBdr>
            <w:top w:val="none" w:sz="0" w:space="0" w:color="auto"/>
            <w:left w:val="none" w:sz="0" w:space="0" w:color="auto"/>
            <w:bottom w:val="none" w:sz="0" w:space="0" w:color="auto"/>
            <w:right w:val="none" w:sz="0" w:space="0" w:color="auto"/>
          </w:divBdr>
          <w:divsChild>
            <w:div w:id="1493061221">
              <w:marLeft w:val="0"/>
              <w:marRight w:val="0"/>
              <w:marTop w:val="0"/>
              <w:marBottom w:val="0"/>
              <w:divBdr>
                <w:top w:val="none" w:sz="0" w:space="0" w:color="auto"/>
                <w:left w:val="none" w:sz="0" w:space="0" w:color="auto"/>
                <w:bottom w:val="none" w:sz="0" w:space="0" w:color="auto"/>
                <w:right w:val="none" w:sz="0" w:space="0" w:color="auto"/>
              </w:divBdr>
            </w:div>
          </w:divsChild>
        </w:div>
        <w:div w:id="439179705">
          <w:marLeft w:val="120"/>
          <w:marRight w:val="0"/>
          <w:marTop w:val="120"/>
          <w:marBottom w:val="120"/>
          <w:divBdr>
            <w:top w:val="none" w:sz="0" w:space="0" w:color="auto"/>
            <w:left w:val="none" w:sz="0" w:space="0" w:color="auto"/>
            <w:bottom w:val="none" w:sz="0" w:space="0" w:color="auto"/>
            <w:right w:val="none" w:sz="0" w:space="0" w:color="auto"/>
          </w:divBdr>
          <w:divsChild>
            <w:div w:id="945385801">
              <w:marLeft w:val="0"/>
              <w:marRight w:val="0"/>
              <w:marTop w:val="0"/>
              <w:marBottom w:val="0"/>
              <w:divBdr>
                <w:top w:val="none" w:sz="0" w:space="0" w:color="auto"/>
                <w:left w:val="none" w:sz="0" w:space="0" w:color="auto"/>
                <w:bottom w:val="none" w:sz="0" w:space="0" w:color="auto"/>
                <w:right w:val="none" w:sz="0" w:space="0" w:color="auto"/>
              </w:divBdr>
            </w:div>
          </w:divsChild>
        </w:div>
        <w:div w:id="792596441">
          <w:marLeft w:val="120"/>
          <w:marRight w:val="0"/>
          <w:marTop w:val="120"/>
          <w:marBottom w:val="120"/>
          <w:divBdr>
            <w:top w:val="none" w:sz="0" w:space="0" w:color="auto"/>
            <w:left w:val="none" w:sz="0" w:space="0" w:color="auto"/>
            <w:bottom w:val="none" w:sz="0" w:space="0" w:color="auto"/>
            <w:right w:val="none" w:sz="0" w:space="0" w:color="auto"/>
          </w:divBdr>
          <w:divsChild>
            <w:div w:id="1068380925">
              <w:marLeft w:val="0"/>
              <w:marRight w:val="0"/>
              <w:marTop w:val="0"/>
              <w:marBottom w:val="0"/>
              <w:divBdr>
                <w:top w:val="none" w:sz="0" w:space="0" w:color="auto"/>
                <w:left w:val="none" w:sz="0" w:space="0" w:color="auto"/>
                <w:bottom w:val="none" w:sz="0" w:space="0" w:color="auto"/>
                <w:right w:val="none" w:sz="0" w:space="0" w:color="auto"/>
              </w:divBdr>
            </w:div>
          </w:divsChild>
        </w:div>
        <w:div w:id="1200894530">
          <w:marLeft w:val="120"/>
          <w:marRight w:val="0"/>
          <w:marTop w:val="120"/>
          <w:marBottom w:val="120"/>
          <w:divBdr>
            <w:top w:val="none" w:sz="0" w:space="0" w:color="auto"/>
            <w:left w:val="none" w:sz="0" w:space="0" w:color="auto"/>
            <w:bottom w:val="none" w:sz="0" w:space="0" w:color="auto"/>
            <w:right w:val="none" w:sz="0" w:space="0" w:color="auto"/>
          </w:divBdr>
          <w:divsChild>
            <w:div w:id="1929538272">
              <w:marLeft w:val="0"/>
              <w:marRight w:val="0"/>
              <w:marTop w:val="0"/>
              <w:marBottom w:val="0"/>
              <w:divBdr>
                <w:top w:val="none" w:sz="0" w:space="0" w:color="auto"/>
                <w:left w:val="none" w:sz="0" w:space="0" w:color="auto"/>
                <w:bottom w:val="none" w:sz="0" w:space="0" w:color="auto"/>
                <w:right w:val="none" w:sz="0" w:space="0" w:color="auto"/>
              </w:divBdr>
            </w:div>
          </w:divsChild>
        </w:div>
        <w:div w:id="689722739">
          <w:marLeft w:val="120"/>
          <w:marRight w:val="0"/>
          <w:marTop w:val="120"/>
          <w:marBottom w:val="120"/>
          <w:divBdr>
            <w:top w:val="none" w:sz="0" w:space="0" w:color="auto"/>
            <w:left w:val="none" w:sz="0" w:space="0" w:color="auto"/>
            <w:bottom w:val="none" w:sz="0" w:space="0" w:color="auto"/>
            <w:right w:val="none" w:sz="0" w:space="0" w:color="auto"/>
          </w:divBdr>
          <w:divsChild>
            <w:div w:id="565845595">
              <w:marLeft w:val="0"/>
              <w:marRight w:val="0"/>
              <w:marTop w:val="0"/>
              <w:marBottom w:val="0"/>
              <w:divBdr>
                <w:top w:val="none" w:sz="0" w:space="0" w:color="auto"/>
                <w:left w:val="none" w:sz="0" w:space="0" w:color="auto"/>
                <w:bottom w:val="none" w:sz="0" w:space="0" w:color="auto"/>
                <w:right w:val="none" w:sz="0" w:space="0" w:color="auto"/>
              </w:divBdr>
            </w:div>
          </w:divsChild>
        </w:div>
        <w:div w:id="253706694">
          <w:marLeft w:val="120"/>
          <w:marRight w:val="0"/>
          <w:marTop w:val="120"/>
          <w:marBottom w:val="120"/>
          <w:divBdr>
            <w:top w:val="none" w:sz="0" w:space="0" w:color="auto"/>
            <w:left w:val="none" w:sz="0" w:space="0" w:color="auto"/>
            <w:bottom w:val="none" w:sz="0" w:space="0" w:color="auto"/>
            <w:right w:val="none" w:sz="0" w:space="0" w:color="auto"/>
          </w:divBdr>
          <w:divsChild>
            <w:div w:id="858740032">
              <w:marLeft w:val="0"/>
              <w:marRight w:val="0"/>
              <w:marTop w:val="0"/>
              <w:marBottom w:val="0"/>
              <w:divBdr>
                <w:top w:val="none" w:sz="0" w:space="0" w:color="auto"/>
                <w:left w:val="none" w:sz="0" w:space="0" w:color="auto"/>
                <w:bottom w:val="none" w:sz="0" w:space="0" w:color="auto"/>
                <w:right w:val="none" w:sz="0" w:space="0" w:color="auto"/>
              </w:divBdr>
            </w:div>
          </w:divsChild>
        </w:div>
        <w:div w:id="369955731">
          <w:marLeft w:val="120"/>
          <w:marRight w:val="0"/>
          <w:marTop w:val="120"/>
          <w:marBottom w:val="120"/>
          <w:divBdr>
            <w:top w:val="none" w:sz="0" w:space="0" w:color="auto"/>
            <w:left w:val="none" w:sz="0" w:space="0" w:color="auto"/>
            <w:bottom w:val="none" w:sz="0" w:space="0" w:color="auto"/>
            <w:right w:val="none" w:sz="0" w:space="0" w:color="auto"/>
          </w:divBdr>
          <w:divsChild>
            <w:div w:id="1936203649">
              <w:marLeft w:val="0"/>
              <w:marRight w:val="0"/>
              <w:marTop w:val="0"/>
              <w:marBottom w:val="0"/>
              <w:divBdr>
                <w:top w:val="none" w:sz="0" w:space="0" w:color="auto"/>
                <w:left w:val="none" w:sz="0" w:space="0" w:color="auto"/>
                <w:bottom w:val="none" w:sz="0" w:space="0" w:color="auto"/>
                <w:right w:val="none" w:sz="0" w:space="0" w:color="auto"/>
              </w:divBdr>
            </w:div>
          </w:divsChild>
        </w:div>
        <w:div w:id="2021274742">
          <w:marLeft w:val="120"/>
          <w:marRight w:val="0"/>
          <w:marTop w:val="120"/>
          <w:marBottom w:val="120"/>
          <w:divBdr>
            <w:top w:val="none" w:sz="0" w:space="0" w:color="auto"/>
            <w:left w:val="none" w:sz="0" w:space="0" w:color="auto"/>
            <w:bottom w:val="none" w:sz="0" w:space="0" w:color="auto"/>
            <w:right w:val="none" w:sz="0" w:space="0" w:color="auto"/>
          </w:divBdr>
          <w:divsChild>
            <w:div w:id="2075228265">
              <w:marLeft w:val="0"/>
              <w:marRight w:val="0"/>
              <w:marTop w:val="0"/>
              <w:marBottom w:val="0"/>
              <w:divBdr>
                <w:top w:val="none" w:sz="0" w:space="0" w:color="auto"/>
                <w:left w:val="none" w:sz="0" w:space="0" w:color="auto"/>
                <w:bottom w:val="none" w:sz="0" w:space="0" w:color="auto"/>
                <w:right w:val="none" w:sz="0" w:space="0" w:color="auto"/>
              </w:divBdr>
            </w:div>
          </w:divsChild>
        </w:div>
        <w:div w:id="569191011">
          <w:marLeft w:val="120"/>
          <w:marRight w:val="0"/>
          <w:marTop w:val="120"/>
          <w:marBottom w:val="120"/>
          <w:divBdr>
            <w:top w:val="none" w:sz="0" w:space="0" w:color="auto"/>
            <w:left w:val="none" w:sz="0" w:space="0" w:color="auto"/>
            <w:bottom w:val="none" w:sz="0" w:space="0" w:color="auto"/>
            <w:right w:val="none" w:sz="0" w:space="0" w:color="auto"/>
          </w:divBdr>
          <w:divsChild>
            <w:div w:id="499931477">
              <w:marLeft w:val="0"/>
              <w:marRight w:val="0"/>
              <w:marTop w:val="0"/>
              <w:marBottom w:val="0"/>
              <w:divBdr>
                <w:top w:val="none" w:sz="0" w:space="0" w:color="auto"/>
                <w:left w:val="none" w:sz="0" w:space="0" w:color="auto"/>
                <w:bottom w:val="none" w:sz="0" w:space="0" w:color="auto"/>
                <w:right w:val="none" w:sz="0" w:space="0" w:color="auto"/>
              </w:divBdr>
            </w:div>
          </w:divsChild>
        </w:div>
        <w:div w:id="456489435">
          <w:marLeft w:val="120"/>
          <w:marRight w:val="0"/>
          <w:marTop w:val="120"/>
          <w:marBottom w:val="120"/>
          <w:divBdr>
            <w:top w:val="none" w:sz="0" w:space="0" w:color="auto"/>
            <w:left w:val="none" w:sz="0" w:space="0" w:color="auto"/>
            <w:bottom w:val="none" w:sz="0" w:space="0" w:color="auto"/>
            <w:right w:val="none" w:sz="0" w:space="0" w:color="auto"/>
          </w:divBdr>
          <w:divsChild>
            <w:div w:id="438330953">
              <w:marLeft w:val="0"/>
              <w:marRight w:val="0"/>
              <w:marTop w:val="0"/>
              <w:marBottom w:val="0"/>
              <w:divBdr>
                <w:top w:val="none" w:sz="0" w:space="0" w:color="auto"/>
                <w:left w:val="none" w:sz="0" w:space="0" w:color="auto"/>
                <w:bottom w:val="none" w:sz="0" w:space="0" w:color="auto"/>
                <w:right w:val="none" w:sz="0" w:space="0" w:color="auto"/>
              </w:divBdr>
            </w:div>
          </w:divsChild>
        </w:div>
        <w:div w:id="432479259">
          <w:marLeft w:val="120"/>
          <w:marRight w:val="0"/>
          <w:marTop w:val="120"/>
          <w:marBottom w:val="120"/>
          <w:divBdr>
            <w:top w:val="none" w:sz="0" w:space="0" w:color="auto"/>
            <w:left w:val="none" w:sz="0" w:space="0" w:color="auto"/>
            <w:bottom w:val="none" w:sz="0" w:space="0" w:color="auto"/>
            <w:right w:val="none" w:sz="0" w:space="0" w:color="auto"/>
          </w:divBdr>
          <w:divsChild>
            <w:div w:id="2558567">
              <w:marLeft w:val="0"/>
              <w:marRight w:val="0"/>
              <w:marTop w:val="0"/>
              <w:marBottom w:val="0"/>
              <w:divBdr>
                <w:top w:val="none" w:sz="0" w:space="0" w:color="auto"/>
                <w:left w:val="none" w:sz="0" w:space="0" w:color="auto"/>
                <w:bottom w:val="none" w:sz="0" w:space="0" w:color="auto"/>
                <w:right w:val="none" w:sz="0" w:space="0" w:color="auto"/>
              </w:divBdr>
            </w:div>
          </w:divsChild>
        </w:div>
        <w:div w:id="1468431524">
          <w:marLeft w:val="120"/>
          <w:marRight w:val="0"/>
          <w:marTop w:val="120"/>
          <w:marBottom w:val="120"/>
          <w:divBdr>
            <w:top w:val="none" w:sz="0" w:space="0" w:color="auto"/>
            <w:left w:val="none" w:sz="0" w:space="0" w:color="auto"/>
            <w:bottom w:val="none" w:sz="0" w:space="0" w:color="auto"/>
            <w:right w:val="none" w:sz="0" w:space="0" w:color="auto"/>
          </w:divBdr>
          <w:divsChild>
            <w:div w:id="1404641945">
              <w:marLeft w:val="0"/>
              <w:marRight w:val="0"/>
              <w:marTop w:val="0"/>
              <w:marBottom w:val="0"/>
              <w:divBdr>
                <w:top w:val="none" w:sz="0" w:space="0" w:color="auto"/>
                <w:left w:val="none" w:sz="0" w:space="0" w:color="auto"/>
                <w:bottom w:val="none" w:sz="0" w:space="0" w:color="auto"/>
                <w:right w:val="none" w:sz="0" w:space="0" w:color="auto"/>
              </w:divBdr>
            </w:div>
          </w:divsChild>
        </w:div>
        <w:div w:id="722677079">
          <w:marLeft w:val="120"/>
          <w:marRight w:val="0"/>
          <w:marTop w:val="120"/>
          <w:marBottom w:val="120"/>
          <w:divBdr>
            <w:top w:val="none" w:sz="0" w:space="0" w:color="auto"/>
            <w:left w:val="none" w:sz="0" w:space="0" w:color="auto"/>
            <w:bottom w:val="none" w:sz="0" w:space="0" w:color="auto"/>
            <w:right w:val="none" w:sz="0" w:space="0" w:color="auto"/>
          </w:divBdr>
          <w:divsChild>
            <w:div w:id="1127091672">
              <w:marLeft w:val="0"/>
              <w:marRight w:val="0"/>
              <w:marTop w:val="0"/>
              <w:marBottom w:val="0"/>
              <w:divBdr>
                <w:top w:val="none" w:sz="0" w:space="0" w:color="auto"/>
                <w:left w:val="none" w:sz="0" w:space="0" w:color="auto"/>
                <w:bottom w:val="none" w:sz="0" w:space="0" w:color="auto"/>
                <w:right w:val="none" w:sz="0" w:space="0" w:color="auto"/>
              </w:divBdr>
            </w:div>
          </w:divsChild>
        </w:div>
        <w:div w:id="365059678">
          <w:marLeft w:val="120"/>
          <w:marRight w:val="0"/>
          <w:marTop w:val="120"/>
          <w:marBottom w:val="120"/>
          <w:divBdr>
            <w:top w:val="none" w:sz="0" w:space="0" w:color="auto"/>
            <w:left w:val="none" w:sz="0" w:space="0" w:color="auto"/>
            <w:bottom w:val="none" w:sz="0" w:space="0" w:color="auto"/>
            <w:right w:val="none" w:sz="0" w:space="0" w:color="auto"/>
          </w:divBdr>
          <w:divsChild>
            <w:div w:id="1977953060">
              <w:marLeft w:val="0"/>
              <w:marRight w:val="0"/>
              <w:marTop w:val="0"/>
              <w:marBottom w:val="0"/>
              <w:divBdr>
                <w:top w:val="none" w:sz="0" w:space="0" w:color="auto"/>
                <w:left w:val="none" w:sz="0" w:space="0" w:color="auto"/>
                <w:bottom w:val="none" w:sz="0" w:space="0" w:color="auto"/>
                <w:right w:val="none" w:sz="0" w:space="0" w:color="auto"/>
              </w:divBdr>
            </w:div>
          </w:divsChild>
        </w:div>
        <w:div w:id="298918485">
          <w:marLeft w:val="120"/>
          <w:marRight w:val="0"/>
          <w:marTop w:val="120"/>
          <w:marBottom w:val="120"/>
          <w:divBdr>
            <w:top w:val="none" w:sz="0" w:space="0" w:color="auto"/>
            <w:left w:val="none" w:sz="0" w:space="0" w:color="auto"/>
            <w:bottom w:val="none" w:sz="0" w:space="0" w:color="auto"/>
            <w:right w:val="none" w:sz="0" w:space="0" w:color="auto"/>
          </w:divBdr>
          <w:divsChild>
            <w:div w:id="1825198189">
              <w:marLeft w:val="0"/>
              <w:marRight w:val="0"/>
              <w:marTop w:val="0"/>
              <w:marBottom w:val="0"/>
              <w:divBdr>
                <w:top w:val="none" w:sz="0" w:space="0" w:color="auto"/>
                <w:left w:val="none" w:sz="0" w:space="0" w:color="auto"/>
                <w:bottom w:val="none" w:sz="0" w:space="0" w:color="auto"/>
                <w:right w:val="none" w:sz="0" w:space="0" w:color="auto"/>
              </w:divBdr>
            </w:div>
          </w:divsChild>
        </w:div>
        <w:div w:id="2094819752">
          <w:marLeft w:val="120"/>
          <w:marRight w:val="0"/>
          <w:marTop w:val="120"/>
          <w:marBottom w:val="120"/>
          <w:divBdr>
            <w:top w:val="none" w:sz="0" w:space="0" w:color="auto"/>
            <w:left w:val="none" w:sz="0" w:space="0" w:color="auto"/>
            <w:bottom w:val="none" w:sz="0" w:space="0" w:color="auto"/>
            <w:right w:val="none" w:sz="0" w:space="0" w:color="auto"/>
          </w:divBdr>
          <w:divsChild>
            <w:div w:id="829637797">
              <w:marLeft w:val="0"/>
              <w:marRight w:val="0"/>
              <w:marTop w:val="0"/>
              <w:marBottom w:val="0"/>
              <w:divBdr>
                <w:top w:val="none" w:sz="0" w:space="0" w:color="auto"/>
                <w:left w:val="none" w:sz="0" w:space="0" w:color="auto"/>
                <w:bottom w:val="none" w:sz="0" w:space="0" w:color="auto"/>
                <w:right w:val="none" w:sz="0" w:space="0" w:color="auto"/>
              </w:divBdr>
            </w:div>
          </w:divsChild>
        </w:div>
        <w:div w:id="48773514">
          <w:marLeft w:val="120"/>
          <w:marRight w:val="0"/>
          <w:marTop w:val="120"/>
          <w:marBottom w:val="120"/>
          <w:divBdr>
            <w:top w:val="none" w:sz="0" w:space="0" w:color="auto"/>
            <w:left w:val="none" w:sz="0" w:space="0" w:color="auto"/>
            <w:bottom w:val="none" w:sz="0" w:space="0" w:color="auto"/>
            <w:right w:val="none" w:sz="0" w:space="0" w:color="auto"/>
          </w:divBdr>
          <w:divsChild>
            <w:div w:id="1955018606">
              <w:marLeft w:val="0"/>
              <w:marRight w:val="0"/>
              <w:marTop w:val="0"/>
              <w:marBottom w:val="0"/>
              <w:divBdr>
                <w:top w:val="none" w:sz="0" w:space="0" w:color="auto"/>
                <w:left w:val="none" w:sz="0" w:space="0" w:color="auto"/>
                <w:bottom w:val="none" w:sz="0" w:space="0" w:color="auto"/>
                <w:right w:val="none" w:sz="0" w:space="0" w:color="auto"/>
              </w:divBdr>
            </w:div>
          </w:divsChild>
        </w:div>
        <w:div w:id="873153228">
          <w:marLeft w:val="120"/>
          <w:marRight w:val="0"/>
          <w:marTop w:val="120"/>
          <w:marBottom w:val="120"/>
          <w:divBdr>
            <w:top w:val="none" w:sz="0" w:space="0" w:color="auto"/>
            <w:left w:val="none" w:sz="0" w:space="0" w:color="auto"/>
            <w:bottom w:val="none" w:sz="0" w:space="0" w:color="auto"/>
            <w:right w:val="none" w:sz="0" w:space="0" w:color="auto"/>
          </w:divBdr>
          <w:divsChild>
            <w:div w:id="1851675158">
              <w:marLeft w:val="0"/>
              <w:marRight w:val="0"/>
              <w:marTop w:val="0"/>
              <w:marBottom w:val="0"/>
              <w:divBdr>
                <w:top w:val="none" w:sz="0" w:space="0" w:color="auto"/>
                <w:left w:val="none" w:sz="0" w:space="0" w:color="auto"/>
                <w:bottom w:val="none" w:sz="0" w:space="0" w:color="auto"/>
                <w:right w:val="none" w:sz="0" w:space="0" w:color="auto"/>
              </w:divBdr>
            </w:div>
          </w:divsChild>
        </w:div>
        <w:div w:id="1041780711">
          <w:marLeft w:val="120"/>
          <w:marRight w:val="0"/>
          <w:marTop w:val="120"/>
          <w:marBottom w:val="120"/>
          <w:divBdr>
            <w:top w:val="none" w:sz="0" w:space="0" w:color="auto"/>
            <w:left w:val="none" w:sz="0" w:space="0" w:color="auto"/>
            <w:bottom w:val="none" w:sz="0" w:space="0" w:color="auto"/>
            <w:right w:val="none" w:sz="0" w:space="0" w:color="auto"/>
          </w:divBdr>
          <w:divsChild>
            <w:div w:id="792097668">
              <w:marLeft w:val="0"/>
              <w:marRight w:val="0"/>
              <w:marTop w:val="0"/>
              <w:marBottom w:val="0"/>
              <w:divBdr>
                <w:top w:val="none" w:sz="0" w:space="0" w:color="auto"/>
                <w:left w:val="none" w:sz="0" w:space="0" w:color="auto"/>
                <w:bottom w:val="none" w:sz="0" w:space="0" w:color="auto"/>
                <w:right w:val="none" w:sz="0" w:space="0" w:color="auto"/>
              </w:divBdr>
            </w:div>
          </w:divsChild>
        </w:div>
        <w:div w:id="1829249411">
          <w:marLeft w:val="120"/>
          <w:marRight w:val="0"/>
          <w:marTop w:val="120"/>
          <w:marBottom w:val="120"/>
          <w:divBdr>
            <w:top w:val="none" w:sz="0" w:space="0" w:color="auto"/>
            <w:left w:val="none" w:sz="0" w:space="0" w:color="auto"/>
            <w:bottom w:val="none" w:sz="0" w:space="0" w:color="auto"/>
            <w:right w:val="none" w:sz="0" w:space="0" w:color="auto"/>
          </w:divBdr>
          <w:divsChild>
            <w:div w:id="108009056">
              <w:marLeft w:val="0"/>
              <w:marRight w:val="0"/>
              <w:marTop w:val="0"/>
              <w:marBottom w:val="0"/>
              <w:divBdr>
                <w:top w:val="none" w:sz="0" w:space="0" w:color="auto"/>
                <w:left w:val="none" w:sz="0" w:space="0" w:color="auto"/>
                <w:bottom w:val="none" w:sz="0" w:space="0" w:color="auto"/>
                <w:right w:val="none" w:sz="0" w:space="0" w:color="auto"/>
              </w:divBdr>
              <w:divsChild>
                <w:div w:id="169780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5849">
          <w:marLeft w:val="120"/>
          <w:marRight w:val="0"/>
          <w:marTop w:val="120"/>
          <w:marBottom w:val="120"/>
          <w:divBdr>
            <w:top w:val="none" w:sz="0" w:space="0" w:color="auto"/>
            <w:left w:val="none" w:sz="0" w:space="0" w:color="auto"/>
            <w:bottom w:val="none" w:sz="0" w:space="0" w:color="auto"/>
            <w:right w:val="none" w:sz="0" w:space="0" w:color="auto"/>
          </w:divBdr>
          <w:divsChild>
            <w:div w:id="853497431">
              <w:marLeft w:val="0"/>
              <w:marRight w:val="0"/>
              <w:marTop w:val="0"/>
              <w:marBottom w:val="0"/>
              <w:divBdr>
                <w:top w:val="none" w:sz="0" w:space="0" w:color="auto"/>
                <w:left w:val="none" w:sz="0" w:space="0" w:color="auto"/>
                <w:bottom w:val="none" w:sz="0" w:space="0" w:color="auto"/>
                <w:right w:val="none" w:sz="0" w:space="0" w:color="auto"/>
              </w:divBdr>
            </w:div>
          </w:divsChild>
        </w:div>
        <w:div w:id="712735958">
          <w:marLeft w:val="120"/>
          <w:marRight w:val="0"/>
          <w:marTop w:val="120"/>
          <w:marBottom w:val="120"/>
          <w:divBdr>
            <w:top w:val="none" w:sz="0" w:space="0" w:color="auto"/>
            <w:left w:val="none" w:sz="0" w:space="0" w:color="auto"/>
            <w:bottom w:val="none" w:sz="0" w:space="0" w:color="auto"/>
            <w:right w:val="none" w:sz="0" w:space="0" w:color="auto"/>
          </w:divBdr>
          <w:divsChild>
            <w:div w:id="752354762">
              <w:marLeft w:val="0"/>
              <w:marRight w:val="0"/>
              <w:marTop w:val="0"/>
              <w:marBottom w:val="0"/>
              <w:divBdr>
                <w:top w:val="none" w:sz="0" w:space="0" w:color="auto"/>
                <w:left w:val="none" w:sz="0" w:space="0" w:color="auto"/>
                <w:bottom w:val="none" w:sz="0" w:space="0" w:color="auto"/>
                <w:right w:val="none" w:sz="0" w:space="0" w:color="auto"/>
              </w:divBdr>
            </w:div>
          </w:divsChild>
        </w:div>
        <w:div w:id="1779064581">
          <w:marLeft w:val="120"/>
          <w:marRight w:val="0"/>
          <w:marTop w:val="120"/>
          <w:marBottom w:val="120"/>
          <w:divBdr>
            <w:top w:val="none" w:sz="0" w:space="0" w:color="auto"/>
            <w:left w:val="none" w:sz="0" w:space="0" w:color="auto"/>
            <w:bottom w:val="none" w:sz="0" w:space="0" w:color="auto"/>
            <w:right w:val="none" w:sz="0" w:space="0" w:color="auto"/>
          </w:divBdr>
          <w:divsChild>
            <w:div w:id="1548296937">
              <w:marLeft w:val="0"/>
              <w:marRight w:val="0"/>
              <w:marTop w:val="0"/>
              <w:marBottom w:val="0"/>
              <w:divBdr>
                <w:top w:val="none" w:sz="0" w:space="0" w:color="auto"/>
                <w:left w:val="none" w:sz="0" w:space="0" w:color="auto"/>
                <w:bottom w:val="none" w:sz="0" w:space="0" w:color="auto"/>
                <w:right w:val="none" w:sz="0" w:space="0" w:color="auto"/>
              </w:divBdr>
            </w:div>
          </w:divsChild>
        </w:div>
        <w:div w:id="1953054414">
          <w:marLeft w:val="120"/>
          <w:marRight w:val="0"/>
          <w:marTop w:val="120"/>
          <w:marBottom w:val="120"/>
          <w:divBdr>
            <w:top w:val="none" w:sz="0" w:space="0" w:color="auto"/>
            <w:left w:val="none" w:sz="0" w:space="0" w:color="auto"/>
            <w:bottom w:val="none" w:sz="0" w:space="0" w:color="auto"/>
            <w:right w:val="none" w:sz="0" w:space="0" w:color="auto"/>
          </w:divBdr>
          <w:divsChild>
            <w:div w:id="1779255261">
              <w:marLeft w:val="0"/>
              <w:marRight w:val="0"/>
              <w:marTop w:val="0"/>
              <w:marBottom w:val="0"/>
              <w:divBdr>
                <w:top w:val="none" w:sz="0" w:space="0" w:color="auto"/>
                <w:left w:val="none" w:sz="0" w:space="0" w:color="auto"/>
                <w:bottom w:val="none" w:sz="0" w:space="0" w:color="auto"/>
                <w:right w:val="none" w:sz="0" w:space="0" w:color="auto"/>
              </w:divBdr>
            </w:div>
          </w:divsChild>
        </w:div>
        <w:div w:id="100927529">
          <w:marLeft w:val="120"/>
          <w:marRight w:val="0"/>
          <w:marTop w:val="120"/>
          <w:marBottom w:val="120"/>
          <w:divBdr>
            <w:top w:val="none" w:sz="0" w:space="0" w:color="auto"/>
            <w:left w:val="none" w:sz="0" w:space="0" w:color="auto"/>
            <w:bottom w:val="none" w:sz="0" w:space="0" w:color="auto"/>
            <w:right w:val="none" w:sz="0" w:space="0" w:color="auto"/>
          </w:divBdr>
          <w:divsChild>
            <w:div w:id="48890090">
              <w:marLeft w:val="0"/>
              <w:marRight w:val="0"/>
              <w:marTop w:val="0"/>
              <w:marBottom w:val="0"/>
              <w:divBdr>
                <w:top w:val="none" w:sz="0" w:space="0" w:color="auto"/>
                <w:left w:val="none" w:sz="0" w:space="0" w:color="auto"/>
                <w:bottom w:val="none" w:sz="0" w:space="0" w:color="auto"/>
                <w:right w:val="none" w:sz="0" w:space="0" w:color="auto"/>
              </w:divBdr>
            </w:div>
          </w:divsChild>
        </w:div>
        <w:div w:id="2011711056">
          <w:marLeft w:val="120"/>
          <w:marRight w:val="0"/>
          <w:marTop w:val="120"/>
          <w:marBottom w:val="120"/>
          <w:divBdr>
            <w:top w:val="none" w:sz="0" w:space="0" w:color="auto"/>
            <w:left w:val="none" w:sz="0" w:space="0" w:color="auto"/>
            <w:bottom w:val="none" w:sz="0" w:space="0" w:color="auto"/>
            <w:right w:val="none" w:sz="0" w:space="0" w:color="auto"/>
          </w:divBdr>
          <w:divsChild>
            <w:div w:id="333536789">
              <w:marLeft w:val="0"/>
              <w:marRight w:val="0"/>
              <w:marTop w:val="0"/>
              <w:marBottom w:val="0"/>
              <w:divBdr>
                <w:top w:val="none" w:sz="0" w:space="0" w:color="auto"/>
                <w:left w:val="none" w:sz="0" w:space="0" w:color="auto"/>
                <w:bottom w:val="none" w:sz="0" w:space="0" w:color="auto"/>
                <w:right w:val="none" w:sz="0" w:space="0" w:color="auto"/>
              </w:divBdr>
            </w:div>
          </w:divsChild>
        </w:div>
        <w:div w:id="1668173118">
          <w:marLeft w:val="120"/>
          <w:marRight w:val="0"/>
          <w:marTop w:val="120"/>
          <w:marBottom w:val="120"/>
          <w:divBdr>
            <w:top w:val="none" w:sz="0" w:space="0" w:color="auto"/>
            <w:left w:val="none" w:sz="0" w:space="0" w:color="auto"/>
            <w:bottom w:val="none" w:sz="0" w:space="0" w:color="auto"/>
            <w:right w:val="none" w:sz="0" w:space="0" w:color="auto"/>
          </w:divBdr>
          <w:divsChild>
            <w:div w:id="119348912">
              <w:marLeft w:val="0"/>
              <w:marRight w:val="0"/>
              <w:marTop w:val="0"/>
              <w:marBottom w:val="0"/>
              <w:divBdr>
                <w:top w:val="none" w:sz="0" w:space="0" w:color="auto"/>
                <w:left w:val="none" w:sz="0" w:space="0" w:color="auto"/>
                <w:bottom w:val="none" w:sz="0" w:space="0" w:color="auto"/>
                <w:right w:val="none" w:sz="0" w:space="0" w:color="auto"/>
              </w:divBdr>
            </w:div>
          </w:divsChild>
        </w:div>
        <w:div w:id="1843426593">
          <w:marLeft w:val="120"/>
          <w:marRight w:val="0"/>
          <w:marTop w:val="120"/>
          <w:marBottom w:val="120"/>
          <w:divBdr>
            <w:top w:val="none" w:sz="0" w:space="0" w:color="auto"/>
            <w:left w:val="none" w:sz="0" w:space="0" w:color="auto"/>
            <w:bottom w:val="none" w:sz="0" w:space="0" w:color="auto"/>
            <w:right w:val="none" w:sz="0" w:space="0" w:color="auto"/>
          </w:divBdr>
          <w:divsChild>
            <w:div w:id="1921939674">
              <w:marLeft w:val="0"/>
              <w:marRight w:val="0"/>
              <w:marTop w:val="0"/>
              <w:marBottom w:val="0"/>
              <w:divBdr>
                <w:top w:val="none" w:sz="0" w:space="0" w:color="auto"/>
                <w:left w:val="none" w:sz="0" w:space="0" w:color="auto"/>
                <w:bottom w:val="none" w:sz="0" w:space="0" w:color="auto"/>
                <w:right w:val="none" w:sz="0" w:space="0" w:color="auto"/>
              </w:divBdr>
            </w:div>
          </w:divsChild>
        </w:div>
        <w:div w:id="932740418">
          <w:marLeft w:val="120"/>
          <w:marRight w:val="0"/>
          <w:marTop w:val="120"/>
          <w:marBottom w:val="120"/>
          <w:divBdr>
            <w:top w:val="none" w:sz="0" w:space="0" w:color="auto"/>
            <w:left w:val="none" w:sz="0" w:space="0" w:color="auto"/>
            <w:bottom w:val="none" w:sz="0" w:space="0" w:color="auto"/>
            <w:right w:val="none" w:sz="0" w:space="0" w:color="auto"/>
          </w:divBdr>
          <w:divsChild>
            <w:div w:id="724376766">
              <w:marLeft w:val="0"/>
              <w:marRight w:val="0"/>
              <w:marTop w:val="0"/>
              <w:marBottom w:val="0"/>
              <w:divBdr>
                <w:top w:val="none" w:sz="0" w:space="0" w:color="auto"/>
                <w:left w:val="none" w:sz="0" w:space="0" w:color="auto"/>
                <w:bottom w:val="none" w:sz="0" w:space="0" w:color="auto"/>
                <w:right w:val="none" w:sz="0" w:space="0" w:color="auto"/>
              </w:divBdr>
            </w:div>
          </w:divsChild>
        </w:div>
        <w:div w:id="1483740394">
          <w:marLeft w:val="120"/>
          <w:marRight w:val="0"/>
          <w:marTop w:val="120"/>
          <w:marBottom w:val="120"/>
          <w:divBdr>
            <w:top w:val="none" w:sz="0" w:space="0" w:color="auto"/>
            <w:left w:val="none" w:sz="0" w:space="0" w:color="auto"/>
            <w:bottom w:val="none" w:sz="0" w:space="0" w:color="auto"/>
            <w:right w:val="none" w:sz="0" w:space="0" w:color="auto"/>
          </w:divBdr>
          <w:divsChild>
            <w:div w:id="2024824144">
              <w:marLeft w:val="0"/>
              <w:marRight w:val="0"/>
              <w:marTop w:val="0"/>
              <w:marBottom w:val="0"/>
              <w:divBdr>
                <w:top w:val="none" w:sz="0" w:space="0" w:color="auto"/>
                <w:left w:val="none" w:sz="0" w:space="0" w:color="auto"/>
                <w:bottom w:val="none" w:sz="0" w:space="0" w:color="auto"/>
                <w:right w:val="none" w:sz="0" w:space="0" w:color="auto"/>
              </w:divBdr>
            </w:div>
          </w:divsChild>
        </w:div>
        <w:div w:id="1421171626">
          <w:marLeft w:val="120"/>
          <w:marRight w:val="0"/>
          <w:marTop w:val="120"/>
          <w:marBottom w:val="120"/>
          <w:divBdr>
            <w:top w:val="none" w:sz="0" w:space="0" w:color="auto"/>
            <w:left w:val="none" w:sz="0" w:space="0" w:color="auto"/>
            <w:bottom w:val="none" w:sz="0" w:space="0" w:color="auto"/>
            <w:right w:val="none" w:sz="0" w:space="0" w:color="auto"/>
          </w:divBdr>
          <w:divsChild>
            <w:div w:id="1864589805">
              <w:marLeft w:val="0"/>
              <w:marRight w:val="0"/>
              <w:marTop w:val="0"/>
              <w:marBottom w:val="0"/>
              <w:divBdr>
                <w:top w:val="none" w:sz="0" w:space="0" w:color="auto"/>
                <w:left w:val="none" w:sz="0" w:space="0" w:color="auto"/>
                <w:bottom w:val="none" w:sz="0" w:space="0" w:color="auto"/>
                <w:right w:val="none" w:sz="0" w:space="0" w:color="auto"/>
              </w:divBdr>
            </w:div>
          </w:divsChild>
        </w:div>
        <w:div w:id="71776573">
          <w:marLeft w:val="120"/>
          <w:marRight w:val="0"/>
          <w:marTop w:val="120"/>
          <w:marBottom w:val="120"/>
          <w:divBdr>
            <w:top w:val="none" w:sz="0" w:space="0" w:color="auto"/>
            <w:left w:val="none" w:sz="0" w:space="0" w:color="auto"/>
            <w:bottom w:val="none" w:sz="0" w:space="0" w:color="auto"/>
            <w:right w:val="none" w:sz="0" w:space="0" w:color="auto"/>
          </w:divBdr>
          <w:divsChild>
            <w:div w:id="816651896">
              <w:marLeft w:val="0"/>
              <w:marRight w:val="0"/>
              <w:marTop w:val="0"/>
              <w:marBottom w:val="0"/>
              <w:divBdr>
                <w:top w:val="none" w:sz="0" w:space="0" w:color="auto"/>
                <w:left w:val="none" w:sz="0" w:space="0" w:color="auto"/>
                <w:bottom w:val="none" w:sz="0" w:space="0" w:color="auto"/>
                <w:right w:val="none" w:sz="0" w:space="0" w:color="auto"/>
              </w:divBdr>
            </w:div>
          </w:divsChild>
        </w:div>
        <w:div w:id="826095420">
          <w:marLeft w:val="120"/>
          <w:marRight w:val="0"/>
          <w:marTop w:val="120"/>
          <w:marBottom w:val="120"/>
          <w:divBdr>
            <w:top w:val="none" w:sz="0" w:space="0" w:color="auto"/>
            <w:left w:val="none" w:sz="0" w:space="0" w:color="auto"/>
            <w:bottom w:val="none" w:sz="0" w:space="0" w:color="auto"/>
            <w:right w:val="none" w:sz="0" w:space="0" w:color="auto"/>
          </w:divBdr>
          <w:divsChild>
            <w:div w:id="2097826826">
              <w:marLeft w:val="0"/>
              <w:marRight w:val="0"/>
              <w:marTop w:val="0"/>
              <w:marBottom w:val="0"/>
              <w:divBdr>
                <w:top w:val="none" w:sz="0" w:space="0" w:color="auto"/>
                <w:left w:val="none" w:sz="0" w:space="0" w:color="auto"/>
                <w:bottom w:val="none" w:sz="0" w:space="0" w:color="auto"/>
                <w:right w:val="none" w:sz="0" w:space="0" w:color="auto"/>
              </w:divBdr>
            </w:div>
          </w:divsChild>
        </w:div>
        <w:div w:id="666246512">
          <w:marLeft w:val="120"/>
          <w:marRight w:val="0"/>
          <w:marTop w:val="120"/>
          <w:marBottom w:val="120"/>
          <w:divBdr>
            <w:top w:val="none" w:sz="0" w:space="0" w:color="auto"/>
            <w:left w:val="none" w:sz="0" w:space="0" w:color="auto"/>
            <w:bottom w:val="none" w:sz="0" w:space="0" w:color="auto"/>
            <w:right w:val="none" w:sz="0" w:space="0" w:color="auto"/>
          </w:divBdr>
          <w:divsChild>
            <w:div w:id="149371052">
              <w:marLeft w:val="0"/>
              <w:marRight w:val="0"/>
              <w:marTop w:val="0"/>
              <w:marBottom w:val="0"/>
              <w:divBdr>
                <w:top w:val="none" w:sz="0" w:space="0" w:color="auto"/>
                <w:left w:val="none" w:sz="0" w:space="0" w:color="auto"/>
                <w:bottom w:val="none" w:sz="0" w:space="0" w:color="auto"/>
                <w:right w:val="none" w:sz="0" w:space="0" w:color="auto"/>
              </w:divBdr>
            </w:div>
          </w:divsChild>
        </w:div>
        <w:div w:id="260459109">
          <w:marLeft w:val="120"/>
          <w:marRight w:val="0"/>
          <w:marTop w:val="120"/>
          <w:marBottom w:val="120"/>
          <w:divBdr>
            <w:top w:val="none" w:sz="0" w:space="0" w:color="auto"/>
            <w:left w:val="none" w:sz="0" w:space="0" w:color="auto"/>
            <w:bottom w:val="none" w:sz="0" w:space="0" w:color="auto"/>
            <w:right w:val="none" w:sz="0" w:space="0" w:color="auto"/>
          </w:divBdr>
          <w:divsChild>
            <w:div w:id="1858108929">
              <w:marLeft w:val="0"/>
              <w:marRight w:val="0"/>
              <w:marTop w:val="0"/>
              <w:marBottom w:val="0"/>
              <w:divBdr>
                <w:top w:val="none" w:sz="0" w:space="0" w:color="auto"/>
                <w:left w:val="none" w:sz="0" w:space="0" w:color="auto"/>
                <w:bottom w:val="none" w:sz="0" w:space="0" w:color="auto"/>
                <w:right w:val="none" w:sz="0" w:space="0" w:color="auto"/>
              </w:divBdr>
            </w:div>
          </w:divsChild>
        </w:div>
        <w:div w:id="1298680342">
          <w:marLeft w:val="120"/>
          <w:marRight w:val="0"/>
          <w:marTop w:val="120"/>
          <w:marBottom w:val="120"/>
          <w:divBdr>
            <w:top w:val="none" w:sz="0" w:space="0" w:color="auto"/>
            <w:left w:val="none" w:sz="0" w:space="0" w:color="auto"/>
            <w:bottom w:val="none" w:sz="0" w:space="0" w:color="auto"/>
            <w:right w:val="none" w:sz="0" w:space="0" w:color="auto"/>
          </w:divBdr>
          <w:divsChild>
            <w:div w:id="315231862">
              <w:marLeft w:val="0"/>
              <w:marRight w:val="0"/>
              <w:marTop w:val="0"/>
              <w:marBottom w:val="0"/>
              <w:divBdr>
                <w:top w:val="none" w:sz="0" w:space="0" w:color="auto"/>
                <w:left w:val="none" w:sz="0" w:space="0" w:color="auto"/>
                <w:bottom w:val="none" w:sz="0" w:space="0" w:color="auto"/>
                <w:right w:val="none" w:sz="0" w:space="0" w:color="auto"/>
              </w:divBdr>
            </w:div>
          </w:divsChild>
        </w:div>
        <w:div w:id="502283588">
          <w:marLeft w:val="120"/>
          <w:marRight w:val="0"/>
          <w:marTop w:val="120"/>
          <w:marBottom w:val="120"/>
          <w:divBdr>
            <w:top w:val="none" w:sz="0" w:space="0" w:color="auto"/>
            <w:left w:val="none" w:sz="0" w:space="0" w:color="auto"/>
            <w:bottom w:val="none" w:sz="0" w:space="0" w:color="auto"/>
            <w:right w:val="none" w:sz="0" w:space="0" w:color="auto"/>
          </w:divBdr>
          <w:divsChild>
            <w:div w:id="1565527428">
              <w:marLeft w:val="0"/>
              <w:marRight w:val="0"/>
              <w:marTop w:val="0"/>
              <w:marBottom w:val="0"/>
              <w:divBdr>
                <w:top w:val="none" w:sz="0" w:space="0" w:color="auto"/>
                <w:left w:val="none" w:sz="0" w:space="0" w:color="auto"/>
                <w:bottom w:val="none" w:sz="0" w:space="0" w:color="auto"/>
                <w:right w:val="none" w:sz="0" w:space="0" w:color="auto"/>
              </w:divBdr>
            </w:div>
          </w:divsChild>
        </w:div>
        <w:div w:id="1503162932">
          <w:marLeft w:val="120"/>
          <w:marRight w:val="0"/>
          <w:marTop w:val="120"/>
          <w:marBottom w:val="120"/>
          <w:divBdr>
            <w:top w:val="none" w:sz="0" w:space="0" w:color="auto"/>
            <w:left w:val="none" w:sz="0" w:space="0" w:color="auto"/>
            <w:bottom w:val="none" w:sz="0" w:space="0" w:color="auto"/>
            <w:right w:val="none" w:sz="0" w:space="0" w:color="auto"/>
          </w:divBdr>
          <w:divsChild>
            <w:div w:id="2016153757">
              <w:marLeft w:val="0"/>
              <w:marRight w:val="0"/>
              <w:marTop w:val="0"/>
              <w:marBottom w:val="0"/>
              <w:divBdr>
                <w:top w:val="none" w:sz="0" w:space="0" w:color="auto"/>
                <w:left w:val="none" w:sz="0" w:space="0" w:color="auto"/>
                <w:bottom w:val="none" w:sz="0" w:space="0" w:color="auto"/>
                <w:right w:val="none" w:sz="0" w:space="0" w:color="auto"/>
              </w:divBdr>
            </w:div>
          </w:divsChild>
        </w:div>
        <w:div w:id="1503541613">
          <w:marLeft w:val="120"/>
          <w:marRight w:val="0"/>
          <w:marTop w:val="120"/>
          <w:marBottom w:val="120"/>
          <w:divBdr>
            <w:top w:val="none" w:sz="0" w:space="0" w:color="auto"/>
            <w:left w:val="none" w:sz="0" w:space="0" w:color="auto"/>
            <w:bottom w:val="none" w:sz="0" w:space="0" w:color="auto"/>
            <w:right w:val="none" w:sz="0" w:space="0" w:color="auto"/>
          </w:divBdr>
          <w:divsChild>
            <w:div w:id="1792900090">
              <w:marLeft w:val="0"/>
              <w:marRight w:val="0"/>
              <w:marTop w:val="0"/>
              <w:marBottom w:val="0"/>
              <w:divBdr>
                <w:top w:val="none" w:sz="0" w:space="0" w:color="auto"/>
                <w:left w:val="none" w:sz="0" w:space="0" w:color="auto"/>
                <w:bottom w:val="none" w:sz="0" w:space="0" w:color="auto"/>
                <w:right w:val="none" w:sz="0" w:space="0" w:color="auto"/>
              </w:divBdr>
            </w:div>
          </w:divsChild>
        </w:div>
        <w:div w:id="1635911462">
          <w:marLeft w:val="120"/>
          <w:marRight w:val="0"/>
          <w:marTop w:val="120"/>
          <w:marBottom w:val="120"/>
          <w:divBdr>
            <w:top w:val="none" w:sz="0" w:space="0" w:color="auto"/>
            <w:left w:val="none" w:sz="0" w:space="0" w:color="auto"/>
            <w:bottom w:val="none" w:sz="0" w:space="0" w:color="auto"/>
            <w:right w:val="none" w:sz="0" w:space="0" w:color="auto"/>
          </w:divBdr>
          <w:divsChild>
            <w:div w:id="421951679">
              <w:marLeft w:val="0"/>
              <w:marRight w:val="0"/>
              <w:marTop w:val="0"/>
              <w:marBottom w:val="0"/>
              <w:divBdr>
                <w:top w:val="none" w:sz="0" w:space="0" w:color="auto"/>
                <w:left w:val="none" w:sz="0" w:space="0" w:color="auto"/>
                <w:bottom w:val="none" w:sz="0" w:space="0" w:color="auto"/>
                <w:right w:val="none" w:sz="0" w:space="0" w:color="auto"/>
              </w:divBdr>
            </w:div>
          </w:divsChild>
        </w:div>
        <w:div w:id="1808085409">
          <w:marLeft w:val="120"/>
          <w:marRight w:val="0"/>
          <w:marTop w:val="120"/>
          <w:marBottom w:val="120"/>
          <w:divBdr>
            <w:top w:val="none" w:sz="0" w:space="0" w:color="auto"/>
            <w:left w:val="none" w:sz="0" w:space="0" w:color="auto"/>
            <w:bottom w:val="none" w:sz="0" w:space="0" w:color="auto"/>
            <w:right w:val="none" w:sz="0" w:space="0" w:color="auto"/>
          </w:divBdr>
          <w:divsChild>
            <w:div w:id="1322196400">
              <w:marLeft w:val="0"/>
              <w:marRight w:val="0"/>
              <w:marTop w:val="0"/>
              <w:marBottom w:val="0"/>
              <w:divBdr>
                <w:top w:val="none" w:sz="0" w:space="0" w:color="auto"/>
                <w:left w:val="none" w:sz="0" w:space="0" w:color="auto"/>
                <w:bottom w:val="none" w:sz="0" w:space="0" w:color="auto"/>
                <w:right w:val="none" w:sz="0" w:space="0" w:color="auto"/>
              </w:divBdr>
            </w:div>
          </w:divsChild>
        </w:div>
        <w:div w:id="321859333">
          <w:marLeft w:val="120"/>
          <w:marRight w:val="0"/>
          <w:marTop w:val="120"/>
          <w:marBottom w:val="120"/>
          <w:divBdr>
            <w:top w:val="none" w:sz="0" w:space="0" w:color="auto"/>
            <w:left w:val="none" w:sz="0" w:space="0" w:color="auto"/>
            <w:bottom w:val="none" w:sz="0" w:space="0" w:color="auto"/>
            <w:right w:val="none" w:sz="0" w:space="0" w:color="auto"/>
          </w:divBdr>
          <w:divsChild>
            <w:div w:id="1910193003">
              <w:marLeft w:val="0"/>
              <w:marRight w:val="0"/>
              <w:marTop w:val="0"/>
              <w:marBottom w:val="0"/>
              <w:divBdr>
                <w:top w:val="none" w:sz="0" w:space="0" w:color="auto"/>
                <w:left w:val="none" w:sz="0" w:space="0" w:color="auto"/>
                <w:bottom w:val="none" w:sz="0" w:space="0" w:color="auto"/>
                <w:right w:val="none" w:sz="0" w:space="0" w:color="auto"/>
              </w:divBdr>
            </w:div>
          </w:divsChild>
        </w:div>
        <w:div w:id="214052590">
          <w:marLeft w:val="120"/>
          <w:marRight w:val="0"/>
          <w:marTop w:val="120"/>
          <w:marBottom w:val="120"/>
          <w:divBdr>
            <w:top w:val="none" w:sz="0" w:space="0" w:color="auto"/>
            <w:left w:val="none" w:sz="0" w:space="0" w:color="auto"/>
            <w:bottom w:val="none" w:sz="0" w:space="0" w:color="auto"/>
            <w:right w:val="none" w:sz="0" w:space="0" w:color="auto"/>
          </w:divBdr>
          <w:divsChild>
            <w:div w:id="1486891331">
              <w:marLeft w:val="0"/>
              <w:marRight w:val="0"/>
              <w:marTop w:val="0"/>
              <w:marBottom w:val="0"/>
              <w:divBdr>
                <w:top w:val="none" w:sz="0" w:space="0" w:color="auto"/>
                <w:left w:val="none" w:sz="0" w:space="0" w:color="auto"/>
                <w:bottom w:val="none" w:sz="0" w:space="0" w:color="auto"/>
                <w:right w:val="none" w:sz="0" w:space="0" w:color="auto"/>
              </w:divBdr>
            </w:div>
          </w:divsChild>
        </w:div>
        <w:div w:id="1427311486">
          <w:marLeft w:val="120"/>
          <w:marRight w:val="0"/>
          <w:marTop w:val="120"/>
          <w:marBottom w:val="120"/>
          <w:divBdr>
            <w:top w:val="none" w:sz="0" w:space="0" w:color="auto"/>
            <w:left w:val="none" w:sz="0" w:space="0" w:color="auto"/>
            <w:bottom w:val="none" w:sz="0" w:space="0" w:color="auto"/>
            <w:right w:val="none" w:sz="0" w:space="0" w:color="auto"/>
          </w:divBdr>
          <w:divsChild>
            <w:div w:id="1735543515">
              <w:marLeft w:val="0"/>
              <w:marRight w:val="0"/>
              <w:marTop w:val="0"/>
              <w:marBottom w:val="0"/>
              <w:divBdr>
                <w:top w:val="none" w:sz="0" w:space="0" w:color="auto"/>
                <w:left w:val="none" w:sz="0" w:space="0" w:color="auto"/>
                <w:bottom w:val="none" w:sz="0" w:space="0" w:color="auto"/>
                <w:right w:val="none" w:sz="0" w:space="0" w:color="auto"/>
              </w:divBdr>
            </w:div>
          </w:divsChild>
        </w:div>
        <w:div w:id="1884898674">
          <w:marLeft w:val="120"/>
          <w:marRight w:val="0"/>
          <w:marTop w:val="120"/>
          <w:marBottom w:val="120"/>
          <w:divBdr>
            <w:top w:val="none" w:sz="0" w:space="0" w:color="auto"/>
            <w:left w:val="none" w:sz="0" w:space="0" w:color="auto"/>
            <w:bottom w:val="none" w:sz="0" w:space="0" w:color="auto"/>
            <w:right w:val="none" w:sz="0" w:space="0" w:color="auto"/>
          </w:divBdr>
          <w:divsChild>
            <w:div w:id="1843665181">
              <w:marLeft w:val="0"/>
              <w:marRight w:val="0"/>
              <w:marTop w:val="0"/>
              <w:marBottom w:val="0"/>
              <w:divBdr>
                <w:top w:val="none" w:sz="0" w:space="0" w:color="auto"/>
                <w:left w:val="none" w:sz="0" w:space="0" w:color="auto"/>
                <w:bottom w:val="none" w:sz="0" w:space="0" w:color="auto"/>
                <w:right w:val="none" w:sz="0" w:space="0" w:color="auto"/>
              </w:divBdr>
            </w:div>
          </w:divsChild>
        </w:div>
        <w:div w:id="1510363101">
          <w:marLeft w:val="120"/>
          <w:marRight w:val="0"/>
          <w:marTop w:val="120"/>
          <w:marBottom w:val="120"/>
          <w:divBdr>
            <w:top w:val="none" w:sz="0" w:space="0" w:color="auto"/>
            <w:left w:val="none" w:sz="0" w:space="0" w:color="auto"/>
            <w:bottom w:val="none" w:sz="0" w:space="0" w:color="auto"/>
            <w:right w:val="none" w:sz="0" w:space="0" w:color="auto"/>
          </w:divBdr>
          <w:divsChild>
            <w:div w:id="1285768386">
              <w:marLeft w:val="0"/>
              <w:marRight w:val="0"/>
              <w:marTop w:val="0"/>
              <w:marBottom w:val="0"/>
              <w:divBdr>
                <w:top w:val="none" w:sz="0" w:space="0" w:color="auto"/>
                <w:left w:val="none" w:sz="0" w:space="0" w:color="auto"/>
                <w:bottom w:val="none" w:sz="0" w:space="0" w:color="auto"/>
                <w:right w:val="none" w:sz="0" w:space="0" w:color="auto"/>
              </w:divBdr>
            </w:div>
          </w:divsChild>
        </w:div>
        <w:div w:id="83962690">
          <w:marLeft w:val="120"/>
          <w:marRight w:val="0"/>
          <w:marTop w:val="120"/>
          <w:marBottom w:val="120"/>
          <w:divBdr>
            <w:top w:val="none" w:sz="0" w:space="0" w:color="auto"/>
            <w:left w:val="none" w:sz="0" w:space="0" w:color="auto"/>
            <w:bottom w:val="none" w:sz="0" w:space="0" w:color="auto"/>
            <w:right w:val="none" w:sz="0" w:space="0" w:color="auto"/>
          </w:divBdr>
          <w:divsChild>
            <w:div w:id="1632008584">
              <w:marLeft w:val="0"/>
              <w:marRight w:val="0"/>
              <w:marTop w:val="0"/>
              <w:marBottom w:val="0"/>
              <w:divBdr>
                <w:top w:val="none" w:sz="0" w:space="0" w:color="auto"/>
                <w:left w:val="none" w:sz="0" w:space="0" w:color="auto"/>
                <w:bottom w:val="none" w:sz="0" w:space="0" w:color="auto"/>
                <w:right w:val="none" w:sz="0" w:space="0" w:color="auto"/>
              </w:divBdr>
            </w:div>
          </w:divsChild>
        </w:div>
        <w:div w:id="436368240">
          <w:marLeft w:val="120"/>
          <w:marRight w:val="0"/>
          <w:marTop w:val="120"/>
          <w:marBottom w:val="120"/>
          <w:divBdr>
            <w:top w:val="none" w:sz="0" w:space="0" w:color="auto"/>
            <w:left w:val="none" w:sz="0" w:space="0" w:color="auto"/>
            <w:bottom w:val="none" w:sz="0" w:space="0" w:color="auto"/>
            <w:right w:val="none" w:sz="0" w:space="0" w:color="auto"/>
          </w:divBdr>
          <w:divsChild>
            <w:div w:id="416824248">
              <w:marLeft w:val="0"/>
              <w:marRight w:val="0"/>
              <w:marTop w:val="0"/>
              <w:marBottom w:val="0"/>
              <w:divBdr>
                <w:top w:val="none" w:sz="0" w:space="0" w:color="auto"/>
                <w:left w:val="none" w:sz="0" w:space="0" w:color="auto"/>
                <w:bottom w:val="none" w:sz="0" w:space="0" w:color="auto"/>
                <w:right w:val="none" w:sz="0" w:space="0" w:color="auto"/>
              </w:divBdr>
            </w:div>
          </w:divsChild>
        </w:div>
        <w:div w:id="995648783">
          <w:marLeft w:val="120"/>
          <w:marRight w:val="0"/>
          <w:marTop w:val="120"/>
          <w:marBottom w:val="120"/>
          <w:divBdr>
            <w:top w:val="none" w:sz="0" w:space="0" w:color="auto"/>
            <w:left w:val="none" w:sz="0" w:space="0" w:color="auto"/>
            <w:bottom w:val="none" w:sz="0" w:space="0" w:color="auto"/>
            <w:right w:val="none" w:sz="0" w:space="0" w:color="auto"/>
          </w:divBdr>
          <w:divsChild>
            <w:div w:id="777483037">
              <w:marLeft w:val="0"/>
              <w:marRight w:val="0"/>
              <w:marTop w:val="0"/>
              <w:marBottom w:val="0"/>
              <w:divBdr>
                <w:top w:val="none" w:sz="0" w:space="0" w:color="auto"/>
                <w:left w:val="none" w:sz="0" w:space="0" w:color="auto"/>
                <w:bottom w:val="none" w:sz="0" w:space="0" w:color="auto"/>
                <w:right w:val="none" w:sz="0" w:space="0" w:color="auto"/>
              </w:divBdr>
            </w:div>
          </w:divsChild>
        </w:div>
        <w:div w:id="396589651">
          <w:marLeft w:val="120"/>
          <w:marRight w:val="0"/>
          <w:marTop w:val="120"/>
          <w:marBottom w:val="120"/>
          <w:divBdr>
            <w:top w:val="none" w:sz="0" w:space="0" w:color="auto"/>
            <w:left w:val="none" w:sz="0" w:space="0" w:color="auto"/>
            <w:bottom w:val="none" w:sz="0" w:space="0" w:color="auto"/>
            <w:right w:val="none" w:sz="0" w:space="0" w:color="auto"/>
          </w:divBdr>
          <w:divsChild>
            <w:div w:id="488323977">
              <w:marLeft w:val="0"/>
              <w:marRight w:val="0"/>
              <w:marTop w:val="0"/>
              <w:marBottom w:val="0"/>
              <w:divBdr>
                <w:top w:val="none" w:sz="0" w:space="0" w:color="auto"/>
                <w:left w:val="none" w:sz="0" w:space="0" w:color="auto"/>
                <w:bottom w:val="none" w:sz="0" w:space="0" w:color="auto"/>
                <w:right w:val="none" w:sz="0" w:space="0" w:color="auto"/>
              </w:divBdr>
            </w:div>
          </w:divsChild>
        </w:div>
        <w:div w:id="1309356053">
          <w:marLeft w:val="120"/>
          <w:marRight w:val="0"/>
          <w:marTop w:val="120"/>
          <w:marBottom w:val="120"/>
          <w:divBdr>
            <w:top w:val="none" w:sz="0" w:space="0" w:color="auto"/>
            <w:left w:val="none" w:sz="0" w:space="0" w:color="auto"/>
            <w:bottom w:val="none" w:sz="0" w:space="0" w:color="auto"/>
            <w:right w:val="none" w:sz="0" w:space="0" w:color="auto"/>
          </w:divBdr>
          <w:divsChild>
            <w:div w:id="184898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52</Pages>
  <Words>13824</Words>
  <Characters>76032</Characters>
  <Application>Microsoft Office Word</Application>
  <DocSecurity>0</DocSecurity>
  <Lines>633</Lines>
  <Paragraphs>179</Paragraphs>
  <ScaleCrop>false</ScaleCrop>
  <Company/>
  <LinksUpToDate>false</LinksUpToDate>
  <CharactersWithSpaces>89677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Loeffen, EAH (bkk)</cp:lastModifiedBy>
  <cp:revision>19</cp:revision>
  <dcterms:created xsi:type="dcterms:W3CDTF">2024-10-12T18:18:00Z</dcterms:created>
  <dcterms:modified xsi:type="dcterms:W3CDTF">2024-10-17T08:58:00Z</dcterms:modified>
</cp:coreProperties>
</file>