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1B0" w:rsidRPr="009771B0" w:rsidRDefault="009771B0" w:rsidP="009771B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en-US"/>
        </w:rPr>
      </w:pPr>
      <w:r w:rsidRPr="009771B0">
        <w:rPr>
          <w:rFonts w:ascii="Times New Roman" w:eastAsia="Calibri" w:hAnsi="Times New Roman" w:cs="Times New Roman"/>
          <w:b/>
          <w:bCs/>
          <w:sz w:val="36"/>
          <w:szCs w:val="36"/>
          <w:lang w:val="en-US"/>
        </w:rPr>
        <w:t>Supplementary material</w:t>
      </w:r>
    </w:p>
    <w:p w:rsidR="009771B0" w:rsidRDefault="009771B0" w:rsidP="009771B0">
      <w:pPr>
        <w:spacing w:line="276" w:lineRule="auto"/>
        <w:jc w:val="both"/>
        <w:rPr>
          <w:rFonts w:ascii="Times New Roman" w:hAnsi="Times New Roman" w:cs="Times New Roman"/>
          <w:sz w:val="20"/>
          <w:szCs w:val="36"/>
          <w:lang w:val="en-US"/>
        </w:rPr>
      </w:pPr>
      <w:r w:rsidRPr="009771B0">
        <w:rPr>
          <w:rFonts w:ascii="Times New Roman" w:eastAsia="Calibri" w:hAnsi="Times New Roman" w:cs="Times New Roman"/>
          <w:bCs/>
          <w:sz w:val="20"/>
          <w:szCs w:val="36"/>
          <w:lang w:val="en-US"/>
        </w:rPr>
        <w:t xml:space="preserve">Supplement to: </w:t>
      </w:r>
      <w:proofErr w:type="spellStart"/>
      <w:r w:rsidRPr="009771B0">
        <w:rPr>
          <w:rFonts w:ascii="Times New Roman" w:eastAsia="Calibri" w:hAnsi="Times New Roman" w:cs="Times New Roman"/>
          <w:bCs/>
          <w:sz w:val="20"/>
          <w:szCs w:val="36"/>
          <w:lang w:val="en-US"/>
        </w:rPr>
        <w:t>Antherieu</w:t>
      </w:r>
      <w:proofErr w:type="spellEnd"/>
      <w:r w:rsidRPr="009771B0">
        <w:rPr>
          <w:rFonts w:ascii="Times New Roman" w:eastAsia="Calibri" w:hAnsi="Times New Roman" w:cs="Times New Roman"/>
          <w:bCs/>
          <w:sz w:val="20"/>
          <w:szCs w:val="36"/>
          <w:lang w:val="en-US"/>
        </w:rPr>
        <w:t xml:space="preserve"> G et al. </w:t>
      </w:r>
      <w:r w:rsidRPr="009771B0">
        <w:rPr>
          <w:rFonts w:ascii="Times New Roman" w:eastAsia="Calibri" w:hAnsi="Times New Roman" w:cs="Times New Roman"/>
          <w:bCs/>
          <w:sz w:val="20"/>
          <w:szCs w:val="36"/>
          <w:lang w:val="en-US"/>
        </w:rPr>
        <w:t xml:space="preserve">Neutropenic events associated with new anticancer treatments, from pathophysiology to practice: a scoping review. </w:t>
      </w:r>
      <w:r w:rsidRPr="009771B0">
        <w:rPr>
          <w:rFonts w:ascii="Times New Roman" w:hAnsi="Times New Roman" w:cs="Times New Roman"/>
          <w:sz w:val="20"/>
          <w:szCs w:val="36"/>
          <w:lang w:val="en-US"/>
        </w:rPr>
        <w:t>NEW Group (Neutropenic Events Working Group)</w:t>
      </w: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keepNext/>
        <w:spacing w:before="5"/>
      </w:pPr>
      <w:r w:rsidRPr="00280952">
        <w:rPr>
          <w:rFonts w:ascii="Times New Roman"/>
          <w:sz w:val="2"/>
        </w:rPr>
        <w:drawing>
          <wp:inline distT="0" distB="0" distL="0" distR="0" wp14:anchorId="24F8773B" wp14:editId="461DCE3A">
            <wp:extent cx="5760720" cy="41783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952" w:rsidRDefault="00280952" w:rsidP="00280952">
      <w:pPr>
        <w:pStyle w:val="Lgende"/>
        <w:rPr>
          <w:rFonts w:ascii="Times New Roman"/>
          <w:sz w:val="2"/>
        </w:rPr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707ADF">
        <w:rPr>
          <w:noProof/>
        </w:rPr>
        <w:t>1</w:t>
      </w:r>
      <w:r>
        <w:fldChar w:fldCharType="end"/>
      </w:r>
      <w:r>
        <w:t xml:space="preserve"> : CDK4/6 </w:t>
      </w:r>
      <w:proofErr w:type="spellStart"/>
      <w:r>
        <w:t>inhibitors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of action</w:t>
      </w:r>
      <w:r w:rsidRPr="00280952">
        <w:rPr>
          <w:vertAlign w:val="superscript"/>
        </w:rPr>
        <w:t>2</w:t>
      </w: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706F79" w:rsidRDefault="00706F79" w:rsidP="00706F79">
      <w:pPr>
        <w:pStyle w:val="Corpsdetexte"/>
        <w:keepNext/>
        <w:spacing w:before="5"/>
      </w:pPr>
      <w:r w:rsidRPr="00706F79">
        <w:rPr>
          <w:rFonts w:ascii="Times New Roman"/>
          <w:sz w:val="2"/>
        </w:rPr>
        <w:lastRenderedPageBreak/>
        <w:drawing>
          <wp:inline distT="0" distB="0" distL="0" distR="0" wp14:anchorId="6D295BB1" wp14:editId="70424581">
            <wp:extent cx="5760720" cy="872934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2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952" w:rsidRDefault="00706F79" w:rsidP="00706F79">
      <w:pPr>
        <w:pStyle w:val="Lgende"/>
        <w:rPr>
          <w:rFonts w:ascii="Times New Roman"/>
          <w:sz w:val="2"/>
        </w:rPr>
      </w:pPr>
      <w:r>
        <w:t xml:space="preserve">Figure S2 : PARP </w:t>
      </w:r>
      <w:proofErr w:type="spellStart"/>
      <w:r>
        <w:t>inhibitors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of action</w:t>
      </w:r>
      <w:r w:rsidRPr="00706F79">
        <w:rPr>
          <w:vertAlign w:val="superscript"/>
        </w:rPr>
        <w:t>28-31</w:t>
      </w: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p w:rsidR="00280952" w:rsidRDefault="00280952" w:rsidP="00280952">
      <w:pPr>
        <w:pStyle w:val="Corpsdetexte"/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jc w:val="center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 w:firstRow="1" w:lastRow="1" w:firstColumn="1" w:lastColumn="1" w:noHBand="0" w:noVBand="0"/>
      </w:tblPr>
      <w:tblGrid>
        <w:gridCol w:w="4564"/>
        <w:gridCol w:w="1493"/>
        <w:gridCol w:w="1049"/>
        <w:gridCol w:w="2646"/>
      </w:tblGrid>
      <w:tr w:rsidR="00280952" w:rsidTr="0014014A">
        <w:trPr>
          <w:trHeight w:val="805"/>
          <w:jc w:val="center"/>
        </w:trPr>
        <w:tc>
          <w:tcPr>
            <w:tcW w:w="4564" w:type="dxa"/>
            <w:tcBorders>
              <w:left w:val="nil"/>
            </w:tcBorders>
          </w:tcPr>
          <w:p w:rsidR="00280952" w:rsidRDefault="00280952" w:rsidP="004B6C91">
            <w:pPr>
              <w:pStyle w:val="TableParagraph"/>
              <w:spacing w:before="23"/>
              <w:rPr>
                <w:rFonts w:ascii="Times New Roman"/>
                <w:sz w:val="24"/>
              </w:rPr>
            </w:pPr>
          </w:p>
          <w:p w:rsidR="00280952" w:rsidRDefault="00280952" w:rsidP="004B6C91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A270A4A" wp14:editId="36C28A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-193157</wp:posOffset>
                      </wp:positionV>
                      <wp:extent cx="6192520" cy="518159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92520" cy="518159"/>
                                <a:chOff x="0" y="0"/>
                                <a:chExt cx="6192520" cy="5181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53696" cy="514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8F21BE" id="Group 1" o:spid="_x0000_s1026" style="position:absolute;margin-left:0;margin-top:-15.2pt;width:487.6pt;height:40.8pt;z-index:-251657216;mso-wrap-distance-left:0;mso-wrap-distance-right:0" coordsize="61925,5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61536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0"/>
                <w:sz w:val="24"/>
              </w:rPr>
              <w:t>Mechanism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w w:val="90"/>
                <w:sz w:val="24"/>
              </w:rPr>
              <w:t>of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4"/>
              </w:rPr>
              <w:t>neutropenia</w:t>
            </w:r>
          </w:p>
        </w:tc>
        <w:tc>
          <w:tcPr>
            <w:tcW w:w="2542" w:type="dxa"/>
            <w:gridSpan w:val="2"/>
          </w:tcPr>
          <w:p w:rsidR="00280952" w:rsidRDefault="00280952" w:rsidP="004B6C91">
            <w:pPr>
              <w:pStyle w:val="TableParagraph"/>
              <w:spacing w:before="155" w:line="249" w:lineRule="auto"/>
              <w:ind w:left="725" w:right="616" w:hanging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w w:val="90"/>
                <w:sz w:val="24"/>
              </w:rPr>
              <w:t xml:space="preserve">Neutropenia </w:t>
            </w:r>
            <w:r>
              <w:rPr>
                <w:b/>
                <w:color w:val="FFFFFF"/>
                <w:spacing w:val="-2"/>
                <w:sz w:val="24"/>
              </w:rPr>
              <w:t>incidence*</w:t>
            </w:r>
          </w:p>
        </w:tc>
        <w:tc>
          <w:tcPr>
            <w:tcW w:w="2646" w:type="dxa"/>
            <w:tcBorders>
              <w:right w:val="nil"/>
            </w:tcBorders>
          </w:tcPr>
          <w:p w:rsidR="00280952" w:rsidRDefault="00280952" w:rsidP="004B6C91">
            <w:pPr>
              <w:pStyle w:val="TableParagraph"/>
              <w:spacing w:before="155" w:line="249" w:lineRule="auto"/>
              <w:ind w:left="630" w:right="363" w:firstLine="39"/>
              <w:rPr>
                <w:b/>
                <w:sz w:val="24"/>
              </w:rPr>
            </w:pPr>
            <w:r>
              <w:rPr>
                <w:b/>
                <w:color w:val="FFFFFF"/>
                <w:spacing w:val="-8"/>
                <w:sz w:val="24"/>
              </w:rPr>
              <w:t xml:space="preserve">Neutropenia </w:t>
            </w:r>
            <w:r>
              <w:rPr>
                <w:b/>
                <w:color w:val="FFFFFF"/>
                <w:spacing w:val="-2"/>
                <w:w w:val="90"/>
                <w:sz w:val="24"/>
              </w:rPr>
              <w:t>management</w:t>
            </w:r>
          </w:p>
        </w:tc>
      </w:tr>
      <w:tr w:rsidR="00280952" w:rsidTr="0014014A">
        <w:trPr>
          <w:trHeight w:val="517"/>
          <w:jc w:val="center"/>
        </w:trPr>
        <w:tc>
          <w:tcPr>
            <w:tcW w:w="4564" w:type="dxa"/>
            <w:tcBorders>
              <w:left w:val="nil"/>
            </w:tcBorders>
            <w:shd w:val="clear" w:color="auto" w:fill="EEEEEF"/>
          </w:tcPr>
          <w:p w:rsidR="00280952" w:rsidRDefault="00280952" w:rsidP="004B6C91">
            <w:pPr>
              <w:pStyle w:val="TableParagraph"/>
              <w:spacing w:before="155"/>
              <w:ind w:left="113"/>
              <w:rPr>
                <w:sz w:val="24"/>
              </w:rPr>
            </w:pPr>
            <w:r>
              <w:rPr>
                <w:color w:val="44484E"/>
                <w:w w:val="90"/>
                <w:sz w:val="24"/>
              </w:rPr>
              <w:t>Decreased</w:t>
            </w:r>
            <w:r>
              <w:rPr>
                <w:color w:val="44484E"/>
                <w:spacing w:val="32"/>
                <w:sz w:val="24"/>
              </w:rPr>
              <w:t xml:space="preserve"> </w:t>
            </w:r>
            <w:r>
              <w:rPr>
                <w:color w:val="44484E"/>
                <w:w w:val="90"/>
                <w:sz w:val="24"/>
              </w:rPr>
              <w:t>granulocyte</w:t>
            </w:r>
            <w:r>
              <w:rPr>
                <w:color w:val="44484E"/>
                <w:spacing w:val="32"/>
                <w:sz w:val="24"/>
              </w:rPr>
              <w:t xml:space="preserve"> </w:t>
            </w:r>
            <w:r>
              <w:rPr>
                <w:color w:val="44484E"/>
                <w:w w:val="90"/>
                <w:sz w:val="24"/>
              </w:rPr>
              <w:t>generation</w:t>
            </w:r>
            <w:r>
              <w:rPr>
                <w:color w:val="44484E"/>
                <w:spacing w:val="32"/>
                <w:sz w:val="24"/>
              </w:rPr>
              <w:t xml:space="preserve"> </w:t>
            </w:r>
            <w:r>
              <w:rPr>
                <w:color w:val="44484E"/>
                <w:spacing w:val="-2"/>
                <w:w w:val="90"/>
                <w:sz w:val="24"/>
              </w:rPr>
              <w:t>capacity</w:t>
            </w:r>
          </w:p>
        </w:tc>
        <w:tc>
          <w:tcPr>
            <w:tcW w:w="1493" w:type="dxa"/>
            <w:vMerge w:val="restart"/>
            <w:shd w:val="clear" w:color="auto" w:fill="EEEEEF"/>
          </w:tcPr>
          <w:p w:rsidR="00280952" w:rsidRDefault="00280952" w:rsidP="004B6C91">
            <w:pPr>
              <w:pStyle w:val="TableParagraph"/>
              <w:spacing w:before="167"/>
              <w:rPr>
                <w:rFonts w:ascii="Times New Roman"/>
                <w:sz w:val="24"/>
              </w:rPr>
            </w:pPr>
          </w:p>
          <w:p w:rsidR="00280952" w:rsidRDefault="00280952" w:rsidP="004B6C91">
            <w:pPr>
              <w:pStyle w:val="TableParagraph"/>
              <w:ind w:left="300"/>
              <w:rPr>
                <w:sz w:val="24"/>
              </w:rPr>
            </w:pPr>
            <w:r>
              <w:rPr>
                <w:color w:val="44484E"/>
                <w:spacing w:val="-5"/>
                <w:sz w:val="24"/>
              </w:rPr>
              <w:t>All</w:t>
            </w:r>
            <w:r>
              <w:rPr>
                <w:color w:val="44484E"/>
                <w:spacing w:val="-13"/>
                <w:sz w:val="24"/>
              </w:rPr>
              <w:t xml:space="preserve"> </w:t>
            </w:r>
            <w:r>
              <w:rPr>
                <w:color w:val="44484E"/>
                <w:spacing w:val="-2"/>
                <w:sz w:val="24"/>
              </w:rPr>
              <w:t>grade</w:t>
            </w:r>
          </w:p>
        </w:tc>
        <w:tc>
          <w:tcPr>
            <w:tcW w:w="1049" w:type="dxa"/>
            <w:vMerge w:val="restart"/>
            <w:shd w:val="clear" w:color="auto" w:fill="EEEEEF"/>
          </w:tcPr>
          <w:p w:rsidR="00280952" w:rsidRDefault="00280952" w:rsidP="004B6C91">
            <w:pPr>
              <w:pStyle w:val="TableParagraph"/>
              <w:spacing w:before="167"/>
              <w:rPr>
                <w:rFonts w:ascii="Times New Roman"/>
                <w:sz w:val="24"/>
              </w:rPr>
            </w:pPr>
          </w:p>
          <w:p w:rsidR="00280952" w:rsidRDefault="00280952" w:rsidP="004B6C91">
            <w:pPr>
              <w:pStyle w:val="TableParagraph"/>
              <w:ind w:left="317"/>
              <w:rPr>
                <w:sz w:val="24"/>
              </w:rPr>
            </w:pPr>
            <w:r>
              <w:rPr>
                <w:color w:val="44484E"/>
                <w:spacing w:val="-5"/>
                <w:w w:val="95"/>
                <w:sz w:val="24"/>
              </w:rPr>
              <w:t>36%</w:t>
            </w:r>
          </w:p>
        </w:tc>
        <w:tc>
          <w:tcPr>
            <w:tcW w:w="2646" w:type="dxa"/>
            <w:vMerge w:val="restart"/>
            <w:tcBorders>
              <w:right w:val="nil"/>
            </w:tcBorders>
            <w:shd w:val="clear" w:color="auto" w:fill="EEEEEF"/>
          </w:tcPr>
          <w:p w:rsidR="00280952" w:rsidRDefault="00280952" w:rsidP="004B6C91">
            <w:pPr>
              <w:pStyle w:val="TableParagraph"/>
              <w:spacing w:before="155" w:line="249" w:lineRule="auto"/>
              <w:ind w:left="186" w:right="191"/>
              <w:jc w:val="center"/>
              <w:rPr>
                <w:sz w:val="24"/>
              </w:rPr>
            </w:pPr>
            <w:r>
              <w:rPr>
                <w:color w:val="44484E"/>
                <w:spacing w:val="-8"/>
                <w:sz w:val="24"/>
              </w:rPr>
              <w:t>There</w:t>
            </w:r>
            <w:r>
              <w:rPr>
                <w:color w:val="44484E"/>
                <w:spacing w:val="-14"/>
                <w:sz w:val="24"/>
              </w:rPr>
              <w:t xml:space="preserve"> </w:t>
            </w:r>
            <w:r>
              <w:rPr>
                <w:color w:val="44484E"/>
                <w:spacing w:val="-8"/>
                <w:sz w:val="24"/>
              </w:rPr>
              <w:t>is</w:t>
            </w:r>
            <w:r>
              <w:rPr>
                <w:color w:val="44484E"/>
                <w:spacing w:val="-14"/>
                <w:sz w:val="24"/>
              </w:rPr>
              <w:t xml:space="preserve"> </w:t>
            </w:r>
            <w:r>
              <w:rPr>
                <w:color w:val="44484E"/>
                <w:spacing w:val="-8"/>
                <w:sz w:val="24"/>
              </w:rPr>
              <w:t>no</w:t>
            </w:r>
            <w:r>
              <w:rPr>
                <w:color w:val="44484E"/>
                <w:spacing w:val="-14"/>
                <w:sz w:val="24"/>
              </w:rPr>
              <w:t xml:space="preserve"> </w:t>
            </w:r>
            <w:r>
              <w:rPr>
                <w:color w:val="44484E"/>
                <w:spacing w:val="-8"/>
                <w:sz w:val="24"/>
              </w:rPr>
              <w:t xml:space="preserve">argument </w:t>
            </w:r>
            <w:r>
              <w:rPr>
                <w:color w:val="44484E"/>
                <w:sz w:val="24"/>
              </w:rPr>
              <w:t>to support the use</w:t>
            </w:r>
          </w:p>
          <w:p w:rsidR="00280952" w:rsidRDefault="00280952" w:rsidP="004B6C91">
            <w:pPr>
              <w:pStyle w:val="TableParagraph"/>
              <w:spacing w:before="2"/>
              <w:ind w:left="187" w:right="191"/>
              <w:jc w:val="center"/>
              <w:rPr>
                <w:sz w:val="24"/>
              </w:rPr>
            </w:pPr>
            <w:r>
              <w:rPr>
                <w:color w:val="44484E"/>
                <w:sz w:val="24"/>
              </w:rPr>
              <w:t>of</w:t>
            </w:r>
            <w:r>
              <w:rPr>
                <w:color w:val="44484E"/>
                <w:spacing w:val="-8"/>
                <w:sz w:val="24"/>
              </w:rPr>
              <w:t xml:space="preserve"> </w:t>
            </w:r>
            <w:r>
              <w:rPr>
                <w:color w:val="44484E"/>
                <w:spacing w:val="-4"/>
                <w:sz w:val="24"/>
              </w:rPr>
              <w:t>GCSF</w:t>
            </w:r>
          </w:p>
        </w:tc>
      </w:tr>
      <w:tr w:rsidR="00280952" w:rsidTr="0014014A">
        <w:trPr>
          <w:trHeight w:val="566"/>
          <w:jc w:val="center"/>
        </w:trPr>
        <w:tc>
          <w:tcPr>
            <w:tcW w:w="4564" w:type="dxa"/>
            <w:tcBorders>
              <w:left w:val="nil"/>
            </w:tcBorders>
            <w:shd w:val="clear" w:color="auto" w:fill="EEEEEF"/>
          </w:tcPr>
          <w:p w:rsidR="00280952" w:rsidRDefault="00280952" w:rsidP="004B6C91">
            <w:pPr>
              <w:pStyle w:val="TableParagraph"/>
              <w:spacing w:before="179"/>
              <w:ind w:left="113"/>
              <w:rPr>
                <w:sz w:val="24"/>
              </w:rPr>
            </w:pPr>
            <w:r>
              <w:rPr>
                <w:color w:val="44484E"/>
                <w:w w:val="90"/>
                <w:sz w:val="24"/>
              </w:rPr>
              <w:t>Reduced</w:t>
            </w:r>
            <w:r>
              <w:rPr>
                <w:color w:val="44484E"/>
                <w:spacing w:val="-6"/>
                <w:sz w:val="24"/>
              </w:rPr>
              <w:t xml:space="preserve"> </w:t>
            </w:r>
            <w:r>
              <w:rPr>
                <w:color w:val="44484E"/>
                <w:w w:val="90"/>
                <w:sz w:val="24"/>
              </w:rPr>
              <w:t>resilience</w:t>
            </w:r>
            <w:r>
              <w:rPr>
                <w:color w:val="44484E"/>
                <w:spacing w:val="-5"/>
                <w:sz w:val="24"/>
              </w:rPr>
              <w:t xml:space="preserve"> </w:t>
            </w:r>
            <w:r>
              <w:rPr>
                <w:color w:val="44484E"/>
                <w:w w:val="90"/>
                <w:sz w:val="24"/>
              </w:rPr>
              <w:t>of</w:t>
            </w:r>
            <w:r>
              <w:rPr>
                <w:color w:val="44484E"/>
                <w:spacing w:val="-5"/>
                <w:sz w:val="24"/>
              </w:rPr>
              <w:t xml:space="preserve"> </w:t>
            </w:r>
            <w:r>
              <w:rPr>
                <w:color w:val="44484E"/>
                <w:w w:val="90"/>
                <w:sz w:val="24"/>
              </w:rPr>
              <w:t>CSH</w:t>
            </w:r>
            <w:r>
              <w:rPr>
                <w:color w:val="44484E"/>
                <w:spacing w:val="-6"/>
                <w:sz w:val="24"/>
              </w:rPr>
              <w:t xml:space="preserve"> </w:t>
            </w:r>
            <w:r>
              <w:rPr>
                <w:color w:val="44484E"/>
                <w:w w:val="90"/>
                <w:sz w:val="24"/>
              </w:rPr>
              <w:t>to</w:t>
            </w:r>
            <w:r>
              <w:rPr>
                <w:color w:val="44484E"/>
                <w:spacing w:val="-5"/>
                <w:sz w:val="24"/>
              </w:rPr>
              <w:t xml:space="preserve"> </w:t>
            </w:r>
            <w:r>
              <w:rPr>
                <w:color w:val="44484E"/>
                <w:w w:val="90"/>
                <w:sz w:val="24"/>
              </w:rPr>
              <w:t>DNA</w:t>
            </w:r>
            <w:r>
              <w:rPr>
                <w:color w:val="44484E"/>
                <w:spacing w:val="-5"/>
                <w:sz w:val="24"/>
              </w:rPr>
              <w:t xml:space="preserve"> </w:t>
            </w:r>
            <w:r>
              <w:rPr>
                <w:color w:val="44484E"/>
                <w:spacing w:val="-2"/>
                <w:w w:val="90"/>
                <w:sz w:val="24"/>
              </w:rPr>
              <w:t>damage</w:t>
            </w:r>
          </w:p>
        </w:tc>
        <w:tc>
          <w:tcPr>
            <w:tcW w:w="1493" w:type="dxa"/>
            <w:vMerge/>
            <w:tcBorders>
              <w:top w:val="nil"/>
            </w:tcBorders>
            <w:shd w:val="clear" w:color="auto" w:fill="EEEEEF"/>
          </w:tcPr>
          <w:p w:rsidR="00280952" w:rsidRDefault="00280952" w:rsidP="004B6C9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EEEEEF"/>
          </w:tcPr>
          <w:p w:rsidR="00280952" w:rsidRDefault="00280952" w:rsidP="004B6C91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  <w:vMerge/>
            <w:tcBorders>
              <w:top w:val="nil"/>
              <w:right w:val="nil"/>
            </w:tcBorders>
            <w:shd w:val="clear" w:color="auto" w:fill="EEEEEF"/>
          </w:tcPr>
          <w:p w:rsidR="00280952" w:rsidRDefault="00280952" w:rsidP="004B6C91">
            <w:pPr>
              <w:rPr>
                <w:sz w:val="2"/>
                <w:szCs w:val="2"/>
              </w:rPr>
            </w:pPr>
          </w:p>
        </w:tc>
      </w:tr>
      <w:tr w:rsidR="00280952" w:rsidTr="0014014A">
        <w:trPr>
          <w:trHeight w:val="805"/>
          <w:jc w:val="center"/>
        </w:trPr>
        <w:tc>
          <w:tcPr>
            <w:tcW w:w="4564" w:type="dxa"/>
            <w:tcBorders>
              <w:left w:val="nil"/>
            </w:tcBorders>
          </w:tcPr>
          <w:p w:rsidR="00280952" w:rsidRDefault="00280952" w:rsidP="004B6C91">
            <w:pPr>
              <w:pStyle w:val="TableParagraph"/>
              <w:spacing w:before="155" w:line="249" w:lineRule="auto"/>
              <w:ind w:left="113" w:right="1164"/>
              <w:rPr>
                <w:sz w:val="24"/>
              </w:rPr>
            </w:pPr>
            <w:r>
              <w:rPr>
                <w:color w:val="44484E"/>
                <w:spacing w:val="-4"/>
                <w:sz w:val="24"/>
              </w:rPr>
              <w:t>Preferential</w:t>
            </w:r>
            <w:r>
              <w:rPr>
                <w:color w:val="44484E"/>
                <w:spacing w:val="-14"/>
                <w:sz w:val="24"/>
              </w:rPr>
              <w:t xml:space="preserve"> </w:t>
            </w:r>
            <w:r>
              <w:rPr>
                <w:color w:val="44484E"/>
                <w:spacing w:val="-4"/>
                <w:sz w:val="24"/>
              </w:rPr>
              <w:t>survival</w:t>
            </w:r>
            <w:r>
              <w:rPr>
                <w:color w:val="44484E"/>
                <w:spacing w:val="-14"/>
                <w:sz w:val="24"/>
              </w:rPr>
              <w:t xml:space="preserve"> </w:t>
            </w:r>
            <w:r>
              <w:rPr>
                <w:color w:val="44484E"/>
                <w:spacing w:val="-4"/>
                <w:sz w:val="24"/>
              </w:rPr>
              <w:t>of</w:t>
            </w:r>
            <w:r>
              <w:rPr>
                <w:color w:val="44484E"/>
                <w:spacing w:val="-14"/>
                <w:sz w:val="24"/>
              </w:rPr>
              <w:t xml:space="preserve"> </w:t>
            </w:r>
            <w:r>
              <w:rPr>
                <w:color w:val="44484E"/>
                <w:spacing w:val="-4"/>
                <w:sz w:val="24"/>
              </w:rPr>
              <w:t xml:space="preserve">apoptotic </w:t>
            </w:r>
            <w:r>
              <w:rPr>
                <w:color w:val="44484E"/>
                <w:sz w:val="24"/>
              </w:rPr>
              <w:t>pathway-mutated</w:t>
            </w:r>
            <w:r>
              <w:rPr>
                <w:color w:val="44484E"/>
                <w:spacing w:val="-2"/>
                <w:sz w:val="24"/>
              </w:rPr>
              <w:t xml:space="preserve"> </w:t>
            </w:r>
            <w:r>
              <w:rPr>
                <w:color w:val="44484E"/>
                <w:sz w:val="24"/>
              </w:rPr>
              <w:t>CSH</w:t>
            </w:r>
          </w:p>
        </w:tc>
        <w:tc>
          <w:tcPr>
            <w:tcW w:w="1493" w:type="dxa"/>
            <w:vMerge w:val="restart"/>
            <w:tcBorders>
              <w:bottom w:val="nil"/>
            </w:tcBorders>
          </w:tcPr>
          <w:p w:rsidR="00280952" w:rsidRDefault="00280952" w:rsidP="004B6C91">
            <w:pPr>
              <w:pStyle w:val="TableParagraph"/>
              <w:rPr>
                <w:rFonts w:ascii="Times New Roman"/>
                <w:sz w:val="24"/>
              </w:rPr>
            </w:pPr>
          </w:p>
          <w:p w:rsidR="00280952" w:rsidRDefault="00280952" w:rsidP="004B6C91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280952" w:rsidRDefault="00280952" w:rsidP="004B6C91">
            <w:pPr>
              <w:pStyle w:val="TableParagraph"/>
              <w:ind w:left="280"/>
              <w:rPr>
                <w:sz w:val="24"/>
              </w:rPr>
            </w:pPr>
            <w:r>
              <w:rPr>
                <w:color w:val="44484E"/>
                <w:w w:val="85"/>
                <w:sz w:val="24"/>
              </w:rPr>
              <w:t>Grade</w:t>
            </w:r>
            <w:r>
              <w:rPr>
                <w:color w:val="44484E"/>
                <w:spacing w:val="12"/>
                <w:sz w:val="24"/>
              </w:rPr>
              <w:t xml:space="preserve"> </w:t>
            </w:r>
            <w:r>
              <w:rPr>
                <w:color w:val="44484E"/>
                <w:spacing w:val="-5"/>
                <w:sz w:val="24"/>
              </w:rPr>
              <w:t>3+</w:t>
            </w:r>
          </w:p>
        </w:tc>
        <w:tc>
          <w:tcPr>
            <w:tcW w:w="1049" w:type="dxa"/>
            <w:vMerge w:val="restart"/>
            <w:tcBorders>
              <w:bottom w:val="nil"/>
            </w:tcBorders>
          </w:tcPr>
          <w:p w:rsidR="00280952" w:rsidRDefault="00280952" w:rsidP="004B6C91">
            <w:pPr>
              <w:pStyle w:val="TableParagraph"/>
              <w:rPr>
                <w:rFonts w:ascii="Times New Roman"/>
                <w:sz w:val="24"/>
              </w:rPr>
            </w:pPr>
          </w:p>
          <w:p w:rsidR="00280952" w:rsidRDefault="00280952" w:rsidP="004B6C91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280952" w:rsidRDefault="00280952" w:rsidP="004B6C91">
            <w:pPr>
              <w:pStyle w:val="TableParagraph"/>
              <w:ind w:left="317"/>
              <w:rPr>
                <w:sz w:val="24"/>
              </w:rPr>
            </w:pPr>
            <w:r>
              <w:rPr>
                <w:color w:val="44484E"/>
                <w:spacing w:val="-5"/>
                <w:w w:val="95"/>
                <w:sz w:val="24"/>
              </w:rPr>
              <w:t>22%</w:t>
            </w:r>
          </w:p>
        </w:tc>
        <w:tc>
          <w:tcPr>
            <w:tcW w:w="2646" w:type="dxa"/>
            <w:vMerge w:val="restart"/>
            <w:tcBorders>
              <w:bottom w:val="nil"/>
              <w:right w:val="nil"/>
            </w:tcBorders>
          </w:tcPr>
          <w:p w:rsidR="00280952" w:rsidRDefault="00280952" w:rsidP="004B6C91">
            <w:pPr>
              <w:pStyle w:val="TableParagraph"/>
              <w:spacing w:before="274" w:line="249" w:lineRule="auto"/>
              <w:ind w:left="589" w:right="363" w:hanging="231"/>
              <w:rPr>
                <w:sz w:val="24"/>
              </w:rPr>
            </w:pPr>
            <w:r>
              <w:rPr>
                <w:color w:val="44484E"/>
                <w:spacing w:val="-8"/>
                <w:sz w:val="24"/>
              </w:rPr>
              <w:t>Dose</w:t>
            </w:r>
            <w:r>
              <w:rPr>
                <w:color w:val="44484E"/>
                <w:spacing w:val="-16"/>
                <w:sz w:val="24"/>
              </w:rPr>
              <w:t xml:space="preserve"> </w:t>
            </w:r>
            <w:r>
              <w:rPr>
                <w:color w:val="44484E"/>
                <w:spacing w:val="-8"/>
                <w:sz w:val="24"/>
              </w:rPr>
              <w:t xml:space="preserve">management </w:t>
            </w:r>
            <w:r>
              <w:rPr>
                <w:color w:val="44484E"/>
                <w:sz w:val="24"/>
              </w:rPr>
              <w:t>or</w:t>
            </w:r>
            <w:r>
              <w:rPr>
                <w:color w:val="44484E"/>
                <w:spacing w:val="-2"/>
                <w:sz w:val="24"/>
              </w:rPr>
              <w:t xml:space="preserve"> </w:t>
            </w:r>
            <w:r>
              <w:rPr>
                <w:color w:val="44484E"/>
                <w:sz w:val="24"/>
              </w:rPr>
              <w:t>withholding</w:t>
            </w:r>
          </w:p>
          <w:p w:rsidR="00280952" w:rsidRDefault="00280952" w:rsidP="004B6C91">
            <w:pPr>
              <w:pStyle w:val="TableParagraph"/>
              <w:spacing w:before="2"/>
              <w:ind w:left="461"/>
              <w:rPr>
                <w:sz w:val="24"/>
              </w:rPr>
            </w:pPr>
            <w:r>
              <w:rPr>
                <w:color w:val="44484E"/>
                <w:w w:val="90"/>
                <w:sz w:val="24"/>
              </w:rPr>
              <w:t>of</w:t>
            </w:r>
            <w:r>
              <w:rPr>
                <w:color w:val="44484E"/>
                <w:spacing w:val="-6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44484E"/>
                <w:w w:val="90"/>
                <w:sz w:val="24"/>
              </w:rPr>
              <w:t>PARPi</w:t>
            </w:r>
            <w:proofErr w:type="spellEnd"/>
            <w:r>
              <w:rPr>
                <w:color w:val="44484E"/>
                <w:spacing w:val="-5"/>
                <w:w w:val="90"/>
                <w:sz w:val="24"/>
              </w:rPr>
              <w:t xml:space="preserve"> </w:t>
            </w:r>
            <w:r>
              <w:rPr>
                <w:color w:val="44484E"/>
                <w:spacing w:val="-2"/>
                <w:w w:val="90"/>
                <w:sz w:val="24"/>
              </w:rPr>
              <w:t>therapy</w:t>
            </w:r>
          </w:p>
        </w:tc>
      </w:tr>
      <w:tr w:rsidR="00280952" w:rsidTr="0014014A">
        <w:trPr>
          <w:trHeight w:val="522"/>
          <w:jc w:val="center"/>
        </w:trPr>
        <w:tc>
          <w:tcPr>
            <w:tcW w:w="4564" w:type="dxa"/>
            <w:tcBorders>
              <w:left w:val="nil"/>
              <w:bottom w:val="nil"/>
            </w:tcBorders>
          </w:tcPr>
          <w:p w:rsidR="00280952" w:rsidRDefault="00280952" w:rsidP="004B6C91">
            <w:pPr>
              <w:pStyle w:val="TableParagraph"/>
              <w:spacing w:before="155"/>
              <w:ind w:left="112"/>
              <w:rPr>
                <w:sz w:val="24"/>
              </w:rPr>
            </w:pPr>
            <w:r>
              <w:rPr>
                <w:color w:val="44484E"/>
                <w:spacing w:val="-2"/>
                <w:w w:val="90"/>
                <w:sz w:val="24"/>
              </w:rPr>
              <w:t>Direct</w:t>
            </w:r>
            <w:r>
              <w:rPr>
                <w:color w:val="44484E"/>
                <w:spacing w:val="-9"/>
                <w:sz w:val="24"/>
              </w:rPr>
              <w:t xml:space="preserve"> </w:t>
            </w:r>
            <w:r>
              <w:rPr>
                <w:color w:val="44484E"/>
                <w:spacing w:val="-2"/>
                <w:w w:val="90"/>
                <w:sz w:val="24"/>
              </w:rPr>
              <w:t>CSH</w:t>
            </w:r>
            <w:r>
              <w:rPr>
                <w:color w:val="44484E"/>
                <w:spacing w:val="-8"/>
                <w:sz w:val="24"/>
              </w:rPr>
              <w:t xml:space="preserve"> </w:t>
            </w:r>
            <w:r>
              <w:rPr>
                <w:color w:val="44484E"/>
                <w:spacing w:val="-2"/>
                <w:w w:val="90"/>
                <w:sz w:val="24"/>
              </w:rPr>
              <w:t>toxicity</w:t>
            </w:r>
          </w:p>
        </w:tc>
        <w:tc>
          <w:tcPr>
            <w:tcW w:w="1493" w:type="dxa"/>
            <w:vMerge/>
            <w:tcBorders>
              <w:top w:val="nil"/>
              <w:bottom w:val="nil"/>
            </w:tcBorders>
          </w:tcPr>
          <w:p w:rsidR="00280952" w:rsidRDefault="00280952" w:rsidP="004B6C9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  <w:bottom w:val="nil"/>
            </w:tcBorders>
          </w:tcPr>
          <w:p w:rsidR="00280952" w:rsidRDefault="00280952" w:rsidP="004B6C91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  <w:vMerge/>
            <w:tcBorders>
              <w:top w:val="nil"/>
              <w:bottom w:val="nil"/>
              <w:right w:val="nil"/>
            </w:tcBorders>
          </w:tcPr>
          <w:p w:rsidR="00280952" w:rsidRDefault="00280952" w:rsidP="00280952">
            <w:pPr>
              <w:keepNext/>
              <w:rPr>
                <w:sz w:val="2"/>
                <w:szCs w:val="2"/>
              </w:rPr>
            </w:pPr>
          </w:p>
        </w:tc>
      </w:tr>
    </w:tbl>
    <w:p w:rsidR="00280952" w:rsidRPr="00280952" w:rsidRDefault="00280952" w:rsidP="00280952">
      <w:pPr>
        <w:pStyle w:val="Lgende"/>
        <w:rPr>
          <w:rFonts w:ascii="Times New Roman"/>
          <w:vertAlign w:val="superscript"/>
        </w:rPr>
      </w:pPr>
      <w:r>
        <w:t xml:space="preserve">Table </w:t>
      </w:r>
      <w:r w:rsidR="00224162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FE02BB">
        <w:rPr>
          <w:noProof/>
        </w:rPr>
        <w:t>1</w:t>
      </w:r>
      <w:r>
        <w:fldChar w:fldCharType="end"/>
      </w:r>
      <w:r>
        <w:t xml:space="preserve">: PARP </w:t>
      </w:r>
      <w:proofErr w:type="spellStart"/>
      <w:r>
        <w:t>inhibitors</w:t>
      </w:r>
      <w:proofErr w:type="spellEnd"/>
      <w:r>
        <w:t xml:space="preserve"> </w:t>
      </w:r>
      <w:proofErr w:type="spellStart"/>
      <w:r>
        <w:t>induced</w:t>
      </w:r>
      <w:proofErr w:type="spellEnd"/>
      <w:r>
        <w:t xml:space="preserve"> </w:t>
      </w:r>
      <w:proofErr w:type="spellStart"/>
      <w:r>
        <w:t>neutropenia</w:t>
      </w:r>
      <w:proofErr w:type="spellEnd"/>
      <w:r>
        <w:t>, * in main phase 3 trials</w:t>
      </w:r>
      <w:r>
        <w:rPr>
          <w:vertAlign w:val="superscript"/>
        </w:rPr>
        <w:t>32-35,40-55</w:t>
      </w:r>
    </w:p>
    <w:p w:rsidR="009771B0" w:rsidRPr="009771B0" w:rsidRDefault="009771B0" w:rsidP="009771B0">
      <w:pPr>
        <w:spacing w:line="276" w:lineRule="auto"/>
        <w:jc w:val="both"/>
        <w:rPr>
          <w:rFonts w:ascii="Times New Roman" w:eastAsia="Calibri" w:hAnsi="Times New Roman" w:cs="Times New Roman"/>
          <w:bCs/>
          <w:sz w:val="20"/>
          <w:szCs w:val="36"/>
          <w:lang w:val="en-US"/>
        </w:rPr>
      </w:pPr>
    </w:p>
    <w:p w:rsidR="0014014A" w:rsidRDefault="009771B0">
      <w:r>
        <w:rPr>
          <w:rFonts w:ascii="Times New Roman" w:eastAsia="Calibri" w:hAnsi="Times New Roman" w:cs="Times New Roman"/>
          <w:b/>
          <w:bCs/>
          <w:sz w:val="36"/>
          <w:szCs w:val="36"/>
          <w:lang w:val="en-US"/>
        </w:rPr>
        <w:t xml:space="preserve"> </w:t>
      </w:r>
      <w:r w:rsidRPr="009771B0">
        <w:rPr>
          <w:rFonts w:ascii="Times New Roman" w:eastAsia="Calibri" w:hAnsi="Times New Roman" w:cs="Times New Roman"/>
          <w:b/>
          <w:bCs/>
          <w:sz w:val="36"/>
          <w:szCs w:val="36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6"/>
          <w:szCs w:val="36"/>
          <w:lang w:val="en-US"/>
        </w:rPr>
        <w:t xml:space="preserve"> </w:t>
      </w:r>
    </w:p>
    <w:tbl>
      <w:tblPr>
        <w:tblStyle w:val="TableNormal"/>
        <w:tblW w:w="0" w:type="auto"/>
        <w:jc w:val="center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645"/>
        <w:gridCol w:w="5892"/>
      </w:tblGrid>
      <w:tr w:rsidR="0014014A" w:rsidTr="0014014A">
        <w:trPr>
          <w:trHeight w:val="479"/>
          <w:jc w:val="center"/>
        </w:trPr>
        <w:tc>
          <w:tcPr>
            <w:tcW w:w="1604" w:type="dxa"/>
            <w:tcBorders>
              <w:top w:val="nil"/>
              <w:left w:val="nil"/>
            </w:tcBorders>
          </w:tcPr>
          <w:p w:rsidR="0014014A" w:rsidRDefault="0014014A" w:rsidP="004B6C91">
            <w:pPr>
              <w:pStyle w:val="TableParagraph"/>
              <w:spacing w:before="160"/>
              <w:ind w:left="84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34B26A5" wp14:editId="25166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-400</wp:posOffset>
                      </wp:positionV>
                      <wp:extent cx="6441440" cy="307975"/>
                      <wp:effectExtent l="0" t="0" r="0" b="0"/>
                      <wp:wrapNone/>
                      <wp:docPr id="5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41440" cy="307975"/>
                                <a:chOff x="0" y="0"/>
                                <a:chExt cx="6441440" cy="307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8037" cy="3095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2BA7BE" id="Group 1" o:spid="_x0000_s1026" style="position:absolute;margin-left:0;margin-top:-.05pt;width:507.2pt;height:24.25pt;z-index:-251655168;mso-wrap-distance-left:0;mso-wrap-distance-right:0" coordsize="64414,3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">
                      <v:shape id="Image 6" o:spid="_x0000_s1027" type="#_x0000_t75" style="position:absolute;width:64780;height: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2645" w:type="dxa"/>
            <w:tcBorders>
              <w:top w:val="nil"/>
            </w:tcBorders>
          </w:tcPr>
          <w:p w:rsidR="0014014A" w:rsidRDefault="0014014A" w:rsidP="004B6C91">
            <w:pPr>
              <w:pStyle w:val="TableParagraph"/>
              <w:spacing w:before="160"/>
              <w:ind w:left="11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Target</w:t>
            </w:r>
          </w:p>
        </w:tc>
        <w:tc>
          <w:tcPr>
            <w:tcW w:w="5892" w:type="dxa"/>
            <w:tcBorders>
              <w:top w:val="nil"/>
            </w:tcBorders>
          </w:tcPr>
          <w:p w:rsidR="0014014A" w:rsidRDefault="0014014A" w:rsidP="004B6C91">
            <w:pPr>
              <w:pStyle w:val="TableParagraph"/>
              <w:spacing w:before="160"/>
              <w:ind w:left="1768"/>
              <w:rPr>
                <w:b/>
              </w:rPr>
            </w:pPr>
            <w:r>
              <w:rPr>
                <w:b/>
                <w:color w:val="FFFFFF"/>
                <w:spacing w:val="-2"/>
                <w:w w:val="90"/>
              </w:rPr>
              <w:t>FDA-approved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</w:rPr>
              <w:t>indication</w:t>
            </w:r>
          </w:p>
        </w:tc>
      </w:tr>
      <w:tr w:rsidR="0014014A" w:rsidTr="0014014A">
        <w:trPr>
          <w:trHeight w:val="474"/>
          <w:jc w:val="center"/>
        </w:trPr>
        <w:tc>
          <w:tcPr>
            <w:tcW w:w="1604" w:type="dxa"/>
            <w:tcBorders>
              <w:left w:val="nil"/>
            </w:tcBorders>
            <w:shd w:val="clear" w:color="auto" w:fill="EEEEEF"/>
          </w:tcPr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Ipilimumab</w:t>
            </w:r>
          </w:p>
        </w:tc>
        <w:tc>
          <w:tcPr>
            <w:tcW w:w="2645" w:type="dxa"/>
            <w:shd w:val="clear" w:color="auto" w:fill="EEEEEF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2"/>
                <w:w w:val="90"/>
                <w:sz w:val="20"/>
              </w:rPr>
              <w:t>CTLA-4–blocking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antibody</w:t>
            </w:r>
          </w:p>
        </w:tc>
        <w:tc>
          <w:tcPr>
            <w:tcW w:w="5892" w:type="dxa"/>
            <w:shd w:val="clear" w:color="auto" w:fill="EEEEEF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Melanoma</w:t>
            </w:r>
          </w:p>
        </w:tc>
      </w:tr>
      <w:tr w:rsidR="0014014A" w:rsidTr="0014014A">
        <w:trPr>
          <w:trHeight w:val="856"/>
          <w:jc w:val="center"/>
        </w:trPr>
        <w:tc>
          <w:tcPr>
            <w:tcW w:w="1604" w:type="dxa"/>
            <w:tcBorders>
              <w:left w:val="nil"/>
            </w:tcBorders>
          </w:tcPr>
          <w:p w:rsidR="0014014A" w:rsidRDefault="0014014A" w:rsidP="004B6C91">
            <w:pPr>
              <w:pStyle w:val="TableParagraph"/>
              <w:spacing w:before="123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spacing w:before="1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Nivolumab</w:t>
            </w:r>
          </w:p>
        </w:tc>
        <w:tc>
          <w:tcPr>
            <w:tcW w:w="2645" w:type="dxa"/>
          </w:tcPr>
          <w:p w:rsidR="0014014A" w:rsidRDefault="0014014A" w:rsidP="004B6C91">
            <w:pPr>
              <w:pStyle w:val="TableParagraph"/>
              <w:spacing w:before="123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PD-1–blocking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antibody</w:t>
            </w:r>
          </w:p>
        </w:tc>
        <w:tc>
          <w:tcPr>
            <w:tcW w:w="5892" w:type="dxa"/>
          </w:tcPr>
          <w:p w:rsidR="0014014A" w:rsidRDefault="0014014A" w:rsidP="004B6C91">
            <w:pPr>
              <w:pStyle w:val="TableParagraph"/>
              <w:spacing w:before="114" w:line="249" w:lineRule="auto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Melanoma,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renal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cell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carcinoma,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Hodgkin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lymphoma,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squamous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cell </w:t>
            </w:r>
            <w:r>
              <w:rPr>
                <w:color w:val="231F20"/>
                <w:spacing w:val="-2"/>
                <w:sz w:val="20"/>
              </w:rPr>
              <w:t>carcinoma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the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head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neck,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urothelial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carcinoma,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colorectal cancer,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hepatocellular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carcinoma</w:t>
            </w:r>
          </w:p>
        </w:tc>
      </w:tr>
      <w:tr w:rsidR="0014014A" w:rsidTr="0014014A">
        <w:trPr>
          <w:trHeight w:val="616"/>
          <w:jc w:val="center"/>
        </w:trPr>
        <w:tc>
          <w:tcPr>
            <w:tcW w:w="1604" w:type="dxa"/>
            <w:tcBorders>
              <w:left w:val="nil"/>
            </w:tcBorders>
            <w:shd w:val="clear" w:color="auto" w:fill="EEEEEF"/>
          </w:tcPr>
          <w:p w:rsidR="0014014A" w:rsidRDefault="0014014A" w:rsidP="004B6C91">
            <w:pPr>
              <w:pStyle w:val="TableParagraph"/>
              <w:spacing w:before="114" w:line="249" w:lineRule="auto"/>
              <w:ind w:left="84" w:right="411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Ipilimumab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+ </w:t>
            </w:r>
            <w:r>
              <w:rPr>
                <w:color w:val="231F20"/>
                <w:spacing w:val="-2"/>
                <w:sz w:val="20"/>
              </w:rPr>
              <w:t>Nivolumab</w:t>
            </w:r>
          </w:p>
        </w:tc>
        <w:tc>
          <w:tcPr>
            <w:tcW w:w="2645" w:type="dxa"/>
            <w:shd w:val="clear" w:color="auto" w:fill="EEEEEF"/>
          </w:tcPr>
          <w:p w:rsidR="0014014A" w:rsidRDefault="0014014A" w:rsidP="004B6C91">
            <w:pPr>
              <w:pStyle w:val="TableParagraph"/>
              <w:spacing w:before="114" w:line="249" w:lineRule="auto"/>
              <w:ind w:right="171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CTLA-4–blocking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antibody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+ </w:t>
            </w:r>
            <w:r>
              <w:rPr>
                <w:color w:val="231F20"/>
                <w:sz w:val="20"/>
              </w:rPr>
              <w:t>PD-1–blocking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antibody</w:t>
            </w:r>
          </w:p>
        </w:tc>
        <w:tc>
          <w:tcPr>
            <w:tcW w:w="5892" w:type="dxa"/>
            <w:shd w:val="clear" w:color="auto" w:fill="EEEEEF"/>
          </w:tcPr>
          <w:p w:rsidR="0014014A" w:rsidRDefault="0014014A" w:rsidP="004B6C91">
            <w:pPr>
              <w:pStyle w:val="TableParagraph"/>
              <w:spacing w:before="114" w:line="249" w:lineRule="auto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Melanoma, renal cell carcinoma, hepatocellular carcinoma, pleural </w:t>
            </w:r>
            <w:r>
              <w:rPr>
                <w:color w:val="231F20"/>
                <w:sz w:val="20"/>
              </w:rPr>
              <w:t>mesothelioma,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colorectal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cancer</w:t>
            </w:r>
          </w:p>
        </w:tc>
      </w:tr>
      <w:tr w:rsidR="0014014A" w:rsidTr="0014014A">
        <w:trPr>
          <w:trHeight w:val="1576"/>
          <w:jc w:val="center"/>
        </w:trPr>
        <w:tc>
          <w:tcPr>
            <w:tcW w:w="1604" w:type="dxa"/>
            <w:tcBorders>
              <w:left w:val="nil"/>
            </w:tcBorders>
          </w:tcPr>
          <w:p w:rsidR="0014014A" w:rsidRDefault="0014014A" w:rsidP="004B6C91">
            <w:pPr>
              <w:pStyle w:val="TableParagraph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spacing w:before="24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Pembrolizumab</w:t>
            </w:r>
          </w:p>
        </w:tc>
        <w:tc>
          <w:tcPr>
            <w:tcW w:w="2645" w:type="dxa"/>
          </w:tcPr>
          <w:p w:rsidR="0014014A" w:rsidRDefault="0014014A" w:rsidP="004B6C91">
            <w:pPr>
              <w:pStyle w:val="TableParagraph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spacing w:before="24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PD-1–blocking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antibody</w:t>
            </w:r>
          </w:p>
        </w:tc>
        <w:tc>
          <w:tcPr>
            <w:tcW w:w="5892" w:type="dxa"/>
          </w:tcPr>
          <w:p w:rsidR="0014014A" w:rsidRDefault="0014014A" w:rsidP="004B6C91">
            <w:pPr>
              <w:pStyle w:val="TableParagraph"/>
              <w:spacing w:before="114" w:line="249" w:lineRule="auto"/>
              <w:ind w:right="22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Melanoma,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non-small-cell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lung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cancer,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small-cell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lung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cancer, </w:t>
            </w:r>
            <w:r>
              <w:rPr>
                <w:color w:val="231F20"/>
                <w:spacing w:val="-4"/>
                <w:sz w:val="20"/>
              </w:rPr>
              <w:t>head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and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neck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squamous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cell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cancer,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Hodgkin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lymphoma, primary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mediastinal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large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B-cell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lymphoma,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urothelial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carcinoma,</w:t>
            </w:r>
          </w:p>
          <w:p w:rsidR="0014014A" w:rsidRDefault="0014014A" w:rsidP="004B6C91">
            <w:pPr>
              <w:pStyle w:val="TableParagraph"/>
              <w:spacing w:before="2" w:line="249" w:lineRule="auto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colorectal cancer, gastric cancer, esophageal cancer, cervical cancer, </w:t>
            </w:r>
            <w:r>
              <w:rPr>
                <w:color w:val="231F20"/>
                <w:spacing w:val="-4"/>
                <w:sz w:val="20"/>
              </w:rPr>
              <w:t>hepatocellular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cancer,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Merkel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cell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carcinoma,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renal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cell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carcinoma, </w:t>
            </w:r>
            <w:r>
              <w:rPr>
                <w:color w:val="231F20"/>
                <w:sz w:val="20"/>
              </w:rPr>
              <w:t>and endometrial carcinoma</w:t>
            </w:r>
          </w:p>
        </w:tc>
      </w:tr>
      <w:tr w:rsidR="0014014A" w:rsidTr="0014014A">
        <w:trPr>
          <w:trHeight w:val="476"/>
          <w:jc w:val="center"/>
        </w:trPr>
        <w:tc>
          <w:tcPr>
            <w:tcW w:w="1604" w:type="dxa"/>
            <w:tcBorders>
              <w:left w:val="nil"/>
            </w:tcBorders>
            <w:shd w:val="clear" w:color="auto" w:fill="EEEEEF"/>
          </w:tcPr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Cemiplimab</w:t>
            </w:r>
            <w:proofErr w:type="spellEnd"/>
          </w:p>
        </w:tc>
        <w:tc>
          <w:tcPr>
            <w:tcW w:w="2645" w:type="dxa"/>
            <w:shd w:val="clear" w:color="auto" w:fill="EEEEEF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PD-1–blocking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antibody</w:t>
            </w:r>
          </w:p>
        </w:tc>
        <w:tc>
          <w:tcPr>
            <w:tcW w:w="5892" w:type="dxa"/>
            <w:shd w:val="clear" w:color="auto" w:fill="EEEEEF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Urothelial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carcinoma</w:t>
            </w:r>
          </w:p>
        </w:tc>
      </w:tr>
      <w:tr w:rsidR="0014014A" w:rsidTr="0014014A">
        <w:trPr>
          <w:trHeight w:val="474"/>
          <w:jc w:val="center"/>
        </w:trPr>
        <w:tc>
          <w:tcPr>
            <w:tcW w:w="1604" w:type="dxa"/>
            <w:tcBorders>
              <w:left w:val="nil"/>
            </w:tcBorders>
          </w:tcPr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Avelumab</w:t>
            </w:r>
            <w:proofErr w:type="spellEnd"/>
          </w:p>
        </w:tc>
        <w:tc>
          <w:tcPr>
            <w:tcW w:w="2645" w:type="dxa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PD-L1–blocking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antibody</w:t>
            </w:r>
          </w:p>
        </w:tc>
        <w:tc>
          <w:tcPr>
            <w:tcW w:w="5892" w:type="dxa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Urothelial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carcinoma,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Merkel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cell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carcinoma,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and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renal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cell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carcinoma</w:t>
            </w:r>
          </w:p>
        </w:tc>
      </w:tr>
      <w:tr w:rsidR="0014014A" w:rsidTr="0014014A">
        <w:trPr>
          <w:trHeight w:val="474"/>
          <w:jc w:val="center"/>
        </w:trPr>
        <w:tc>
          <w:tcPr>
            <w:tcW w:w="1604" w:type="dxa"/>
            <w:tcBorders>
              <w:left w:val="nil"/>
            </w:tcBorders>
            <w:shd w:val="clear" w:color="auto" w:fill="EEEEEF"/>
          </w:tcPr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Durvalumab</w:t>
            </w:r>
            <w:proofErr w:type="spellEnd"/>
          </w:p>
        </w:tc>
        <w:tc>
          <w:tcPr>
            <w:tcW w:w="2645" w:type="dxa"/>
            <w:shd w:val="clear" w:color="auto" w:fill="EEEEEF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PD-L1–blocking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antibody</w:t>
            </w:r>
          </w:p>
        </w:tc>
        <w:tc>
          <w:tcPr>
            <w:tcW w:w="5892" w:type="dxa"/>
            <w:shd w:val="clear" w:color="auto" w:fill="EEEEEF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Urothelial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carcinoma</w:t>
            </w:r>
          </w:p>
        </w:tc>
      </w:tr>
      <w:tr w:rsidR="0014014A" w:rsidTr="0014014A">
        <w:trPr>
          <w:trHeight w:val="616"/>
          <w:jc w:val="center"/>
        </w:trPr>
        <w:tc>
          <w:tcPr>
            <w:tcW w:w="1604" w:type="dxa"/>
            <w:tcBorders>
              <w:left w:val="nil"/>
            </w:tcBorders>
          </w:tcPr>
          <w:p w:rsidR="0014014A" w:rsidRDefault="0014014A" w:rsidP="004B6C91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Atezolizumab</w:t>
            </w:r>
            <w:proofErr w:type="spellEnd"/>
          </w:p>
        </w:tc>
        <w:tc>
          <w:tcPr>
            <w:tcW w:w="2645" w:type="dxa"/>
          </w:tcPr>
          <w:p w:rsidR="0014014A" w:rsidRDefault="0014014A" w:rsidP="004B6C91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PD-L1–blocking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antibody</w:t>
            </w:r>
          </w:p>
        </w:tc>
        <w:tc>
          <w:tcPr>
            <w:tcW w:w="5892" w:type="dxa"/>
          </w:tcPr>
          <w:p w:rsidR="0014014A" w:rsidRDefault="0014014A" w:rsidP="004B6C91">
            <w:pPr>
              <w:pStyle w:val="TableParagraph"/>
              <w:spacing w:before="114" w:line="249" w:lineRule="auto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Urothelial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carcinoma,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non-small-cell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lung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cancer,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triple-negative </w:t>
            </w:r>
            <w:r>
              <w:rPr>
                <w:color w:val="231F20"/>
                <w:sz w:val="20"/>
              </w:rPr>
              <w:t>breast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cancer</w:t>
            </w:r>
          </w:p>
        </w:tc>
      </w:tr>
      <w:tr w:rsidR="0014014A" w:rsidTr="0014014A">
        <w:trPr>
          <w:trHeight w:val="474"/>
          <w:jc w:val="center"/>
        </w:trPr>
        <w:tc>
          <w:tcPr>
            <w:tcW w:w="1604" w:type="dxa"/>
            <w:tcBorders>
              <w:left w:val="nil"/>
            </w:tcBorders>
            <w:shd w:val="clear" w:color="auto" w:fill="EEEEEF"/>
          </w:tcPr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proofErr w:type="spellStart"/>
            <w:r>
              <w:rPr>
                <w:color w:val="44484E"/>
                <w:spacing w:val="-2"/>
                <w:sz w:val="20"/>
              </w:rPr>
              <w:t>Dostarlimab</w:t>
            </w:r>
            <w:proofErr w:type="spellEnd"/>
          </w:p>
        </w:tc>
        <w:tc>
          <w:tcPr>
            <w:tcW w:w="2645" w:type="dxa"/>
            <w:shd w:val="clear" w:color="auto" w:fill="EEEEEF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44484E"/>
                <w:spacing w:val="-4"/>
                <w:sz w:val="20"/>
              </w:rPr>
              <w:t>PD-1–blocking</w:t>
            </w:r>
            <w:r>
              <w:rPr>
                <w:color w:val="44484E"/>
                <w:sz w:val="20"/>
              </w:rPr>
              <w:t xml:space="preserve"> </w:t>
            </w:r>
            <w:r>
              <w:rPr>
                <w:color w:val="44484E"/>
                <w:spacing w:val="-4"/>
                <w:sz w:val="20"/>
              </w:rPr>
              <w:t>antibody</w:t>
            </w:r>
          </w:p>
        </w:tc>
        <w:tc>
          <w:tcPr>
            <w:tcW w:w="5892" w:type="dxa"/>
            <w:shd w:val="clear" w:color="auto" w:fill="EEEEEF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44484E"/>
                <w:spacing w:val="-6"/>
                <w:sz w:val="20"/>
              </w:rPr>
              <w:t>Endometrial</w:t>
            </w:r>
            <w:r>
              <w:rPr>
                <w:color w:val="44484E"/>
                <w:spacing w:val="7"/>
                <w:sz w:val="20"/>
              </w:rPr>
              <w:t xml:space="preserve"> </w:t>
            </w:r>
            <w:r>
              <w:rPr>
                <w:color w:val="44484E"/>
                <w:spacing w:val="-2"/>
                <w:sz w:val="20"/>
              </w:rPr>
              <w:t>cancer</w:t>
            </w:r>
          </w:p>
        </w:tc>
      </w:tr>
      <w:tr w:rsidR="0014014A" w:rsidTr="0014014A">
        <w:trPr>
          <w:trHeight w:val="474"/>
          <w:jc w:val="center"/>
        </w:trPr>
        <w:tc>
          <w:tcPr>
            <w:tcW w:w="1604" w:type="dxa"/>
            <w:tcBorders>
              <w:left w:val="nil"/>
            </w:tcBorders>
          </w:tcPr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proofErr w:type="spellStart"/>
            <w:r>
              <w:rPr>
                <w:color w:val="44484E"/>
                <w:spacing w:val="-2"/>
                <w:sz w:val="20"/>
              </w:rPr>
              <w:t>Retifanlimab</w:t>
            </w:r>
            <w:proofErr w:type="spellEnd"/>
          </w:p>
        </w:tc>
        <w:tc>
          <w:tcPr>
            <w:tcW w:w="2645" w:type="dxa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44484E"/>
                <w:spacing w:val="-4"/>
                <w:sz w:val="20"/>
              </w:rPr>
              <w:t>PD-1–blocking</w:t>
            </w:r>
            <w:r>
              <w:rPr>
                <w:color w:val="44484E"/>
                <w:sz w:val="20"/>
              </w:rPr>
              <w:t xml:space="preserve"> </w:t>
            </w:r>
            <w:r>
              <w:rPr>
                <w:color w:val="44484E"/>
                <w:spacing w:val="-4"/>
                <w:sz w:val="20"/>
              </w:rPr>
              <w:t>antibody</w:t>
            </w:r>
          </w:p>
        </w:tc>
        <w:tc>
          <w:tcPr>
            <w:tcW w:w="5892" w:type="dxa"/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44484E"/>
                <w:spacing w:val="-6"/>
                <w:sz w:val="20"/>
              </w:rPr>
              <w:t>Merkel</w:t>
            </w:r>
            <w:r>
              <w:rPr>
                <w:color w:val="44484E"/>
                <w:spacing w:val="-8"/>
                <w:sz w:val="20"/>
              </w:rPr>
              <w:t xml:space="preserve"> </w:t>
            </w:r>
            <w:r>
              <w:rPr>
                <w:color w:val="44484E"/>
                <w:spacing w:val="-6"/>
                <w:sz w:val="20"/>
              </w:rPr>
              <w:t>cell</w:t>
            </w:r>
            <w:r>
              <w:rPr>
                <w:color w:val="44484E"/>
                <w:spacing w:val="-7"/>
                <w:sz w:val="20"/>
              </w:rPr>
              <w:t xml:space="preserve"> </w:t>
            </w:r>
            <w:r>
              <w:rPr>
                <w:color w:val="44484E"/>
                <w:spacing w:val="-6"/>
                <w:sz w:val="20"/>
              </w:rPr>
              <w:t>carcinoma</w:t>
            </w:r>
          </w:p>
        </w:tc>
      </w:tr>
      <w:tr w:rsidR="0014014A" w:rsidTr="0014014A">
        <w:trPr>
          <w:trHeight w:val="616"/>
          <w:jc w:val="center"/>
        </w:trPr>
        <w:tc>
          <w:tcPr>
            <w:tcW w:w="1604" w:type="dxa"/>
            <w:tcBorders>
              <w:left w:val="nil"/>
            </w:tcBorders>
            <w:shd w:val="clear" w:color="auto" w:fill="EEEEEF"/>
          </w:tcPr>
          <w:p w:rsidR="0014014A" w:rsidRDefault="0014014A" w:rsidP="004B6C91">
            <w:pPr>
              <w:pStyle w:val="TableParagraph"/>
              <w:spacing w:before="114"/>
              <w:ind w:left="84"/>
              <w:rPr>
                <w:sz w:val="20"/>
              </w:rPr>
            </w:pPr>
            <w:proofErr w:type="spellStart"/>
            <w:r>
              <w:rPr>
                <w:color w:val="44484E"/>
                <w:spacing w:val="-2"/>
                <w:sz w:val="20"/>
              </w:rPr>
              <w:t>Tremelimumab</w:t>
            </w:r>
            <w:proofErr w:type="spellEnd"/>
          </w:p>
          <w:p w:rsidR="0014014A" w:rsidRDefault="0014014A" w:rsidP="004B6C91">
            <w:pPr>
              <w:pStyle w:val="TableParagraph"/>
              <w:spacing w:before="10"/>
              <w:ind w:left="84"/>
              <w:rPr>
                <w:sz w:val="20"/>
              </w:rPr>
            </w:pPr>
            <w:r>
              <w:rPr>
                <w:color w:val="44484E"/>
                <w:spacing w:val="-7"/>
                <w:sz w:val="20"/>
              </w:rPr>
              <w:t>+</w:t>
            </w:r>
            <w:r>
              <w:rPr>
                <w:color w:val="44484E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44484E"/>
                <w:spacing w:val="-2"/>
                <w:sz w:val="20"/>
              </w:rPr>
              <w:t>Durvalumab</w:t>
            </w:r>
            <w:proofErr w:type="spellEnd"/>
          </w:p>
        </w:tc>
        <w:tc>
          <w:tcPr>
            <w:tcW w:w="2645" w:type="dxa"/>
            <w:shd w:val="clear" w:color="auto" w:fill="EEEEEF"/>
          </w:tcPr>
          <w:p w:rsidR="0014014A" w:rsidRDefault="0014014A" w:rsidP="004B6C91">
            <w:pPr>
              <w:pStyle w:val="TableParagraph"/>
              <w:spacing w:before="114"/>
              <w:rPr>
                <w:sz w:val="20"/>
              </w:rPr>
            </w:pPr>
            <w:r>
              <w:rPr>
                <w:color w:val="44484E"/>
                <w:spacing w:val="2"/>
                <w:w w:val="90"/>
                <w:sz w:val="20"/>
              </w:rPr>
              <w:t>CTLA-4–blocking</w:t>
            </w:r>
            <w:r>
              <w:rPr>
                <w:color w:val="44484E"/>
                <w:spacing w:val="12"/>
                <w:sz w:val="20"/>
              </w:rPr>
              <w:t xml:space="preserve"> </w:t>
            </w:r>
            <w:r>
              <w:rPr>
                <w:color w:val="44484E"/>
                <w:spacing w:val="-2"/>
                <w:w w:val="90"/>
                <w:sz w:val="20"/>
              </w:rPr>
              <w:t>antibody</w:t>
            </w:r>
          </w:p>
          <w:p w:rsidR="0014014A" w:rsidRDefault="0014014A" w:rsidP="004B6C91">
            <w:pPr>
              <w:pStyle w:val="TableParagraph"/>
              <w:spacing w:before="10"/>
              <w:rPr>
                <w:sz w:val="20"/>
              </w:rPr>
            </w:pPr>
            <w:r>
              <w:rPr>
                <w:color w:val="44484E"/>
                <w:spacing w:val="-6"/>
                <w:sz w:val="20"/>
              </w:rPr>
              <w:t>+</w:t>
            </w:r>
            <w:r>
              <w:rPr>
                <w:color w:val="44484E"/>
                <w:spacing w:val="1"/>
                <w:sz w:val="20"/>
              </w:rPr>
              <w:t xml:space="preserve"> </w:t>
            </w:r>
            <w:r>
              <w:rPr>
                <w:color w:val="44484E"/>
                <w:spacing w:val="-6"/>
                <w:sz w:val="20"/>
              </w:rPr>
              <w:t>PD-L1–blocking</w:t>
            </w:r>
            <w:r>
              <w:rPr>
                <w:color w:val="44484E"/>
                <w:spacing w:val="2"/>
                <w:sz w:val="20"/>
              </w:rPr>
              <w:t xml:space="preserve"> </w:t>
            </w:r>
            <w:r>
              <w:rPr>
                <w:color w:val="44484E"/>
                <w:spacing w:val="-6"/>
                <w:sz w:val="20"/>
              </w:rPr>
              <w:t>antibody</w:t>
            </w:r>
          </w:p>
        </w:tc>
        <w:tc>
          <w:tcPr>
            <w:tcW w:w="5892" w:type="dxa"/>
            <w:shd w:val="clear" w:color="auto" w:fill="EEEEEF"/>
          </w:tcPr>
          <w:p w:rsidR="0014014A" w:rsidRDefault="0014014A" w:rsidP="004B6C91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44484E"/>
                <w:spacing w:val="2"/>
                <w:w w:val="90"/>
                <w:sz w:val="20"/>
              </w:rPr>
              <w:t>Hepatocellular</w:t>
            </w:r>
            <w:r>
              <w:rPr>
                <w:color w:val="44484E"/>
                <w:spacing w:val="17"/>
                <w:sz w:val="20"/>
              </w:rPr>
              <w:t xml:space="preserve"> </w:t>
            </w:r>
            <w:r>
              <w:rPr>
                <w:color w:val="44484E"/>
                <w:spacing w:val="-2"/>
                <w:sz w:val="20"/>
              </w:rPr>
              <w:t>carcinoma</w:t>
            </w:r>
          </w:p>
        </w:tc>
      </w:tr>
      <w:tr w:rsidR="0014014A" w:rsidTr="0014014A">
        <w:trPr>
          <w:trHeight w:val="479"/>
          <w:jc w:val="center"/>
        </w:trPr>
        <w:tc>
          <w:tcPr>
            <w:tcW w:w="1604" w:type="dxa"/>
            <w:tcBorders>
              <w:left w:val="nil"/>
              <w:bottom w:val="nil"/>
            </w:tcBorders>
          </w:tcPr>
          <w:p w:rsidR="0014014A" w:rsidRDefault="0014014A" w:rsidP="004B6C91">
            <w:pPr>
              <w:pStyle w:val="TableParagraph"/>
              <w:ind w:left="84"/>
              <w:rPr>
                <w:sz w:val="20"/>
              </w:rPr>
            </w:pPr>
            <w:proofErr w:type="spellStart"/>
            <w:r>
              <w:rPr>
                <w:color w:val="44484E"/>
                <w:spacing w:val="-2"/>
                <w:sz w:val="20"/>
              </w:rPr>
              <w:t>Toripalimab</w:t>
            </w:r>
            <w:proofErr w:type="spellEnd"/>
          </w:p>
        </w:tc>
        <w:tc>
          <w:tcPr>
            <w:tcW w:w="2645" w:type="dxa"/>
            <w:tcBorders>
              <w:bottom w:val="nil"/>
            </w:tcBorders>
          </w:tcPr>
          <w:p w:rsidR="0014014A" w:rsidRDefault="0014014A" w:rsidP="004B6C91">
            <w:pPr>
              <w:pStyle w:val="TableParagraph"/>
              <w:rPr>
                <w:sz w:val="20"/>
              </w:rPr>
            </w:pPr>
            <w:r>
              <w:rPr>
                <w:color w:val="44484E"/>
                <w:spacing w:val="-4"/>
                <w:sz w:val="20"/>
              </w:rPr>
              <w:t>PD-1–blocking</w:t>
            </w:r>
            <w:r>
              <w:rPr>
                <w:color w:val="44484E"/>
                <w:sz w:val="20"/>
              </w:rPr>
              <w:t xml:space="preserve"> </w:t>
            </w:r>
            <w:r>
              <w:rPr>
                <w:color w:val="44484E"/>
                <w:spacing w:val="-4"/>
                <w:sz w:val="20"/>
              </w:rPr>
              <w:t>antibody</w:t>
            </w:r>
          </w:p>
        </w:tc>
        <w:tc>
          <w:tcPr>
            <w:tcW w:w="5892" w:type="dxa"/>
            <w:tcBorders>
              <w:bottom w:val="nil"/>
            </w:tcBorders>
          </w:tcPr>
          <w:p w:rsidR="0014014A" w:rsidRDefault="0014014A" w:rsidP="0014014A">
            <w:pPr>
              <w:pStyle w:val="TableParagraph"/>
              <w:keepNext/>
              <w:rPr>
                <w:sz w:val="20"/>
              </w:rPr>
            </w:pPr>
            <w:r>
              <w:rPr>
                <w:color w:val="44484E"/>
                <w:spacing w:val="2"/>
                <w:w w:val="90"/>
                <w:sz w:val="20"/>
              </w:rPr>
              <w:t>Nasopharyngeal</w:t>
            </w:r>
            <w:r>
              <w:rPr>
                <w:color w:val="44484E"/>
                <w:spacing w:val="18"/>
                <w:sz w:val="20"/>
              </w:rPr>
              <w:t xml:space="preserve"> </w:t>
            </w:r>
            <w:r>
              <w:rPr>
                <w:color w:val="44484E"/>
                <w:spacing w:val="-2"/>
                <w:sz w:val="20"/>
              </w:rPr>
              <w:t>carcinoma</w:t>
            </w:r>
          </w:p>
        </w:tc>
      </w:tr>
    </w:tbl>
    <w:p w:rsidR="00D83B3F" w:rsidRDefault="0014014A" w:rsidP="0014014A">
      <w:pPr>
        <w:pStyle w:val="Lgende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FE02BB">
        <w:rPr>
          <w:noProof/>
        </w:rPr>
        <w:t>2</w:t>
      </w:r>
      <w:r>
        <w:fldChar w:fldCharType="end"/>
      </w:r>
      <w:r>
        <w:t xml:space="preserve"> : </w:t>
      </w:r>
      <w:r w:rsidRPr="0014014A">
        <w:t xml:space="preserve">Immune checkpoint </w:t>
      </w:r>
      <w:proofErr w:type="spellStart"/>
      <w:r w:rsidRPr="0014014A">
        <w:t>inhibitors</w:t>
      </w:r>
      <w:proofErr w:type="spellEnd"/>
      <w:r w:rsidRPr="0014014A">
        <w:t xml:space="preserve"> and </w:t>
      </w:r>
      <w:proofErr w:type="spellStart"/>
      <w:r w:rsidRPr="0014014A">
        <w:t>their</w:t>
      </w:r>
      <w:proofErr w:type="spellEnd"/>
      <w:r w:rsidRPr="0014014A">
        <w:t xml:space="preserve"> </w:t>
      </w:r>
      <w:proofErr w:type="spellStart"/>
      <w:r w:rsidRPr="0014014A">
        <w:t>clinical</w:t>
      </w:r>
      <w:proofErr w:type="spellEnd"/>
      <w:r w:rsidRPr="0014014A">
        <w:t xml:space="preserve"> indications</w:t>
      </w:r>
      <w:r w:rsidR="009E7E32" w:rsidRPr="009E7E32">
        <w:rPr>
          <w:vertAlign w:val="superscript"/>
        </w:rPr>
        <w:t>56</w:t>
      </w:r>
    </w:p>
    <w:tbl>
      <w:tblPr>
        <w:tblStyle w:val="TableNormal"/>
        <w:tblW w:w="0" w:type="auto"/>
        <w:jc w:val="center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4541"/>
        <w:gridCol w:w="1337"/>
        <w:gridCol w:w="1376"/>
      </w:tblGrid>
      <w:tr w:rsidR="00CA3245" w:rsidTr="00CA3245">
        <w:trPr>
          <w:trHeight w:val="479"/>
          <w:jc w:val="center"/>
        </w:trPr>
        <w:tc>
          <w:tcPr>
            <w:tcW w:w="2880" w:type="dxa"/>
            <w:tcBorders>
              <w:top w:val="nil"/>
              <w:left w:val="nil"/>
            </w:tcBorders>
          </w:tcPr>
          <w:p w:rsidR="00CA3245" w:rsidRDefault="00CA3245" w:rsidP="004B6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1" w:type="dxa"/>
            <w:tcBorders>
              <w:top w:val="nil"/>
            </w:tcBorders>
          </w:tcPr>
          <w:p w:rsidR="00CA3245" w:rsidRDefault="00CA3245" w:rsidP="004B6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7" w:type="dxa"/>
            <w:tcBorders>
              <w:top w:val="nil"/>
            </w:tcBorders>
          </w:tcPr>
          <w:p w:rsidR="00CA3245" w:rsidRDefault="00CA3245" w:rsidP="004B6C91">
            <w:pPr>
              <w:pStyle w:val="TableParagraph"/>
              <w:spacing w:before="120"/>
              <w:jc w:val="center"/>
              <w:rPr>
                <w:b/>
              </w:rPr>
            </w:pPr>
            <w:r>
              <w:rPr>
                <w:b/>
                <w:color w:val="FFFFFF"/>
                <w:w w:val="85"/>
              </w:rPr>
              <w:t>CTLA-</w:t>
            </w:r>
            <w:r>
              <w:rPr>
                <w:b/>
                <w:color w:val="FFFFFF"/>
                <w:spacing w:val="-10"/>
                <w:w w:val="95"/>
              </w:rPr>
              <w:t>4</w:t>
            </w:r>
          </w:p>
        </w:tc>
        <w:tc>
          <w:tcPr>
            <w:tcW w:w="1376" w:type="dxa"/>
            <w:tcBorders>
              <w:top w:val="nil"/>
            </w:tcBorders>
          </w:tcPr>
          <w:p w:rsidR="00CA3245" w:rsidRDefault="00CA3245" w:rsidP="004B6C91">
            <w:pPr>
              <w:pStyle w:val="TableParagraph"/>
              <w:spacing w:before="120"/>
              <w:jc w:val="center"/>
              <w:rPr>
                <w:b/>
              </w:rPr>
            </w:pPr>
            <w:r>
              <w:rPr>
                <w:b/>
                <w:color w:val="FFFFFF"/>
                <w:w w:val="90"/>
              </w:rPr>
              <w:t>PD-</w:t>
            </w:r>
            <w:r>
              <w:rPr>
                <w:b/>
                <w:color w:val="FFFFFF"/>
                <w:spacing w:val="-4"/>
              </w:rPr>
              <w:t>(L)1</w:t>
            </w:r>
          </w:p>
        </w:tc>
      </w:tr>
      <w:tr w:rsidR="00CA3245" w:rsidTr="00CA3245">
        <w:trPr>
          <w:trHeight w:val="474"/>
          <w:jc w:val="center"/>
        </w:trPr>
        <w:tc>
          <w:tcPr>
            <w:tcW w:w="2880" w:type="dxa"/>
            <w:tcBorders>
              <w:left w:val="nil"/>
            </w:tcBorders>
            <w:shd w:val="clear" w:color="auto" w:fill="EEEEEF"/>
          </w:tcPr>
          <w:p w:rsidR="00CA3245" w:rsidRDefault="00CA3245" w:rsidP="004B6C91">
            <w:pPr>
              <w:pStyle w:val="TableParagraph"/>
              <w:ind w:left="84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446E102F" wp14:editId="4D6FA9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-310999</wp:posOffset>
                      </wp:positionV>
                      <wp:extent cx="6435725" cy="307975"/>
                      <wp:effectExtent l="0" t="0" r="0" b="0"/>
                      <wp:wrapNone/>
                      <wp:docPr id="7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5725" cy="307975"/>
                                <a:chOff x="0" y="0"/>
                                <a:chExt cx="6435725" cy="307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2378" cy="3095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775FEA" id="Group 1" o:spid="_x0000_s1026" style="position:absolute;margin-left:0;margin-top:-24.5pt;width:506.75pt;height:24.25pt;z-index:-251653120;mso-wrap-distance-left:0;mso-wrap-distance-right:0" coordsize="64357,3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">
                      <v:shape id="Image 8" o:spid="_x0000_s1027" type="#_x0000_t75" style="position:absolute;width:64723;height: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85"/>
                <w:sz w:val="20"/>
              </w:rPr>
              <w:t>CD8+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lymphocytes</w:t>
            </w:r>
          </w:p>
        </w:tc>
        <w:tc>
          <w:tcPr>
            <w:tcW w:w="4541" w:type="dxa"/>
            <w:shd w:val="clear" w:color="auto" w:fill="EEEEEF"/>
          </w:tcPr>
          <w:p w:rsidR="00CA3245" w:rsidRDefault="00CA3245" w:rsidP="004B6C91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Direct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cytotoxicity</w:t>
            </w:r>
          </w:p>
        </w:tc>
        <w:tc>
          <w:tcPr>
            <w:tcW w:w="1337" w:type="dxa"/>
            <w:shd w:val="clear" w:color="auto" w:fill="EEEEEF"/>
          </w:tcPr>
          <w:p w:rsidR="00CA3245" w:rsidRDefault="00CA3245" w:rsidP="004B6C9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95"/>
                <w:sz w:val="20"/>
              </w:rPr>
              <w:t>X</w:t>
            </w:r>
          </w:p>
        </w:tc>
        <w:tc>
          <w:tcPr>
            <w:tcW w:w="1376" w:type="dxa"/>
            <w:shd w:val="clear" w:color="auto" w:fill="EEEEEF"/>
          </w:tcPr>
          <w:p w:rsidR="00CA3245" w:rsidRDefault="00CA3245" w:rsidP="004B6C9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95"/>
                <w:sz w:val="20"/>
              </w:rPr>
              <w:t>X</w:t>
            </w:r>
          </w:p>
        </w:tc>
      </w:tr>
      <w:tr w:rsidR="00CA3245" w:rsidTr="00CA3245">
        <w:trPr>
          <w:trHeight w:val="474"/>
          <w:jc w:val="center"/>
        </w:trPr>
        <w:tc>
          <w:tcPr>
            <w:tcW w:w="2880" w:type="dxa"/>
            <w:tcBorders>
              <w:left w:val="nil"/>
            </w:tcBorders>
          </w:tcPr>
          <w:p w:rsidR="00CA3245" w:rsidRDefault="00CA3245" w:rsidP="004B6C91">
            <w:pPr>
              <w:pStyle w:val="TableParagraph"/>
              <w:spacing w:before="150"/>
              <w:ind w:left="8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Th2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CD4+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lymphocytes</w:t>
            </w:r>
          </w:p>
        </w:tc>
        <w:tc>
          <w:tcPr>
            <w:tcW w:w="4541" w:type="dxa"/>
          </w:tcPr>
          <w:p w:rsidR="00CA3245" w:rsidRDefault="00CA3245" w:rsidP="004B6C91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Enhances</w:t>
            </w:r>
            <w:r>
              <w:rPr>
                <w:color w:val="231F20"/>
                <w:spacing w:val="3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autoantibody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production</w:t>
            </w:r>
          </w:p>
        </w:tc>
        <w:tc>
          <w:tcPr>
            <w:tcW w:w="1337" w:type="dxa"/>
          </w:tcPr>
          <w:p w:rsidR="00CA3245" w:rsidRDefault="00CA3245" w:rsidP="004B6C9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95"/>
                <w:sz w:val="20"/>
              </w:rPr>
              <w:t>X</w:t>
            </w:r>
          </w:p>
        </w:tc>
        <w:tc>
          <w:tcPr>
            <w:tcW w:w="1376" w:type="dxa"/>
          </w:tcPr>
          <w:p w:rsidR="00CA3245" w:rsidRDefault="00CA3245" w:rsidP="004B6C91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95"/>
                <w:sz w:val="20"/>
              </w:rPr>
              <w:t>X</w:t>
            </w:r>
          </w:p>
        </w:tc>
      </w:tr>
      <w:tr w:rsidR="00CA3245" w:rsidTr="00CA3245">
        <w:trPr>
          <w:trHeight w:val="474"/>
          <w:jc w:val="center"/>
        </w:trPr>
        <w:tc>
          <w:tcPr>
            <w:tcW w:w="2880" w:type="dxa"/>
            <w:tcBorders>
              <w:left w:val="nil"/>
            </w:tcBorders>
            <w:shd w:val="clear" w:color="auto" w:fill="EEEEEF"/>
          </w:tcPr>
          <w:p w:rsidR="00CA3245" w:rsidRDefault="00CA3245" w:rsidP="004B6C91">
            <w:pPr>
              <w:pStyle w:val="TableParagraph"/>
              <w:ind w:left="84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NK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cells</w:t>
            </w:r>
          </w:p>
        </w:tc>
        <w:tc>
          <w:tcPr>
            <w:tcW w:w="4541" w:type="dxa"/>
            <w:shd w:val="clear" w:color="auto" w:fill="EEEEEF"/>
          </w:tcPr>
          <w:p w:rsidR="00CA3245" w:rsidRDefault="00CA3245" w:rsidP="004B6C91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Direct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antibody-dependent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cytotoxicity</w:t>
            </w:r>
          </w:p>
        </w:tc>
        <w:tc>
          <w:tcPr>
            <w:tcW w:w="1337" w:type="dxa"/>
            <w:shd w:val="clear" w:color="auto" w:fill="EEEEEF"/>
          </w:tcPr>
          <w:p w:rsidR="00CA3245" w:rsidRDefault="00CA3245" w:rsidP="004B6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6" w:type="dxa"/>
            <w:shd w:val="clear" w:color="auto" w:fill="EEEEEF"/>
          </w:tcPr>
          <w:p w:rsidR="00CA3245" w:rsidRDefault="00CA3245" w:rsidP="00CA3245">
            <w:pPr>
              <w:pStyle w:val="TableParagraph"/>
              <w:keepNext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95"/>
                <w:sz w:val="20"/>
              </w:rPr>
              <w:t>X</w:t>
            </w:r>
          </w:p>
        </w:tc>
      </w:tr>
    </w:tbl>
    <w:p w:rsidR="009E7E32" w:rsidRDefault="00CA3245" w:rsidP="00CA3245">
      <w:pPr>
        <w:pStyle w:val="Lgende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FE02BB">
        <w:rPr>
          <w:noProof/>
        </w:rPr>
        <w:t>3</w:t>
      </w:r>
      <w:r>
        <w:fldChar w:fldCharType="end"/>
      </w:r>
      <w:r>
        <w:t xml:space="preserve"> : </w:t>
      </w:r>
      <w:proofErr w:type="spellStart"/>
      <w:r>
        <w:t>neutrophil</w:t>
      </w:r>
      <w:proofErr w:type="spellEnd"/>
      <w:r>
        <w:t xml:space="preserve"> </w:t>
      </w:r>
      <w:proofErr w:type="spellStart"/>
      <w:r>
        <w:t>toxicity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immune checkpoint inhibitors</w:t>
      </w:r>
      <w:r w:rsidRPr="00CA3245">
        <w:rPr>
          <w:vertAlign w:val="superscript"/>
        </w:rPr>
        <w:t>56</w:t>
      </w:r>
    </w:p>
    <w:p w:rsidR="00840B4A" w:rsidRDefault="00840B4A" w:rsidP="009E7E32"/>
    <w:p w:rsidR="00840B4A" w:rsidRDefault="00840B4A" w:rsidP="00840B4A">
      <w:pPr>
        <w:keepNext/>
      </w:pPr>
      <w:r w:rsidRPr="00840B4A">
        <w:drawing>
          <wp:inline distT="0" distB="0" distL="0" distR="0" wp14:anchorId="4602D92E" wp14:editId="3D5F9B37">
            <wp:extent cx="5760720" cy="2335530"/>
            <wp:effectExtent l="0" t="0" r="0" b="762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B4A" w:rsidRDefault="00840B4A" w:rsidP="00840B4A">
      <w:pPr>
        <w:pStyle w:val="Lgende"/>
      </w:pPr>
      <w:r>
        <w:t xml:space="preserve">Figure S3 : </w:t>
      </w:r>
      <w:r w:rsidRPr="00840B4A">
        <w:t xml:space="preserve">Occurrence of </w:t>
      </w:r>
      <w:proofErr w:type="spellStart"/>
      <w:r w:rsidRPr="00840B4A">
        <w:t>neutropenia</w:t>
      </w:r>
      <w:proofErr w:type="spellEnd"/>
      <w:r w:rsidRPr="00840B4A">
        <w:t xml:space="preserve"> </w:t>
      </w:r>
      <w:proofErr w:type="spellStart"/>
      <w:r w:rsidRPr="00840B4A">
        <w:t>with</w:t>
      </w:r>
      <w:proofErr w:type="spellEnd"/>
      <w:r w:rsidRPr="00840B4A">
        <w:t xml:space="preserve"> </w:t>
      </w:r>
      <w:r>
        <w:t xml:space="preserve">immune checkpoint </w:t>
      </w:r>
      <w:proofErr w:type="spellStart"/>
      <w:r>
        <w:t>inhibitors</w:t>
      </w:r>
      <w:proofErr w:type="spellEnd"/>
      <w:r>
        <w:t xml:space="preserve"> </w:t>
      </w:r>
      <w:r w:rsidR="0020031E" w:rsidRPr="0020031E">
        <w:rPr>
          <w:vertAlign w:val="superscript"/>
        </w:rPr>
        <w:t>58,</w:t>
      </w:r>
      <w:r w:rsidRPr="0020031E">
        <w:rPr>
          <w:vertAlign w:val="superscript"/>
        </w:rPr>
        <w:t>67</w:t>
      </w:r>
      <w:r w:rsidRPr="00840B4A">
        <w:rPr>
          <w:vertAlign w:val="superscript"/>
        </w:rPr>
        <w:t>-72</w:t>
      </w:r>
    </w:p>
    <w:p w:rsidR="00840B4A" w:rsidRDefault="00840B4A" w:rsidP="00840B4A">
      <w:pPr>
        <w:keepNext/>
      </w:pPr>
      <w:r w:rsidRPr="00840B4A">
        <w:drawing>
          <wp:inline distT="0" distB="0" distL="0" distR="0" wp14:anchorId="2E956A40" wp14:editId="519B8902">
            <wp:extent cx="5760720" cy="28067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B4A" w:rsidRDefault="00840B4A" w:rsidP="00840B4A">
      <w:pPr>
        <w:pStyle w:val="Lgende"/>
      </w:pPr>
      <w:r>
        <w:t xml:space="preserve">Figure S4 : </w:t>
      </w:r>
      <w:r w:rsidRPr="00840B4A">
        <w:t xml:space="preserve">Management of </w:t>
      </w:r>
      <w:proofErr w:type="spellStart"/>
      <w:r w:rsidRPr="00840B4A">
        <w:t>neutropenia</w:t>
      </w:r>
      <w:proofErr w:type="spellEnd"/>
      <w:r w:rsidRPr="00840B4A">
        <w:t xml:space="preserve"> </w:t>
      </w:r>
      <w:proofErr w:type="spellStart"/>
      <w:r w:rsidRPr="00840B4A">
        <w:t>associated</w:t>
      </w:r>
      <w:proofErr w:type="spellEnd"/>
      <w:r w:rsidRPr="00840B4A">
        <w:t xml:space="preserve"> </w:t>
      </w:r>
      <w:proofErr w:type="spellStart"/>
      <w:r w:rsidRPr="00840B4A">
        <w:t>with</w:t>
      </w:r>
      <w:proofErr w:type="spellEnd"/>
      <w:r w:rsidRPr="00840B4A">
        <w:t xml:space="preserve"> </w:t>
      </w:r>
      <w:r>
        <w:t>immune checkpoint inhibitors</w:t>
      </w:r>
      <w:r w:rsidR="0020031E" w:rsidRPr="0020031E">
        <w:rPr>
          <w:vertAlign w:val="superscript"/>
        </w:rPr>
        <w:t>56,63,70,74</w:t>
      </w:r>
    </w:p>
    <w:p w:rsidR="00840B4A" w:rsidRDefault="00840B4A" w:rsidP="009E7E32"/>
    <w:p w:rsidR="00FE02BB" w:rsidRDefault="00FE02BB" w:rsidP="009E7E32"/>
    <w:p w:rsidR="00FE02BB" w:rsidRDefault="00FE02BB" w:rsidP="009E7E32"/>
    <w:p w:rsidR="00FE02BB" w:rsidRDefault="00FE02BB" w:rsidP="009E7E32"/>
    <w:tbl>
      <w:tblPr>
        <w:tblStyle w:val="TableNormal"/>
        <w:tblW w:w="0" w:type="auto"/>
        <w:jc w:val="center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2155"/>
        <w:gridCol w:w="2273"/>
      </w:tblGrid>
      <w:tr w:rsidR="00FE02BB" w:rsidTr="00FE02BB">
        <w:trPr>
          <w:trHeight w:val="479"/>
          <w:jc w:val="center"/>
        </w:trPr>
        <w:tc>
          <w:tcPr>
            <w:tcW w:w="4243" w:type="dxa"/>
            <w:tcBorders>
              <w:top w:val="nil"/>
              <w:left w:val="nil"/>
            </w:tcBorders>
          </w:tcPr>
          <w:p w:rsidR="00FE02BB" w:rsidRDefault="00FE02BB" w:rsidP="004B6C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:rsidR="00FE02BB" w:rsidRDefault="00FE02BB" w:rsidP="004B6C91">
            <w:pPr>
              <w:pStyle w:val="TableParagraph"/>
              <w:spacing w:before="160"/>
              <w:ind w:left="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Rituximab</w:t>
            </w:r>
          </w:p>
        </w:tc>
        <w:tc>
          <w:tcPr>
            <w:tcW w:w="2273" w:type="dxa"/>
            <w:tcBorders>
              <w:top w:val="nil"/>
            </w:tcBorders>
          </w:tcPr>
          <w:p w:rsidR="00FE02BB" w:rsidRDefault="00FE02BB" w:rsidP="004B6C91">
            <w:pPr>
              <w:pStyle w:val="TableParagraph"/>
              <w:spacing w:before="160"/>
              <w:rPr>
                <w:b/>
              </w:rPr>
            </w:pPr>
            <w:proofErr w:type="spellStart"/>
            <w:r>
              <w:rPr>
                <w:b/>
                <w:color w:val="FFFFFF"/>
                <w:spacing w:val="-2"/>
              </w:rPr>
              <w:t>Obinutuzumab</w:t>
            </w:r>
            <w:proofErr w:type="spellEnd"/>
          </w:p>
        </w:tc>
      </w:tr>
      <w:tr w:rsidR="00FE02BB" w:rsidTr="00FE02BB">
        <w:trPr>
          <w:trHeight w:val="474"/>
          <w:jc w:val="center"/>
        </w:trPr>
        <w:tc>
          <w:tcPr>
            <w:tcW w:w="4243" w:type="dxa"/>
            <w:tcBorders>
              <w:left w:val="nil"/>
            </w:tcBorders>
            <w:shd w:val="clear" w:color="auto" w:fill="EEEEEF"/>
          </w:tcPr>
          <w:p w:rsidR="00FE02BB" w:rsidRDefault="00FE02BB" w:rsidP="004B6C91">
            <w:pPr>
              <w:pStyle w:val="TableParagraph"/>
              <w:ind w:left="8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01244430" wp14:editId="675894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-311325</wp:posOffset>
                      </wp:positionV>
                      <wp:extent cx="5505450" cy="307975"/>
                      <wp:effectExtent l="0" t="0" r="0" b="0"/>
                      <wp:wrapNone/>
                      <wp:docPr id="12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05450" cy="307975"/>
                                <a:chOff x="0" y="0"/>
                                <a:chExt cx="5505450" cy="307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36627" cy="3095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53501" id="Group 1" o:spid="_x0000_s1026" style="position:absolute;margin-left:0;margin-top:-24.5pt;width:433.5pt;height:24.25pt;z-index:-251651072;mso-wrap-distance-left:0;mso-wrap-distance-right:0" coordsize="55054,3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">
                      <v:shape id="Image 13" o:spid="_x0000_s1027" type="#_x0000_t75" style="position:absolute;width:55366;height: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color w:val="44484E"/>
                <w:w w:val="90"/>
              </w:rPr>
              <w:t>Direct</w:t>
            </w:r>
            <w:r>
              <w:rPr>
                <w:color w:val="44484E"/>
                <w:spacing w:val="3"/>
              </w:rPr>
              <w:t xml:space="preserve"> </w:t>
            </w:r>
            <w:r>
              <w:rPr>
                <w:color w:val="44484E"/>
                <w:w w:val="90"/>
              </w:rPr>
              <w:t>cell</w:t>
            </w:r>
            <w:r>
              <w:rPr>
                <w:color w:val="44484E"/>
                <w:spacing w:val="4"/>
              </w:rPr>
              <w:t xml:space="preserve"> </w:t>
            </w:r>
            <w:r>
              <w:rPr>
                <w:color w:val="44484E"/>
                <w:spacing w:val="-2"/>
                <w:w w:val="90"/>
              </w:rPr>
              <w:t>death</w:t>
            </w:r>
          </w:p>
        </w:tc>
        <w:tc>
          <w:tcPr>
            <w:tcW w:w="2155" w:type="dxa"/>
            <w:shd w:val="clear" w:color="auto" w:fill="EEEEEF"/>
          </w:tcPr>
          <w:p w:rsidR="00FE02BB" w:rsidRDefault="00FE02BB" w:rsidP="004B6C91">
            <w:pPr>
              <w:pStyle w:val="TableParagraph"/>
              <w:ind w:left="8"/>
            </w:pPr>
            <w:r>
              <w:rPr>
                <w:color w:val="44484E"/>
                <w:spacing w:val="-10"/>
              </w:rPr>
              <w:t>+</w:t>
            </w:r>
          </w:p>
        </w:tc>
        <w:tc>
          <w:tcPr>
            <w:tcW w:w="2273" w:type="dxa"/>
            <w:shd w:val="clear" w:color="auto" w:fill="EEEEEF"/>
          </w:tcPr>
          <w:p w:rsidR="00FE02BB" w:rsidRDefault="00FE02BB" w:rsidP="004B6C91">
            <w:pPr>
              <w:pStyle w:val="TableParagraph"/>
            </w:pPr>
            <w:r>
              <w:rPr>
                <w:color w:val="44484E"/>
                <w:spacing w:val="-5"/>
              </w:rPr>
              <w:t>++</w:t>
            </w:r>
          </w:p>
        </w:tc>
      </w:tr>
      <w:tr w:rsidR="00FE02BB" w:rsidTr="00FE02BB">
        <w:trPr>
          <w:trHeight w:val="474"/>
          <w:jc w:val="center"/>
        </w:trPr>
        <w:tc>
          <w:tcPr>
            <w:tcW w:w="4243" w:type="dxa"/>
            <w:tcBorders>
              <w:left w:val="nil"/>
            </w:tcBorders>
          </w:tcPr>
          <w:p w:rsidR="00FE02BB" w:rsidRDefault="00FE02BB" w:rsidP="004B6C91">
            <w:pPr>
              <w:pStyle w:val="TableParagraph"/>
              <w:ind w:left="85"/>
            </w:pPr>
            <w:r>
              <w:rPr>
                <w:color w:val="44484E"/>
                <w:spacing w:val="-6"/>
              </w:rPr>
              <w:t>Antibody dependent cellular</w:t>
            </w:r>
            <w:r>
              <w:rPr>
                <w:color w:val="44484E"/>
                <w:spacing w:val="-5"/>
              </w:rPr>
              <w:t xml:space="preserve"> </w:t>
            </w:r>
            <w:r>
              <w:rPr>
                <w:color w:val="44484E"/>
                <w:spacing w:val="-6"/>
              </w:rPr>
              <w:t>cytotoxicity</w:t>
            </w:r>
          </w:p>
        </w:tc>
        <w:tc>
          <w:tcPr>
            <w:tcW w:w="2155" w:type="dxa"/>
          </w:tcPr>
          <w:p w:rsidR="00FE02BB" w:rsidRDefault="00FE02BB" w:rsidP="004B6C91">
            <w:pPr>
              <w:pStyle w:val="TableParagraph"/>
              <w:ind w:left="8"/>
            </w:pPr>
            <w:r>
              <w:rPr>
                <w:color w:val="44484E"/>
                <w:spacing w:val="-10"/>
              </w:rPr>
              <w:t>+</w:t>
            </w:r>
          </w:p>
        </w:tc>
        <w:tc>
          <w:tcPr>
            <w:tcW w:w="2273" w:type="dxa"/>
          </w:tcPr>
          <w:p w:rsidR="00FE02BB" w:rsidRDefault="00FE02BB" w:rsidP="004B6C91">
            <w:pPr>
              <w:pStyle w:val="TableParagraph"/>
            </w:pPr>
            <w:r>
              <w:rPr>
                <w:color w:val="44484E"/>
                <w:spacing w:val="-5"/>
              </w:rPr>
              <w:t>++</w:t>
            </w:r>
          </w:p>
        </w:tc>
      </w:tr>
      <w:tr w:rsidR="00FE02BB" w:rsidTr="00FE02BB">
        <w:trPr>
          <w:trHeight w:val="474"/>
          <w:jc w:val="center"/>
        </w:trPr>
        <w:tc>
          <w:tcPr>
            <w:tcW w:w="4243" w:type="dxa"/>
            <w:tcBorders>
              <w:left w:val="nil"/>
            </w:tcBorders>
            <w:shd w:val="clear" w:color="auto" w:fill="EEEEEF"/>
          </w:tcPr>
          <w:p w:rsidR="00FE02BB" w:rsidRDefault="00FE02BB" w:rsidP="004B6C91">
            <w:pPr>
              <w:pStyle w:val="TableParagraph"/>
              <w:ind w:left="85"/>
            </w:pPr>
            <w:r>
              <w:rPr>
                <w:color w:val="44484E"/>
                <w:spacing w:val="-8"/>
              </w:rPr>
              <w:t>Complement</w:t>
            </w:r>
            <w:r>
              <w:rPr>
                <w:color w:val="44484E"/>
                <w:spacing w:val="1"/>
              </w:rPr>
              <w:t xml:space="preserve"> </w:t>
            </w:r>
            <w:r>
              <w:rPr>
                <w:color w:val="44484E"/>
                <w:spacing w:val="-8"/>
              </w:rPr>
              <w:t>dependent</w:t>
            </w:r>
            <w:r>
              <w:rPr>
                <w:color w:val="44484E"/>
                <w:spacing w:val="2"/>
              </w:rPr>
              <w:t xml:space="preserve"> </w:t>
            </w:r>
            <w:r>
              <w:rPr>
                <w:color w:val="44484E"/>
                <w:spacing w:val="-8"/>
              </w:rPr>
              <w:t>cytotoxicity</w:t>
            </w:r>
          </w:p>
        </w:tc>
        <w:tc>
          <w:tcPr>
            <w:tcW w:w="2155" w:type="dxa"/>
            <w:shd w:val="clear" w:color="auto" w:fill="EEEEEF"/>
          </w:tcPr>
          <w:p w:rsidR="00FE02BB" w:rsidRDefault="00FE02BB" w:rsidP="004B6C91">
            <w:pPr>
              <w:pStyle w:val="TableParagraph"/>
              <w:ind w:left="8"/>
            </w:pPr>
            <w:r>
              <w:rPr>
                <w:color w:val="44484E"/>
                <w:spacing w:val="-5"/>
              </w:rPr>
              <w:t>++</w:t>
            </w:r>
          </w:p>
        </w:tc>
        <w:tc>
          <w:tcPr>
            <w:tcW w:w="2273" w:type="dxa"/>
            <w:shd w:val="clear" w:color="auto" w:fill="EEEEEF"/>
          </w:tcPr>
          <w:p w:rsidR="00FE02BB" w:rsidRDefault="00FE02BB" w:rsidP="004B6C91">
            <w:pPr>
              <w:pStyle w:val="TableParagraph"/>
            </w:pPr>
            <w:r>
              <w:rPr>
                <w:color w:val="44484E"/>
                <w:spacing w:val="-10"/>
              </w:rPr>
              <w:t>0</w:t>
            </w:r>
          </w:p>
        </w:tc>
      </w:tr>
      <w:tr w:rsidR="00FE02BB" w:rsidTr="00FE02BB">
        <w:trPr>
          <w:trHeight w:val="479"/>
          <w:jc w:val="center"/>
        </w:trPr>
        <w:tc>
          <w:tcPr>
            <w:tcW w:w="4243" w:type="dxa"/>
            <w:tcBorders>
              <w:left w:val="nil"/>
              <w:bottom w:val="nil"/>
            </w:tcBorders>
          </w:tcPr>
          <w:p w:rsidR="00FE02BB" w:rsidRDefault="00FE02BB" w:rsidP="004B6C91">
            <w:pPr>
              <w:pStyle w:val="TableParagraph"/>
              <w:ind w:left="85"/>
            </w:pPr>
            <w:r>
              <w:rPr>
                <w:color w:val="44484E"/>
                <w:spacing w:val="-6"/>
              </w:rPr>
              <w:t>Antibody dependent phagocytosis</w:t>
            </w:r>
          </w:p>
        </w:tc>
        <w:tc>
          <w:tcPr>
            <w:tcW w:w="2155" w:type="dxa"/>
            <w:tcBorders>
              <w:bottom w:val="nil"/>
            </w:tcBorders>
          </w:tcPr>
          <w:p w:rsidR="00FE02BB" w:rsidRDefault="00FE02BB" w:rsidP="004B6C91">
            <w:pPr>
              <w:pStyle w:val="TableParagraph"/>
              <w:ind w:left="8"/>
            </w:pPr>
            <w:r>
              <w:rPr>
                <w:color w:val="44484E"/>
                <w:spacing w:val="-10"/>
              </w:rPr>
              <w:t>+</w:t>
            </w:r>
          </w:p>
        </w:tc>
        <w:tc>
          <w:tcPr>
            <w:tcW w:w="2273" w:type="dxa"/>
            <w:tcBorders>
              <w:bottom w:val="nil"/>
            </w:tcBorders>
          </w:tcPr>
          <w:p w:rsidR="00FE02BB" w:rsidRDefault="00FE02BB" w:rsidP="00FE02BB">
            <w:pPr>
              <w:pStyle w:val="TableParagraph"/>
              <w:keepNext/>
            </w:pPr>
            <w:r>
              <w:rPr>
                <w:color w:val="44484E"/>
                <w:spacing w:val="-5"/>
              </w:rPr>
              <w:t>++</w:t>
            </w:r>
          </w:p>
        </w:tc>
      </w:tr>
    </w:tbl>
    <w:p w:rsidR="00FE02BB" w:rsidRDefault="00FE02BB" w:rsidP="00FE02BB">
      <w:pPr>
        <w:pStyle w:val="Lgende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 : </w:t>
      </w:r>
      <w:r w:rsidRPr="00FE02BB">
        <w:t xml:space="preserve">Rituximab and </w:t>
      </w:r>
      <w:proofErr w:type="spellStart"/>
      <w:r>
        <w:t>o</w:t>
      </w:r>
      <w:r w:rsidRPr="00FE02BB">
        <w:t>binutuzumab</w:t>
      </w:r>
      <w:proofErr w:type="spellEnd"/>
      <w:r>
        <w:t xml:space="preserve"> </w:t>
      </w:r>
      <w:proofErr w:type="spellStart"/>
      <w:r>
        <w:t>m</w:t>
      </w:r>
      <w:r w:rsidRPr="00FE02BB">
        <w:t>echanisms</w:t>
      </w:r>
      <w:proofErr w:type="spellEnd"/>
      <w:r w:rsidRPr="00FE02BB">
        <w:t xml:space="preserve"> of action</w:t>
      </w:r>
      <w:r w:rsidRPr="00FE02BB">
        <w:rPr>
          <w:vertAlign w:val="superscript"/>
        </w:rPr>
        <w:t>81-83</w:t>
      </w:r>
    </w:p>
    <w:p w:rsidR="00FE02BB" w:rsidRDefault="00FE02BB" w:rsidP="009E7E32"/>
    <w:p w:rsidR="00FE02BB" w:rsidRDefault="00FE02BB" w:rsidP="00FE02BB">
      <w:pPr>
        <w:keepNext/>
      </w:pPr>
      <w:r w:rsidRPr="00FE02BB">
        <w:drawing>
          <wp:inline distT="0" distB="0" distL="0" distR="0" wp14:anchorId="337DABCF" wp14:editId="1E64A841">
            <wp:extent cx="5760720" cy="267398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2BB" w:rsidRDefault="00FE02BB" w:rsidP="00FE02BB">
      <w:pPr>
        <w:pStyle w:val="Lgende"/>
        <w:rPr>
          <w:vertAlign w:val="superscript"/>
        </w:rPr>
      </w:pPr>
      <w:r>
        <w:t xml:space="preserve">Figure S5 : data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trials on antiCD20-mAb </w:t>
      </w:r>
      <w:proofErr w:type="spellStart"/>
      <w:r>
        <w:t>associated</w:t>
      </w:r>
      <w:proofErr w:type="spellEnd"/>
      <w:r>
        <w:t xml:space="preserve"> neutropenia</w:t>
      </w:r>
      <w:r w:rsidRPr="00FE02BB">
        <w:rPr>
          <w:vertAlign w:val="superscript"/>
        </w:rPr>
        <w:t>91-97</w:t>
      </w:r>
    </w:p>
    <w:p w:rsidR="00707ADF" w:rsidRPr="00707ADF" w:rsidRDefault="00707ADF" w:rsidP="00707ADF"/>
    <w:p w:rsidR="00707ADF" w:rsidRDefault="00707ADF" w:rsidP="00707ADF">
      <w:pPr>
        <w:keepNext/>
      </w:pPr>
      <w:r w:rsidRPr="00707ADF">
        <w:drawing>
          <wp:inline distT="0" distB="0" distL="0" distR="0" wp14:anchorId="126C8F2C" wp14:editId="237B53B9">
            <wp:extent cx="5760720" cy="2259330"/>
            <wp:effectExtent l="0" t="0" r="0" b="762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ADF" w:rsidRDefault="00707ADF" w:rsidP="00707ADF">
      <w:pPr>
        <w:pStyle w:val="Lgende"/>
      </w:pPr>
      <w:r>
        <w:t>Figure S6 :</w:t>
      </w:r>
      <w:r w:rsidRPr="00707ADF">
        <w:t xml:space="preserve"> </w:t>
      </w:r>
      <w:r>
        <w:t xml:space="preserve">Management of </w:t>
      </w:r>
      <w:proofErr w:type="spellStart"/>
      <w:r w:rsidR="00C220BB">
        <w:t>n</w:t>
      </w:r>
      <w:bookmarkStart w:id="0" w:name="_GoBack"/>
      <w:bookmarkEnd w:id="0"/>
      <w:r w:rsidRPr="00707ADF">
        <w:t>eutropenia</w:t>
      </w:r>
      <w:proofErr w:type="spellEnd"/>
      <w:r w:rsidRPr="00707ADF">
        <w:t xml:space="preserve"> </w:t>
      </w:r>
      <w:proofErr w:type="spellStart"/>
      <w:r w:rsidRPr="00707ADF">
        <w:t>associated</w:t>
      </w:r>
      <w:proofErr w:type="spellEnd"/>
      <w:r w:rsidRPr="00707ADF">
        <w:t xml:space="preserve"> </w:t>
      </w:r>
      <w:proofErr w:type="spellStart"/>
      <w:r w:rsidRPr="00707ADF">
        <w:t>with</w:t>
      </w:r>
      <w:proofErr w:type="spellEnd"/>
      <w:r w:rsidRPr="00707ADF">
        <w:t xml:space="preserve"> antiCD20</w:t>
      </w:r>
      <w:r>
        <w:t>-mAb</w:t>
      </w:r>
      <w:r w:rsidRPr="00C15F2C">
        <w:rPr>
          <w:vertAlign w:val="superscript"/>
        </w:rPr>
        <w:t>84,</w:t>
      </w:r>
      <w:r w:rsidR="00C15F2C" w:rsidRPr="00C15F2C">
        <w:rPr>
          <w:vertAlign w:val="superscript"/>
        </w:rPr>
        <w:t>91,</w:t>
      </w:r>
      <w:r w:rsidRPr="00C15F2C">
        <w:rPr>
          <w:vertAlign w:val="superscript"/>
        </w:rPr>
        <w:t xml:space="preserve"> 98, 99</w:t>
      </w:r>
    </w:p>
    <w:p w:rsidR="009E7E32" w:rsidRPr="009E7E32" w:rsidRDefault="009E7E32" w:rsidP="009E7E32"/>
    <w:sectPr w:rsidR="009E7E32" w:rsidRPr="009E7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B0"/>
    <w:rsid w:val="00137783"/>
    <w:rsid w:val="0014014A"/>
    <w:rsid w:val="0020031E"/>
    <w:rsid w:val="00224162"/>
    <w:rsid w:val="00280952"/>
    <w:rsid w:val="00341BB1"/>
    <w:rsid w:val="00706F79"/>
    <w:rsid w:val="00707ADF"/>
    <w:rsid w:val="00840B4A"/>
    <w:rsid w:val="009771B0"/>
    <w:rsid w:val="009E7E32"/>
    <w:rsid w:val="00A019A4"/>
    <w:rsid w:val="00C15F2C"/>
    <w:rsid w:val="00C220BB"/>
    <w:rsid w:val="00C74EF2"/>
    <w:rsid w:val="00CA3245"/>
    <w:rsid w:val="00FE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A43D"/>
  <w15:chartTrackingRefBased/>
  <w15:docId w15:val="{D1B0F3C4-109A-4921-BFFC-DED4AD47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9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809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0952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2809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28095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ANTHERIEU, Gabriel</dc:creator>
  <cp:keywords/>
  <dc:description/>
  <cp:lastModifiedBy>ANTHERIEU, Gabriel</cp:lastModifiedBy>
  <cp:revision>10</cp:revision>
  <dcterms:created xsi:type="dcterms:W3CDTF">2024-12-20T09:06:00Z</dcterms:created>
  <dcterms:modified xsi:type="dcterms:W3CDTF">2024-12-20T11:42:00Z</dcterms:modified>
</cp:coreProperties>
</file>