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7985F">
      <w:pPr>
        <w:spacing w:line="480" w:lineRule="auto"/>
        <w:rPr>
          <w:rFonts w:ascii="Times New Roman" w:hAnsi="Times New Roman" w:cs="Times New Roman"/>
          <w:b/>
        </w:rPr>
      </w:pPr>
      <w:r>
        <w:rPr>
          <w:rFonts w:ascii="Times New Roman" w:hAnsi="Times New Roman" w:cs="Times New Roman"/>
          <w:b/>
        </w:rPr>
        <w:t>SUPPLEMENTARY DATA:</w:t>
      </w:r>
    </w:p>
    <w:p w14:paraId="348E63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w:t>
      </w:r>
      <w:r>
        <w:rPr>
          <w:rFonts w:hint="default" w:ascii="Times New Roman" w:hAnsi="Times New Roman" w:cs="Times New Roman"/>
          <w:b w:val="0"/>
          <w:bCs w:val="0"/>
          <w:sz w:val="24"/>
          <w:szCs w:val="24"/>
          <w:lang w:val="en-US" w:eastAsia="zh-CN"/>
        </w:rPr>
        <w:t xml:space="preserve">ntermittent </w:t>
      </w:r>
      <w:r>
        <w:rPr>
          <w:rFonts w:hint="eastAsia" w:ascii="Times New Roman" w:hAnsi="Times New Roman" w:cs="Times New Roman"/>
          <w:b w:val="0"/>
          <w:bCs w:val="0"/>
          <w:sz w:val="24"/>
          <w:szCs w:val="24"/>
          <w:lang w:val="en-US" w:eastAsia="zh-CN"/>
        </w:rPr>
        <w:t>P</w:t>
      </w:r>
      <w:r>
        <w:rPr>
          <w:rFonts w:hint="default" w:ascii="Times New Roman" w:hAnsi="Times New Roman" w:cs="Times New Roman"/>
          <w:b w:val="0"/>
          <w:bCs w:val="0"/>
          <w:sz w:val="24"/>
          <w:szCs w:val="24"/>
          <w:lang w:val="en-US" w:eastAsia="zh-CN"/>
        </w:rPr>
        <w:t xml:space="preserve">neumatic </w:t>
      </w:r>
      <w:r>
        <w:rPr>
          <w:rFonts w:hint="eastAsia" w:ascii="Times New Roman" w:hAnsi="Times New Roman" w:cs="Times New Roman"/>
          <w:b w:val="0"/>
          <w:bCs w:val="0"/>
          <w:sz w:val="24"/>
          <w:szCs w:val="24"/>
          <w:lang w:val="en-US" w:eastAsia="zh-CN"/>
        </w:rPr>
        <w:t>C</w:t>
      </w:r>
      <w:r>
        <w:rPr>
          <w:rFonts w:hint="default" w:ascii="Times New Roman" w:hAnsi="Times New Roman" w:cs="Times New Roman"/>
          <w:b w:val="0"/>
          <w:bCs w:val="0"/>
          <w:sz w:val="24"/>
          <w:szCs w:val="24"/>
          <w:lang w:val="en-US" w:eastAsia="zh-CN"/>
        </w:rPr>
        <w:t xml:space="preserve">ompression </w:t>
      </w:r>
      <w:r>
        <w:rPr>
          <w:rFonts w:hint="eastAsia" w:ascii="Times New Roman" w:hAnsi="Times New Roman" w:cs="Times New Roman"/>
          <w:b w:val="0"/>
          <w:bCs w:val="0"/>
          <w:sz w:val="24"/>
          <w:szCs w:val="24"/>
          <w:lang w:val="en-US" w:eastAsia="zh-CN"/>
        </w:rPr>
        <w:t>D</w:t>
      </w:r>
      <w:r>
        <w:rPr>
          <w:rFonts w:hint="default" w:ascii="Times New Roman" w:hAnsi="Times New Roman" w:cs="Times New Roman"/>
          <w:b w:val="0"/>
          <w:bCs w:val="0"/>
          <w:sz w:val="24"/>
          <w:szCs w:val="24"/>
          <w:lang w:val="en-US" w:eastAsia="zh-CN"/>
        </w:rPr>
        <w:t xml:space="preserve">evices </w:t>
      </w:r>
      <w:r>
        <w:rPr>
          <w:rFonts w:hint="eastAsia" w:ascii="Times New Roman" w:hAnsi="Times New Roman" w:cs="Times New Roman"/>
          <w:b w:val="0"/>
          <w:bCs w:val="0"/>
          <w:sz w:val="24"/>
          <w:szCs w:val="24"/>
          <w:lang w:val="en-US" w:eastAsia="zh-CN"/>
        </w:rPr>
        <w:t>for</w:t>
      </w:r>
      <w:r>
        <w:rPr>
          <w:rFonts w:hint="default" w:ascii="Times New Roman" w:hAnsi="Times New Roman"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the Prevention and Treatment of B</w:t>
      </w:r>
      <w:r>
        <w:rPr>
          <w:rFonts w:hint="default" w:ascii="Times New Roman" w:hAnsi="Times New Roman" w:cs="Times New Roman"/>
          <w:b w:val="0"/>
          <w:bCs w:val="0"/>
          <w:sz w:val="24"/>
          <w:szCs w:val="24"/>
          <w:lang w:val="en-US" w:eastAsia="zh-CN"/>
        </w:rPr>
        <w:t xml:space="preserve">reast </w:t>
      </w:r>
      <w:r>
        <w:rPr>
          <w:rFonts w:hint="eastAsia" w:ascii="Times New Roman" w:hAnsi="Times New Roman" w:cs="Times New Roman"/>
          <w:b w:val="0"/>
          <w:bCs w:val="0"/>
          <w:sz w:val="24"/>
          <w:szCs w:val="24"/>
          <w:lang w:val="en-US" w:eastAsia="zh-CN"/>
        </w:rPr>
        <w:t>C</w:t>
      </w:r>
      <w:r>
        <w:rPr>
          <w:rFonts w:hint="default" w:ascii="Times New Roman" w:hAnsi="Times New Roman" w:cs="Times New Roman"/>
          <w:b w:val="0"/>
          <w:bCs w:val="0"/>
          <w:sz w:val="24"/>
          <w:szCs w:val="24"/>
          <w:lang w:val="en-US" w:eastAsia="zh-CN"/>
        </w:rPr>
        <w:t>ancer-</w:t>
      </w:r>
      <w:r>
        <w:rPr>
          <w:rFonts w:hint="eastAsia" w:ascii="Times New Roman" w:hAnsi="Times New Roman" w:cs="Times New Roman"/>
          <w:b w:val="0"/>
          <w:bCs w:val="0"/>
          <w:sz w:val="24"/>
          <w:szCs w:val="24"/>
          <w:lang w:val="en-US" w:eastAsia="zh-CN"/>
        </w:rPr>
        <w:t>R</w:t>
      </w:r>
      <w:r>
        <w:rPr>
          <w:rFonts w:hint="default" w:ascii="Times New Roman" w:hAnsi="Times New Roman" w:cs="Times New Roman"/>
          <w:b w:val="0"/>
          <w:bCs w:val="0"/>
          <w:sz w:val="24"/>
          <w:szCs w:val="24"/>
          <w:lang w:val="en-US" w:eastAsia="zh-CN"/>
        </w:rPr>
        <w:t xml:space="preserve">elated </w:t>
      </w:r>
      <w:r>
        <w:rPr>
          <w:rFonts w:hint="eastAsia" w:ascii="Times New Roman" w:hAnsi="Times New Roman" w:cs="Times New Roman"/>
          <w:b w:val="0"/>
          <w:bCs w:val="0"/>
          <w:sz w:val="24"/>
          <w:szCs w:val="24"/>
          <w:lang w:val="en-US" w:eastAsia="zh-CN"/>
        </w:rPr>
        <w:t>L</w:t>
      </w:r>
      <w:r>
        <w:rPr>
          <w:rFonts w:hint="default" w:ascii="Times New Roman" w:hAnsi="Times New Roman" w:cs="Times New Roman"/>
          <w:b w:val="0"/>
          <w:bCs w:val="0"/>
          <w:sz w:val="24"/>
          <w:szCs w:val="24"/>
          <w:lang w:val="en-US" w:eastAsia="zh-CN"/>
        </w:rPr>
        <w:t>ymphedema</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 xml:space="preserve">A Systematic Review and </w:t>
      </w:r>
      <w:r>
        <w:rPr>
          <w:rFonts w:hint="eastAsia" w:ascii="Times New Roman" w:hAnsi="Times New Roman" w:cs="Times New Roman"/>
          <w:b w:val="0"/>
          <w:bCs w:val="0"/>
          <w:sz w:val="24"/>
          <w:szCs w:val="24"/>
          <w:lang w:val="en-US" w:eastAsia="zh-CN"/>
        </w:rPr>
        <w:t>M</w:t>
      </w:r>
      <w:r>
        <w:rPr>
          <w:rFonts w:hint="default" w:ascii="Times New Roman" w:hAnsi="Times New Roman" w:cs="Times New Roman"/>
          <w:b w:val="0"/>
          <w:bCs w:val="0"/>
          <w:sz w:val="24"/>
          <w:szCs w:val="24"/>
          <w:lang w:val="en-US" w:eastAsia="zh-CN"/>
        </w:rPr>
        <w:t>eta-analysis</w:t>
      </w:r>
    </w:p>
    <w:p w14:paraId="35787CCD">
      <w:pPr>
        <w:rPr>
          <w:rFonts w:ascii="Times New Roman" w:hAnsi="Times New Roman" w:cs="Times New Roman"/>
          <w:b/>
          <w:bCs/>
        </w:rPr>
      </w:pPr>
    </w:p>
    <w:p w14:paraId="74FAB823">
      <w:pPr>
        <w:rPr>
          <w:rFonts w:ascii="Times New Roman" w:hAnsi="Times New Roman" w:cs="Times New Roman"/>
          <w:b/>
          <w:bCs/>
        </w:rPr>
      </w:pPr>
    </w:p>
    <w:sdt>
      <w:sdtPr>
        <w:rPr>
          <w:rFonts w:ascii="Times New Roman" w:hAnsi="Times New Roman" w:cs="Times New Roman" w:eastAsiaTheme="minorEastAsia"/>
          <w:color w:val="auto"/>
          <w:sz w:val="24"/>
          <w:szCs w:val="24"/>
          <w:lang w:eastAsia="zh-CN"/>
        </w:rPr>
        <w:id w:val="1333876942"/>
        <w:docPartObj>
          <w:docPartGallery w:val="Table of Contents"/>
          <w:docPartUnique/>
        </w:docPartObj>
      </w:sdtPr>
      <w:sdtEndPr>
        <w:rPr>
          <w:rFonts w:ascii="Times New Roman" w:hAnsi="Times New Roman" w:cs="Times New Roman" w:eastAsiaTheme="minorEastAsia"/>
          <w:b w:val="0"/>
          <w:bCs w:val="0"/>
          <w:color w:val="auto"/>
          <w:sz w:val="24"/>
          <w:szCs w:val="24"/>
          <w:lang w:eastAsia="zh-CN"/>
        </w:rPr>
      </w:sdtEndPr>
      <w:sdtContent>
        <w:p w14:paraId="74254CC4">
          <w:pPr>
            <w:pStyle w:val="10"/>
            <w:rPr>
              <w:rFonts w:ascii="Times New Roman" w:hAnsi="Times New Roman" w:cs="Times New Roman"/>
              <w:sz w:val="24"/>
              <w:szCs w:val="24"/>
            </w:rPr>
          </w:pPr>
          <w:r>
            <w:rPr>
              <w:rFonts w:ascii="Times New Roman" w:hAnsi="Times New Roman" w:cs="Times New Roman"/>
              <w:sz w:val="24"/>
              <w:szCs w:val="24"/>
            </w:rPr>
            <w:t xml:space="preserve">Contents </w:t>
          </w:r>
          <w:r>
            <w:rPr>
              <w:rFonts w:ascii="Times New Roman" w:hAnsi="Times New Roman" w:cs="Times New Roman"/>
              <w:sz w:val="24"/>
              <w:szCs w:val="24"/>
              <w:lang w:eastAsia="zh-CN"/>
            </w:rPr>
            <w:t>of Supplements</w:t>
          </w:r>
        </w:p>
        <w:p w14:paraId="1BD895E5">
          <w:pPr>
            <w:pStyle w:val="5"/>
            <w:rPr>
              <w:rFonts w:ascii="Times New Roman" w:hAnsi="Times New Roman" w:cs="Times New Roman"/>
              <w:b w:val="0"/>
              <w:bCs w:val="0"/>
              <w:i w:val="0"/>
              <w:iCs w:val="0"/>
              <w:color w:val="auto"/>
              <w:kern w:val="2"/>
              <w:sz w:val="21"/>
              <w:szCs w:val="22"/>
              <w:u w:val="none"/>
            </w:rPr>
          </w:pPr>
          <w:r>
            <w:rPr>
              <w:color w:val="auto"/>
              <w:u w:val="none"/>
            </w:rPr>
            <w:fldChar w:fldCharType="begin"/>
          </w:r>
          <w:r>
            <w:rPr>
              <w:color w:val="auto"/>
              <w:u w:val="none"/>
            </w:rPr>
            <w:instrText xml:space="preserve"> HYPERLINK \l "_Toc119338440" </w:instrText>
          </w:r>
          <w:r>
            <w:rPr>
              <w:color w:val="auto"/>
              <w:u w:val="none"/>
            </w:rPr>
            <w:fldChar w:fldCharType="separate"/>
          </w:r>
          <w:r>
            <w:rPr>
              <w:rStyle w:val="9"/>
              <w:rFonts w:ascii="Times New Roman" w:hAnsi="Times New Roman" w:eastAsia="Times New Roman" w:cs="Times New Roman"/>
              <w:b w:val="0"/>
              <w:bCs w:val="0"/>
              <w:i w:val="0"/>
              <w:iCs w:val="0"/>
              <w:color w:val="auto"/>
              <w:u w:val="none"/>
            </w:rPr>
            <w:t xml:space="preserve">Appendix </w:t>
          </w:r>
          <w:r>
            <w:rPr>
              <w:rStyle w:val="9"/>
              <w:rFonts w:ascii="Times New Roman" w:hAnsi="Times New Roman" w:cs="Times New Roman"/>
              <w:b w:val="0"/>
              <w:bCs w:val="0"/>
              <w:i w:val="0"/>
              <w:iCs w:val="0"/>
              <w:color w:val="auto"/>
              <w:u w:val="none"/>
            </w:rPr>
            <w:t xml:space="preserve">1 </w:t>
          </w:r>
          <w:r>
            <w:rPr>
              <w:rStyle w:val="9"/>
              <w:rFonts w:hint="default" w:ascii="Times New Roman" w:hAnsi="Times New Roman" w:cs="Times New Roman"/>
              <w:b w:val="0"/>
              <w:bCs w:val="0"/>
              <w:i w:val="0"/>
              <w:iCs w:val="0"/>
              <w:color w:val="auto"/>
              <w:u w:val="none"/>
              <w:lang w:val="en-US"/>
            </w:rPr>
            <w:t>Inclusion and exclusion criteria and main outcomes for included studies</w:t>
          </w:r>
          <w:r>
            <w:rPr>
              <w:rFonts w:ascii="Times New Roman" w:hAnsi="Times New Roman" w:cs="Times New Roman"/>
              <w:b w:val="0"/>
              <w:bCs w:val="0"/>
              <w:i w:val="0"/>
              <w:iCs w:val="0"/>
              <w:color w:val="auto"/>
              <w:u w:val="none"/>
            </w:rPr>
            <w:tab/>
          </w:r>
          <w:r>
            <w:rPr>
              <w:rFonts w:hint="default" w:ascii="Times New Roman" w:hAnsi="Times New Roman" w:cs="Times New Roman"/>
              <w:b w:val="0"/>
              <w:bCs w:val="0"/>
              <w:i w:val="0"/>
              <w:iCs w:val="0"/>
              <w:color w:val="auto"/>
              <w:u w:val="none"/>
              <w:lang w:val="en-US"/>
            </w:rPr>
            <w:t>2</w:t>
          </w:r>
          <w:r>
            <w:rPr>
              <w:rFonts w:ascii="Times New Roman" w:hAnsi="Times New Roman" w:cs="Times New Roman"/>
              <w:b w:val="0"/>
              <w:bCs w:val="0"/>
              <w:i w:val="0"/>
              <w:iCs w:val="0"/>
              <w:color w:val="auto"/>
              <w:u w:val="none"/>
            </w:rPr>
            <w:fldChar w:fldCharType="end"/>
          </w:r>
        </w:p>
        <w:p w14:paraId="485F4FF4">
          <w:pPr>
            <w:pStyle w:val="5"/>
            <w:rPr>
              <w:rFonts w:ascii="Times New Roman" w:hAnsi="Times New Roman" w:cs="Times New Roman"/>
              <w:b w:val="0"/>
              <w:bCs w:val="0"/>
              <w:i w:val="0"/>
              <w:iCs w:val="0"/>
              <w:color w:val="auto"/>
              <w:kern w:val="2"/>
              <w:sz w:val="21"/>
              <w:szCs w:val="22"/>
              <w:u w:val="none"/>
            </w:rPr>
          </w:pPr>
          <w:r>
            <w:rPr>
              <w:color w:val="auto"/>
              <w:u w:val="none"/>
            </w:rPr>
            <w:fldChar w:fldCharType="begin"/>
          </w:r>
          <w:r>
            <w:rPr>
              <w:color w:val="auto"/>
              <w:u w:val="none"/>
            </w:rPr>
            <w:instrText xml:space="preserve"> HYPERLINK \l "_Toc119338441" </w:instrText>
          </w:r>
          <w:r>
            <w:rPr>
              <w:color w:val="auto"/>
              <w:u w:val="none"/>
            </w:rPr>
            <w:fldChar w:fldCharType="separate"/>
          </w:r>
          <w:r>
            <w:rPr>
              <w:rStyle w:val="9"/>
              <w:rFonts w:ascii="Times New Roman" w:hAnsi="Times New Roman" w:eastAsia="Times New Roman" w:cs="Times New Roman"/>
              <w:b w:val="0"/>
              <w:bCs w:val="0"/>
              <w:i w:val="0"/>
              <w:iCs w:val="0"/>
              <w:color w:val="auto"/>
              <w:u w:val="none"/>
            </w:rPr>
            <w:t xml:space="preserve">Appendix </w:t>
          </w:r>
          <w:r>
            <w:rPr>
              <w:rStyle w:val="9"/>
              <w:rFonts w:ascii="Times New Roman" w:hAnsi="Times New Roman" w:cs="Times New Roman"/>
              <w:b w:val="0"/>
              <w:bCs w:val="0"/>
              <w:i w:val="0"/>
              <w:iCs w:val="0"/>
              <w:color w:val="auto"/>
              <w:u w:val="none"/>
            </w:rPr>
            <w:t xml:space="preserve">2 </w:t>
          </w:r>
          <w:r>
            <w:rPr>
              <w:rStyle w:val="9"/>
              <w:rFonts w:hint="default" w:ascii="Times New Roman" w:hAnsi="Times New Roman" w:cs="Times New Roman"/>
              <w:b w:val="0"/>
              <w:bCs w:val="0"/>
              <w:i w:val="0"/>
              <w:iCs w:val="0"/>
              <w:color w:val="auto"/>
              <w:u w:val="none"/>
              <w:lang w:val="en-US"/>
            </w:rPr>
            <w:t>Bias risk of the included studies</w:t>
          </w:r>
          <w:r>
            <w:rPr>
              <w:rFonts w:ascii="Times New Roman" w:hAnsi="Times New Roman" w:cs="Times New Roman"/>
              <w:b w:val="0"/>
              <w:bCs w:val="0"/>
              <w:i w:val="0"/>
              <w:iCs w:val="0"/>
              <w:color w:val="auto"/>
              <w:u w:val="none"/>
            </w:rPr>
            <w:tab/>
          </w:r>
          <w:r>
            <w:rPr>
              <w:rFonts w:hint="default" w:ascii="Times New Roman" w:hAnsi="Times New Roman" w:cs="Times New Roman"/>
              <w:b w:val="0"/>
              <w:bCs w:val="0"/>
              <w:i w:val="0"/>
              <w:iCs w:val="0"/>
              <w:color w:val="auto"/>
              <w:u w:val="none"/>
              <w:lang w:val="en-US"/>
            </w:rPr>
            <w:t>5</w:t>
          </w:r>
          <w:r>
            <w:rPr>
              <w:rFonts w:ascii="Times New Roman" w:hAnsi="Times New Roman" w:cs="Times New Roman"/>
              <w:b w:val="0"/>
              <w:bCs w:val="0"/>
              <w:i w:val="0"/>
              <w:iCs w:val="0"/>
              <w:color w:val="auto"/>
              <w:u w:val="none"/>
            </w:rPr>
            <w:fldChar w:fldCharType="end"/>
          </w:r>
        </w:p>
        <w:p w14:paraId="13BA7F95">
          <w:pPr>
            <w:pStyle w:val="5"/>
            <w:rPr>
              <w:rFonts w:ascii="Times New Roman" w:hAnsi="Times New Roman" w:cs="Times New Roman"/>
              <w:b w:val="0"/>
              <w:bCs w:val="0"/>
              <w:i w:val="0"/>
              <w:iCs w:val="0"/>
              <w:color w:val="auto"/>
              <w:kern w:val="2"/>
              <w:sz w:val="21"/>
              <w:szCs w:val="22"/>
              <w:u w:val="none"/>
            </w:rPr>
          </w:pPr>
          <w:r>
            <w:rPr>
              <w:color w:val="auto"/>
              <w:u w:val="none"/>
            </w:rPr>
            <w:fldChar w:fldCharType="begin"/>
          </w:r>
          <w:r>
            <w:rPr>
              <w:color w:val="auto"/>
              <w:u w:val="none"/>
            </w:rPr>
            <w:instrText xml:space="preserve"> HYPERLINK \l "_Toc119338442" </w:instrText>
          </w:r>
          <w:r>
            <w:rPr>
              <w:color w:val="auto"/>
              <w:u w:val="none"/>
            </w:rPr>
            <w:fldChar w:fldCharType="separate"/>
          </w:r>
          <w:r>
            <w:rPr>
              <w:rStyle w:val="9"/>
              <w:rFonts w:ascii="Times New Roman" w:hAnsi="Times New Roman" w:eastAsia="Times New Roman" w:cs="Times New Roman"/>
              <w:b w:val="0"/>
              <w:bCs w:val="0"/>
              <w:i w:val="0"/>
              <w:iCs w:val="0"/>
              <w:color w:val="auto"/>
              <w:u w:val="none"/>
            </w:rPr>
            <w:t xml:space="preserve">Appendix </w:t>
          </w:r>
          <w:r>
            <w:rPr>
              <w:rStyle w:val="9"/>
              <w:rFonts w:ascii="Times New Roman" w:hAnsi="Times New Roman" w:cs="Times New Roman"/>
              <w:b w:val="0"/>
              <w:bCs w:val="0"/>
              <w:i w:val="0"/>
              <w:iCs w:val="0"/>
              <w:color w:val="auto"/>
              <w:u w:val="none"/>
            </w:rPr>
            <w:t xml:space="preserve">3 </w:t>
          </w:r>
          <w:r>
            <w:rPr>
              <w:rStyle w:val="9"/>
              <w:rFonts w:hint="default" w:ascii="Times New Roman" w:hAnsi="Times New Roman" w:cs="Times New Roman"/>
              <w:b w:val="0"/>
              <w:bCs w:val="0"/>
              <w:i w:val="0"/>
              <w:iCs w:val="0"/>
              <w:color w:val="auto"/>
              <w:u w:val="none"/>
              <w:lang w:val="en-US"/>
            </w:rPr>
            <w:t>Bias risk summary of the included studies</w:t>
          </w:r>
          <w:r>
            <w:rPr>
              <w:rFonts w:ascii="Times New Roman" w:hAnsi="Times New Roman" w:cs="Times New Roman"/>
              <w:b w:val="0"/>
              <w:bCs w:val="0"/>
              <w:i w:val="0"/>
              <w:iCs w:val="0"/>
              <w:color w:val="auto"/>
              <w:u w:val="none"/>
            </w:rPr>
            <w:tab/>
          </w:r>
          <w:r>
            <w:rPr>
              <w:rFonts w:hint="default" w:ascii="Times New Roman" w:hAnsi="Times New Roman" w:cs="Times New Roman"/>
              <w:b w:val="0"/>
              <w:bCs w:val="0"/>
              <w:i w:val="0"/>
              <w:iCs w:val="0"/>
              <w:color w:val="auto"/>
              <w:u w:val="none"/>
              <w:lang w:val="en-US"/>
            </w:rPr>
            <w:t>5</w:t>
          </w:r>
          <w:r>
            <w:rPr>
              <w:rFonts w:ascii="Times New Roman" w:hAnsi="Times New Roman" w:cs="Times New Roman"/>
              <w:b w:val="0"/>
              <w:bCs w:val="0"/>
              <w:i w:val="0"/>
              <w:iCs w:val="0"/>
              <w:color w:val="auto"/>
              <w:u w:val="none"/>
            </w:rPr>
            <w:fldChar w:fldCharType="end"/>
          </w:r>
        </w:p>
        <w:p w14:paraId="537CFBAE">
          <w:pPr>
            <w:pStyle w:val="5"/>
            <w:rPr>
              <w:rFonts w:ascii="Times New Roman" w:hAnsi="Times New Roman" w:cs="Times New Roman"/>
              <w:b w:val="0"/>
              <w:bCs w:val="0"/>
              <w:i w:val="0"/>
              <w:iCs w:val="0"/>
              <w:kern w:val="2"/>
              <w:sz w:val="21"/>
              <w:szCs w:val="22"/>
            </w:rPr>
          </w:pPr>
          <w:r>
            <w:rPr>
              <w:color w:val="auto"/>
              <w:u w:val="none"/>
            </w:rPr>
            <w:fldChar w:fldCharType="begin"/>
          </w:r>
          <w:r>
            <w:rPr>
              <w:color w:val="auto"/>
              <w:u w:val="none"/>
            </w:rPr>
            <w:instrText xml:space="preserve"> HYPERLINK \l "_Toc119338443" </w:instrText>
          </w:r>
          <w:r>
            <w:rPr>
              <w:color w:val="auto"/>
              <w:u w:val="none"/>
            </w:rPr>
            <w:fldChar w:fldCharType="separate"/>
          </w:r>
          <w:r>
            <w:rPr>
              <w:rStyle w:val="9"/>
              <w:rFonts w:ascii="Times New Roman" w:hAnsi="Times New Roman" w:eastAsia="Times New Roman" w:cs="Times New Roman"/>
              <w:b w:val="0"/>
              <w:bCs w:val="0"/>
              <w:i w:val="0"/>
              <w:iCs w:val="0"/>
              <w:color w:val="auto"/>
              <w:u w:val="none"/>
            </w:rPr>
            <w:t xml:space="preserve">Appendix </w:t>
          </w:r>
          <w:r>
            <w:rPr>
              <w:rStyle w:val="9"/>
              <w:rFonts w:ascii="Times New Roman" w:hAnsi="Times New Roman" w:cs="Times New Roman"/>
              <w:b w:val="0"/>
              <w:bCs w:val="0"/>
              <w:i w:val="0"/>
              <w:iCs w:val="0"/>
              <w:color w:val="auto"/>
              <w:u w:val="none"/>
            </w:rPr>
            <w:t xml:space="preserve">4 </w:t>
          </w:r>
          <w:r>
            <w:rPr>
              <w:rStyle w:val="9"/>
              <w:rFonts w:hint="default" w:ascii="Times New Roman" w:hAnsi="Times New Roman" w:cs="Times New Roman"/>
              <w:b w:val="0"/>
              <w:bCs w:val="0"/>
              <w:i w:val="0"/>
              <w:iCs w:val="0"/>
              <w:color w:val="auto"/>
              <w:u w:val="none"/>
              <w:lang w:val="en-US"/>
            </w:rPr>
            <w:t>Evaluation of the methodological quality of literature</w:t>
          </w:r>
          <w:r>
            <w:rPr>
              <w:rFonts w:ascii="Times New Roman" w:hAnsi="Times New Roman" w:cs="Times New Roman"/>
              <w:b w:val="0"/>
              <w:bCs w:val="0"/>
              <w:i w:val="0"/>
              <w:iCs w:val="0"/>
              <w:color w:val="auto"/>
              <w:u w:val="none"/>
            </w:rPr>
            <w:tab/>
          </w:r>
          <w:r>
            <w:rPr>
              <w:rFonts w:hint="default" w:ascii="Times New Roman" w:hAnsi="Times New Roman" w:cs="Times New Roman"/>
              <w:b w:val="0"/>
              <w:bCs w:val="0"/>
              <w:i w:val="0"/>
              <w:iCs w:val="0"/>
              <w:color w:val="auto"/>
              <w:u w:val="none"/>
              <w:lang w:val="en-US"/>
            </w:rPr>
            <w:t>6</w:t>
          </w:r>
          <w:r>
            <w:rPr>
              <w:rFonts w:ascii="Times New Roman" w:hAnsi="Times New Roman" w:cs="Times New Roman"/>
              <w:b w:val="0"/>
              <w:bCs w:val="0"/>
              <w:i w:val="0"/>
              <w:iCs w:val="0"/>
              <w:color w:val="auto"/>
              <w:u w:val="none"/>
            </w:rPr>
            <w:fldChar w:fldCharType="end"/>
          </w:r>
        </w:p>
        <w:p w14:paraId="352311CA">
          <w:pPr>
            <w:rPr>
              <w:rFonts w:ascii="Times New Roman" w:hAnsi="Times New Roman" w:cs="Times New Roman" w:eastAsiaTheme="minorEastAsia"/>
              <w:b w:val="0"/>
              <w:bCs w:val="0"/>
              <w:color w:val="auto"/>
              <w:sz w:val="24"/>
              <w:szCs w:val="24"/>
              <w:lang w:eastAsia="zh-CN"/>
            </w:rPr>
          </w:pPr>
        </w:p>
      </w:sdtContent>
    </w:sdt>
    <w:p w14:paraId="51C5ABED">
      <w:pPr>
        <w:rPr>
          <w:rFonts w:ascii="Times New Roman" w:hAnsi="Times New Roman" w:cs="Times New Roman" w:eastAsiaTheme="minorEastAsia"/>
          <w:b w:val="0"/>
          <w:bCs w:val="0"/>
          <w:color w:val="auto"/>
          <w:sz w:val="24"/>
          <w:szCs w:val="24"/>
          <w:lang w:eastAsia="zh-CN"/>
        </w:rPr>
      </w:pPr>
    </w:p>
    <w:p w14:paraId="180CBC32">
      <w:pPr>
        <w:rPr>
          <w:rFonts w:hint="default" w:ascii="Times New Roman" w:hAnsi="Times New Roman" w:cs="Times New Roman" w:eastAsiaTheme="minorEastAsia"/>
          <w:b w:val="0"/>
          <w:bCs w:val="0"/>
          <w:color w:val="auto"/>
          <w:sz w:val="24"/>
          <w:szCs w:val="24"/>
          <w:lang w:val="en-US" w:eastAsia="zh-CN"/>
        </w:rPr>
      </w:pPr>
    </w:p>
    <w:p w14:paraId="3EE6A9F0">
      <w:pPr>
        <w:rPr>
          <w:rFonts w:ascii="Times New Roman" w:hAnsi="Times New Roman" w:cs="Times New Roman" w:eastAsiaTheme="minorEastAsia"/>
          <w:b w:val="0"/>
          <w:bCs w:val="0"/>
          <w:color w:val="auto"/>
          <w:sz w:val="24"/>
          <w:szCs w:val="24"/>
          <w:lang w:eastAsia="zh-CN"/>
        </w:rPr>
      </w:pPr>
    </w:p>
    <w:p w14:paraId="3C9672CA">
      <w:pPr>
        <w:rPr>
          <w:rFonts w:ascii="Times New Roman" w:hAnsi="Times New Roman" w:cs="Times New Roman" w:eastAsiaTheme="minorEastAsia"/>
          <w:b w:val="0"/>
          <w:bCs w:val="0"/>
          <w:color w:val="auto"/>
          <w:sz w:val="24"/>
          <w:szCs w:val="24"/>
          <w:lang w:eastAsia="zh-CN"/>
        </w:rPr>
      </w:pPr>
    </w:p>
    <w:p w14:paraId="7103BE88">
      <w:pPr>
        <w:rPr>
          <w:rFonts w:ascii="Times New Roman" w:hAnsi="Times New Roman" w:cs="Times New Roman" w:eastAsiaTheme="minorEastAsia"/>
          <w:b w:val="0"/>
          <w:bCs w:val="0"/>
          <w:color w:val="auto"/>
          <w:sz w:val="24"/>
          <w:szCs w:val="24"/>
          <w:lang w:eastAsia="zh-CN"/>
        </w:rPr>
      </w:pPr>
    </w:p>
    <w:p w14:paraId="4FE006BD">
      <w:pPr>
        <w:rPr>
          <w:rFonts w:ascii="Times New Roman" w:hAnsi="Times New Roman" w:cs="Times New Roman" w:eastAsiaTheme="minorEastAsia"/>
          <w:b w:val="0"/>
          <w:bCs w:val="0"/>
          <w:color w:val="auto"/>
          <w:sz w:val="24"/>
          <w:szCs w:val="24"/>
          <w:lang w:eastAsia="zh-CN"/>
        </w:rPr>
      </w:pPr>
    </w:p>
    <w:p w14:paraId="04943B2D">
      <w:pPr>
        <w:rPr>
          <w:rFonts w:ascii="Times New Roman" w:hAnsi="Times New Roman" w:cs="Times New Roman" w:eastAsiaTheme="minorEastAsia"/>
          <w:b w:val="0"/>
          <w:bCs w:val="0"/>
          <w:color w:val="auto"/>
          <w:sz w:val="24"/>
          <w:szCs w:val="24"/>
          <w:lang w:eastAsia="zh-CN"/>
        </w:rPr>
      </w:pPr>
    </w:p>
    <w:p w14:paraId="5FB990FB">
      <w:pPr>
        <w:rPr>
          <w:rFonts w:ascii="Times New Roman" w:hAnsi="Times New Roman" w:cs="Times New Roman" w:eastAsiaTheme="minorEastAsia"/>
          <w:b w:val="0"/>
          <w:bCs w:val="0"/>
          <w:color w:val="auto"/>
          <w:sz w:val="24"/>
          <w:szCs w:val="24"/>
          <w:lang w:eastAsia="zh-CN"/>
        </w:rPr>
        <w:sectPr>
          <w:footerReference r:id="rId3" w:type="default"/>
          <w:pgSz w:w="11906" w:h="16838"/>
          <w:pgMar w:top="1440" w:right="1800" w:bottom="1440" w:left="1800" w:header="851" w:footer="992" w:gutter="0"/>
          <w:cols w:space="425" w:num="1"/>
          <w:docGrid w:type="lines" w:linePitch="312" w:charSpace="0"/>
        </w:sectPr>
      </w:pPr>
    </w:p>
    <w:tbl>
      <w:tblPr>
        <w:tblStyle w:val="7"/>
        <w:tblW w:w="16407" w:type="dxa"/>
        <w:tblInd w:w="-10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3660"/>
        <w:gridCol w:w="4294"/>
        <w:gridCol w:w="2306"/>
        <w:gridCol w:w="4552"/>
      </w:tblGrid>
      <w:tr w14:paraId="2933A2BB">
        <w:tc>
          <w:tcPr>
            <w:tcW w:w="16407" w:type="dxa"/>
            <w:gridSpan w:val="5"/>
          </w:tcPr>
          <w:p w14:paraId="4B33E686">
            <w:pPr>
              <w:widowControl w:val="0"/>
              <w:jc w:val="both"/>
              <w:rPr>
                <w:vertAlign w:val="baseline"/>
              </w:rPr>
            </w:pPr>
            <w:r>
              <w:rPr>
                <w:rFonts w:hint="default" w:ascii="Times New Roman" w:hAnsi="Times New Roman" w:cs="Times New Roman"/>
                <w:b w:val="0"/>
                <w:bCs w:val="0"/>
                <w:sz w:val="20"/>
                <w:szCs w:val="20"/>
                <w:vertAlign w:val="baseline"/>
              </w:rPr>
              <w:t>A</w:t>
            </w:r>
            <w:r>
              <w:rPr>
                <w:rFonts w:hint="eastAsia" w:ascii="Times New Roman" w:hAnsi="Times New Roman" w:cs="Times New Roman"/>
                <w:b w:val="0"/>
                <w:bCs w:val="0"/>
                <w:sz w:val="20"/>
                <w:szCs w:val="20"/>
                <w:vertAlign w:val="baseline"/>
                <w:lang w:val="en-US" w:eastAsia="zh-CN"/>
              </w:rPr>
              <w:t>ppendix 1</w:t>
            </w:r>
            <w:r>
              <w:rPr>
                <w:rFonts w:hint="default" w:ascii="Times New Roman" w:hAnsi="Times New Roman" w:cs="Times New Roman"/>
                <w:b w:val="0"/>
                <w:bCs w:val="0"/>
                <w:sz w:val="20"/>
                <w:szCs w:val="20"/>
                <w:vertAlign w:val="baseline"/>
              </w:rPr>
              <w:t>.</w:t>
            </w:r>
            <w:r>
              <w:rPr>
                <w:rFonts w:hint="eastAsia" w:ascii="Times New Roman" w:hAnsi="Times New Roman" w:cs="Times New Roman"/>
                <w:b w:val="0"/>
                <w:bCs w:val="0"/>
                <w:sz w:val="20"/>
                <w:szCs w:val="20"/>
                <w:vertAlign w:val="baseline"/>
                <w:lang w:val="en-US" w:eastAsia="zh-CN"/>
              </w:rPr>
              <w:t xml:space="preserve"> </w:t>
            </w:r>
            <w:r>
              <w:rPr>
                <w:rFonts w:hint="default" w:ascii="Times New Roman" w:hAnsi="Times New Roman" w:cs="Times New Roman"/>
                <w:b w:val="0"/>
                <w:bCs w:val="0"/>
                <w:sz w:val="20"/>
                <w:szCs w:val="20"/>
                <w:vertAlign w:val="baseline"/>
              </w:rPr>
              <w:t>Inclusion and Exclusion Criteria and Main Outcomes for Included Studies</w:t>
            </w:r>
          </w:p>
        </w:tc>
      </w:tr>
      <w:tr w14:paraId="394252D2">
        <w:trPr>
          <w:trHeight w:val="604" w:hRule="atLeast"/>
        </w:trPr>
        <w:tc>
          <w:tcPr>
            <w:tcW w:w="1595" w:type="dxa"/>
            <w:vAlign w:val="center"/>
          </w:tcPr>
          <w:p w14:paraId="132AE3C1">
            <w:pPr>
              <w:widowControl w:val="0"/>
              <w:jc w:val="center"/>
              <w:rPr>
                <w:rFonts w:hint="default" w:ascii="Times New Roman" w:hAnsi="Times New Roman" w:cs="Times New Roman" w:eastAsiaTheme="minorEastAsia"/>
                <w:sz w:val="15"/>
                <w:szCs w:val="15"/>
                <w:vertAlign w:val="baseline"/>
                <w:lang w:val="en-US" w:eastAsia="zh-CN"/>
              </w:rPr>
            </w:pPr>
            <w:r>
              <w:rPr>
                <w:rFonts w:hint="default" w:ascii="Times New Roman" w:hAnsi="Times New Roman" w:cs="Times New Roman"/>
                <w:sz w:val="15"/>
                <w:szCs w:val="15"/>
                <w:vertAlign w:val="baseline"/>
                <w:lang w:val="en-US" w:eastAsia="zh-CN"/>
              </w:rPr>
              <w:t>Study</w:t>
            </w:r>
          </w:p>
        </w:tc>
        <w:tc>
          <w:tcPr>
            <w:tcW w:w="3660" w:type="dxa"/>
            <w:vAlign w:val="center"/>
          </w:tcPr>
          <w:p w14:paraId="75741A36">
            <w:pPr>
              <w:widowControl w:val="0"/>
              <w:jc w:val="center"/>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Inclusion Criteria</w:t>
            </w:r>
          </w:p>
        </w:tc>
        <w:tc>
          <w:tcPr>
            <w:tcW w:w="4294" w:type="dxa"/>
            <w:vAlign w:val="center"/>
          </w:tcPr>
          <w:p w14:paraId="73A322C5">
            <w:pPr>
              <w:widowControl w:val="0"/>
              <w:jc w:val="center"/>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Exclusion Criteria</w:t>
            </w:r>
          </w:p>
        </w:tc>
        <w:tc>
          <w:tcPr>
            <w:tcW w:w="2306" w:type="dxa"/>
            <w:vAlign w:val="center"/>
          </w:tcPr>
          <w:p w14:paraId="05FC80F0">
            <w:pPr>
              <w:widowControl w:val="0"/>
              <w:jc w:val="center"/>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Reported Primary Outcome(s)</w:t>
            </w:r>
          </w:p>
        </w:tc>
        <w:tc>
          <w:tcPr>
            <w:tcW w:w="4552" w:type="dxa"/>
            <w:vAlign w:val="center"/>
          </w:tcPr>
          <w:p w14:paraId="7AA50035">
            <w:pPr>
              <w:widowControl w:val="0"/>
              <w:jc w:val="center"/>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Main Results</w:t>
            </w:r>
          </w:p>
        </w:tc>
      </w:tr>
      <w:tr w14:paraId="58BF18E4">
        <w:trPr>
          <w:trHeight w:val="916" w:hRule="atLeast"/>
        </w:trPr>
        <w:tc>
          <w:tcPr>
            <w:tcW w:w="1595" w:type="dxa"/>
            <w:vAlign w:val="center"/>
          </w:tcPr>
          <w:p w14:paraId="04E18022">
            <w:pPr>
              <w:widowControl w:val="0"/>
              <w:jc w:val="center"/>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Uzkeser et al</w:t>
            </w:r>
            <w:r>
              <w:rPr>
                <w:rFonts w:hint="eastAsia" w:ascii="Times New Roman" w:hAnsi="Times New Roman" w:cs="Times New Roman"/>
                <w:sz w:val="15"/>
                <w:szCs w:val="15"/>
                <w:vertAlign w:val="superscript"/>
              </w:rPr>
              <w:t>[2</w:t>
            </w:r>
            <w:r>
              <w:rPr>
                <w:rFonts w:hint="default" w:ascii="Times New Roman" w:hAnsi="Times New Roman" w:cs="Times New Roman"/>
                <w:sz w:val="15"/>
                <w:szCs w:val="15"/>
                <w:vertAlign w:val="superscript"/>
                <w:lang w:val="en-US"/>
              </w:rPr>
              <w:t>7</w:t>
            </w:r>
            <w:r>
              <w:rPr>
                <w:rFonts w:hint="eastAsia" w:ascii="Times New Roman" w:hAnsi="Times New Roman" w:cs="Times New Roman"/>
                <w:sz w:val="15"/>
                <w:szCs w:val="15"/>
                <w:vertAlign w:val="superscript"/>
              </w:rPr>
              <w:t>]</w:t>
            </w:r>
          </w:p>
          <w:p w14:paraId="347DC8F7">
            <w:pPr>
              <w:widowControl w:val="0"/>
              <w:jc w:val="center"/>
              <w:rPr>
                <w:vertAlign w:val="baseline"/>
              </w:rPr>
            </w:pPr>
          </w:p>
        </w:tc>
        <w:tc>
          <w:tcPr>
            <w:tcW w:w="3660" w:type="dxa"/>
          </w:tcPr>
          <w:p w14:paraId="387DDDBC">
            <w:pPr>
              <w:widowControl w:val="0"/>
              <w:jc w:val="both"/>
              <w:rPr>
                <w:vertAlign w:val="baseline"/>
              </w:rPr>
            </w:pPr>
            <w:r>
              <w:rPr>
                <w:rFonts w:hint="default" w:ascii="Times New Roman" w:hAnsi="Times New Roman" w:cs="Times New Roman"/>
                <w:sz w:val="15"/>
                <w:szCs w:val="15"/>
                <w:vertAlign w:val="baseline"/>
              </w:rPr>
              <w:t>Patients with unilateral post-mastectomy lymphedema and no history of physical therapy with a difference of more than 2 cm in the circumference of a healthy limb or a difference of more than 10% in the volume of the two arms.</w:t>
            </w:r>
          </w:p>
        </w:tc>
        <w:tc>
          <w:tcPr>
            <w:tcW w:w="4294" w:type="dxa"/>
          </w:tcPr>
          <w:p w14:paraId="2E991FFB">
            <w:pPr>
              <w:widowControl w:val="0"/>
              <w:jc w:val="both"/>
              <w:rPr>
                <w:vertAlign w:val="baseline"/>
              </w:rPr>
            </w:pPr>
            <w:r>
              <w:rPr>
                <w:rFonts w:hint="eastAsia" w:ascii="Times New Roman" w:hAnsi="Times New Roman" w:cs="Times New Roman"/>
                <w:sz w:val="15"/>
                <w:szCs w:val="15"/>
                <w:vertAlign w:val="baseline"/>
              </w:rPr>
              <w:t>Patients who had bilateral lymphedema,</w:t>
            </w:r>
            <w:r>
              <w:rPr>
                <w:rFonts w:hint="eastAsia" w:ascii="Times New Roman" w:hAnsi="Times New Roman" w:cs="Times New Roman"/>
                <w:sz w:val="15"/>
                <w:szCs w:val="15"/>
                <w:vertAlign w:val="baseline"/>
                <w:lang w:val="en-US" w:eastAsia="zh-CN"/>
              </w:rPr>
              <w:t xml:space="preserve"> </w:t>
            </w:r>
            <w:r>
              <w:rPr>
                <w:rFonts w:hint="eastAsia" w:ascii="Times New Roman" w:hAnsi="Times New Roman" w:cs="Times New Roman"/>
                <w:sz w:val="15"/>
                <w:szCs w:val="15"/>
                <w:vertAlign w:val="baseline"/>
              </w:rPr>
              <w:t>current metastases, continuing radiotherapy, cellulites, venous thrombosis, elephantiasis, infection, lymphangiosis carcinomatosa, and congestive heart failure and those using any medications that affect the body fluid and electrolyte balance.</w:t>
            </w:r>
          </w:p>
        </w:tc>
        <w:tc>
          <w:tcPr>
            <w:tcW w:w="2306" w:type="dxa"/>
          </w:tcPr>
          <w:p w14:paraId="752AAE82">
            <w:pPr>
              <w:widowControl w:val="0"/>
              <w:numPr>
                <w:ilvl w:val="0"/>
                <w:numId w:val="1"/>
              </w:numPr>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Affected limb circumference /volume</w:t>
            </w:r>
          </w:p>
          <w:p w14:paraId="7658B878">
            <w:pPr>
              <w:widowControl w:val="0"/>
              <w:numPr>
                <w:ilvl w:val="0"/>
                <w:numId w:val="1"/>
              </w:numPr>
              <w:ind w:left="0" w:leftChars="0" w:firstLine="0" w:firstLineChars="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Skin thickness</w:t>
            </w:r>
          </w:p>
          <w:p w14:paraId="29357C26">
            <w:pPr>
              <w:widowControl w:val="0"/>
              <w:numPr>
                <w:ilvl w:val="0"/>
                <w:numId w:val="1"/>
              </w:numPr>
              <w:ind w:left="0" w:leftChars="0" w:firstLine="0" w:firstLineChars="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Pain level</w:t>
            </w:r>
          </w:p>
          <w:p w14:paraId="0DDE6893">
            <w:pPr>
              <w:widowControl w:val="0"/>
              <w:jc w:val="both"/>
              <w:rPr>
                <w:vertAlign w:val="baseline"/>
              </w:rPr>
            </w:pPr>
          </w:p>
        </w:tc>
        <w:tc>
          <w:tcPr>
            <w:tcW w:w="4552" w:type="dxa"/>
          </w:tcPr>
          <w:p w14:paraId="4747A706">
            <w:pPr>
              <w:widowControl w:val="0"/>
              <w:jc w:val="both"/>
              <w:rPr>
                <w:vertAlign w:val="baseline"/>
              </w:rPr>
            </w:pPr>
            <w:r>
              <w:rPr>
                <w:rFonts w:hint="eastAsia" w:ascii="Times New Roman" w:hAnsi="Times New Roman" w:cs="Times New Roman"/>
                <w:sz w:val="15"/>
                <w:szCs w:val="15"/>
                <w:vertAlign w:val="baseline"/>
              </w:rPr>
              <w:t>There were significant differences in limb volume and circumference measurements between the experimental group and the control group before and after treatment, but no significant differences between the two groups. IPC also had no additional effect on patients' subjective perception.</w:t>
            </w:r>
          </w:p>
        </w:tc>
      </w:tr>
      <w:tr w14:paraId="63474F86">
        <w:trPr>
          <w:trHeight w:val="916" w:hRule="atLeast"/>
        </w:trPr>
        <w:tc>
          <w:tcPr>
            <w:tcW w:w="1595" w:type="dxa"/>
            <w:vAlign w:val="center"/>
          </w:tcPr>
          <w:p w14:paraId="1E707747">
            <w:pPr>
              <w:widowControl w:val="0"/>
              <w:jc w:val="center"/>
              <w:rPr>
                <w:rFonts w:hint="eastAsia" w:ascii="Times New Roman" w:hAnsi="Times New Roman" w:cs="Times New Roman"/>
                <w:sz w:val="15"/>
                <w:szCs w:val="15"/>
                <w:vertAlign w:val="baseline"/>
              </w:rPr>
            </w:pPr>
          </w:p>
          <w:p w14:paraId="3D5BF922">
            <w:pPr>
              <w:widowControl w:val="0"/>
              <w:jc w:val="center"/>
              <w:rPr>
                <w:rFonts w:hint="eastAsia" w:ascii="Times New Roman" w:hAnsi="Times New Roman" w:cs="Times New Roman"/>
                <w:sz w:val="15"/>
                <w:szCs w:val="15"/>
                <w:vertAlign w:val="superscript"/>
              </w:rPr>
            </w:pPr>
            <w:r>
              <w:rPr>
                <w:rFonts w:hint="eastAsia" w:ascii="Times New Roman" w:hAnsi="Times New Roman" w:cs="Times New Roman"/>
                <w:sz w:val="15"/>
                <w:szCs w:val="15"/>
                <w:vertAlign w:val="baseline"/>
              </w:rPr>
              <w:t>Sanal-Toprak et al</w:t>
            </w:r>
            <w:r>
              <w:rPr>
                <w:rFonts w:hint="eastAsia" w:ascii="Times New Roman" w:hAnsi="Times New Roman" w:cs="Times New Roman"/>
                <w:sz w:val="15"/>
                <w:szCs w:val="15"/>
                <w:vertAlign w:val="superscript"/>
              </w:rPr>
              <w:t>[2</w:t>
            </w:r>
            <w:r>
              <w:rPr>
                <w:rFonts w:hint="default" w:ascii="Times New Roman" w:hAnsi="Times New Roman" w:cs="Times New Roman"/>
                <w:sz w:val="15"/>
                <w:szCs w:val="15"/>
                <w:vertAlign w:val="superscript"/>
                <w:lang w:val="en-US"/>
              </w:rPr>
              <w:t>8</w:t>
            </w:r>
            <w:r>
              <w:rPr>
                <w:rFonts w:hint="eastAsia" w:ascii="Times New Roman" w:hAnsi="Times New Roman" w:cs="Times New Roman"/>
                <w:sz w:val="15"/>
                <w:szCs w:val="15"/>
                <w:vertAlign w:val="superscript"/>
              </w:rPr>
              <w:t>]</w:t>
            </w:r>
          </w:p>
          <w:p w14:paraId="6355DC3B">
            <w:pPr>
              <w:widowControl w:val="0"/>
              <w:jc w:val="center"/>
              <w:rPr>
                <w:vertAlign w:val="baseline"/>
              </w:rPr>
            </w:pPr>
          </w:p>
        </w:tc>
        <w:tc>
          <w:tcPr>
            <w:tcW w:w="3660" w:type="dxa"/>
          </w:tcPr>
          <w:p w14:paraId="739A0EAC">
            <w:pPr>
              <w:widowControl w:val="0"/>
              <w:jc w:val="both"/>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Patients diagnosed with breast cancer who underwent breast surgery at least 3 months ago, aged 18 to 70 years, had stage 2 to 3 edema.</w:t>
            </w:r>
          </w:p>
          <w:p w14:paraId="1C37F46D">
            <w:pPr>
              <w:widowControl w:val="0"/>
              <w:jc w:val="both"/>
              <w:rPr>
                <w:rFonts w:hint="default" w:ascii="Times New Roman" w:hAnsi="Times New Roman" w:cs="Times New Roman"/>
                <w:sz w:val="15"/>
                <w:szCs w:val="15"/>
                <w:vertAlign w:val="baseline"/>
              </w:rPr>
            </w:pPr>
          </w:p>
        </w:tc>
        <w:tc>
          <w:tcPr>
            <w:tcW w:w="4294" w:type="dxa"/>
          </w:tcPr>
          <w:p w14:paraId="271AA714">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Patients with cellulitis, lymphangitis, fungal infections, lymph node metastases, and uncontrolled signs of psychosis or systemic disease.</w:t>
            </w:r>
          </w:p>
        </w:tc>
        <w:tc>
          <w:tcPr>
            <w:tcW w:w="2306" w:type="dxa"/>
          </w:tcPr>
          <w:p w14:paraId="04D42FF9">
            <w:pPr>
              <w:widowControl w:val="0"/>
              <w:numPr>
                <w:ilvl w:val="0"/>
                <w:numId w:val="2"/>
              </w:numPr>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lang w:val="en-US" w:eastAsia="zh-CN"/>
              </w:rPr>
              <w:t>A</w:t>
            </w:r>
            <w:r>
              <w:rPr>
                <w:rFonts w:hint="eastAsia" w:ascii="Times New Roman" w:hAnsi="Times New Roman" w:cs="Times New Roman"/>
                <w:sz w:val="15"/>
                <w:szCs w:val="15"/>
                <w:vertAlign w:val="baseline"/>
              </w:rPr>
              <w:t xml:space="preserve">ffected limb circumference </w:t>
            </w:r>
          </w:p>
          <w:p w14:paraId="32E648BB">
            <w:pPr>
              <w:widowControl w:val="0"/>
              <w:numPr>
                <w:ilvl w:val="0"/>
                <w:numId w:val="2"/>
              </w:numPr>
              <w:ind w:left="0" w:leftChars="0" w:firstLine="0" w:firstLineChars="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Pain/tightness/heaviness scores</w:t>
            </w:r>
          </w:p>
          <w:p w14:paraId="3193142A">
            <w:pPr>
              <w:widowControl w:val="0"/>
              <w:jc w:val="both"/>
              <w:rPr>
                <w:vertAlign w:val="baseline"/>
              </w:rPr>
            </w:pPr>
          </w:p>
        </w:tc>
        <w:tc>
          <w:tcPr>
            <w:tcW w:w="4552" w:type="dxa"/>
          </w:tcPr>
          <w:p w14:paraId="26E9101B">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The experimental group and the control group showed significant improvement in the five measurement levels of upper arm circumference at week 5 and month 3, with no obvious superiority between the two. Shoulder ROM, pain, tension, and heaviness improved in both groups.</w:t>
            </w:r>
          </w:p>
        </w:tc>
      </w:tr>
      <w:tr w14:paraId="5648E8D6">
        <w:trPr>
          <w:trHeight w:val="916" w:hRule="atLeast"/>
        </w:trPr>
        <w:tc>
          <w:tcPr>
            <w:tcW w:w="1595" w:type="dxa"/>
            <w:vAlign w:val="center"/>
          </w:tcPr>
          <w:p w14:paraId="5B2780FC">
            <w:pPr>
              <w:widowControl w:val="0"/>
              <w:jc w:val="center"/>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Gurdal et al</w:t>
            </w:r>
            <w:r>
              <w:rPr>
                <w:rFonts w:hint="eastAsia" w:ascii="Times New Roman" w:hAnsi="Times New Roman" w:cs="Times New Roman"/>
                <w:sz w:val="15"/>
                <w:szCs w:val="15"/>
                <w:vertAlign w:val="superscript"/>
              </w:rPr>
              <w:t>[22]</w:t>
            </w:r>
          </w:p>
          <w:p w14:paraId="23AD6A5A">
            <w:pPr>
              <w:widowControl w:val="0"/>
              <w:jc w:val="center"/>
              <w:rPr>
                <w:vertAlign w:val="baseline"/>
              </w:rPr>
            </w:pPr>
          </w:p>
        </w:tc>
        <w:tc>
          <w:tcPr>
            <w:tcW w:w="3660" w:type="dxa"/>
          </w:tcPr>
          <w:p w14:paraId="2AA10B29">
            <w:pPr>
              <w:widowControl w:val="0"/>
              <w:jc w:val="both"/>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Patients who had undergone grade i or ii axillary lymph node dissection with radiotherapy for 6 months and had lymphedema.</w:t>
            </w:r>
          </w:p>
          <w:p w14:paraId="6E6CF7DF">
            <w:pPr>
              <w:widowControl w:val="0"/>
              <w:jc w:val="both"/>
              <w:rPr>
                <w:rFonts w:hint="default" w:ascii="Times New Roman" w:hAnsi="Times New Roman" w:cs="Times New Roman"/>
                <w:sz w:val="15"/>
                <w:szCs w:val="15"/>
                <w:vertAlign w:val="baseline"/>
              </w:rPr>
            </w:pPr>
          </w:p>
        </w:tc>
        <w:tc>
          <w:tcPr>
            <w:tcW w:w="4294" w:type="dxa"/>
          </w:tcPr>
          <w:p w14:paraId="16885C80">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Patients with bilateral lymphedema with a difference of less than 2cm in circumference measurements.</w:t>
            </w:r>
          </w:p>
          <w:p w14:paraId="579F499F">
            <w:pPr>
              <w:widowControl w:val="0"/>
              <w:jc w:val="both"/>
              <w:rPr>
                <w:rFonts w:hint="eastAsia" w:ascii="Times New Roman" w:hAnsi="Times New Roman" w:cs="Times New Roman"/>
                <w:sz w:val="15"/>
                <w:szCs w:val="15"/>
                <w:vertAlign w:val="baseline"/>
              </w:rPr>
            </w:pPr>
          </w:p>
        </w:tc>
        <w:tc>
          <w:tcPr>
            <w:tcW w:w="2306" w:type="dxa"/>
          </w:tcPr>
          <w:p w14:paraId="6154FB7F">
            <w:pPr>
              <w:widowControl w:val="0"/>
              <w:numPr>
                <w:ilvl w:val="0"/>
                <w:numId w:val="3"/>
              </w:numPr>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Affected limb volume</w:t>
            </w:r>
          </w:p>
          <w:p w14:paraId="00F7632E">
            <w:pPr>
              <w:widowControl w:val="0"/>
              <w:numPr>
                <w:ilvl w:val="0"/>
                <w:numId w:val="3"/>
              </w:numPr>
              <w:ind w:left="0" w:leftChars="0" w:firstLine="0" w:firstLineChars="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ASES questionnaire score</w:t>
            </w:r>
          </w:p>
          <w:p w14:paraId="698FB49F">
            <w:pPr>
              <w:widowControl w:val="0"/>
              <w:jc w:val="both"/>
              <w:rPr>
                <w:rFonts w:hint="eastAsia" w:ascii="Times New Roman" w:hAnsi="Times New Roman" w:cs="Times New Roman"/>
                <w:sz w:val="15"/>
                <w:szCs w:val="15"/>
                <w:vertAlign w:val="baseline"/>
              </w:rPr>
            </w:pPr>
          </w:p>
        </w:tc>
        <w:tc>
          <w:tcPr>
            <w:tcW w:w="4552" w:type="dxa"/>
          </w:tcPr>
          <w:p w14:paraId="08282B2D">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Both groups could reduce the volume of affected limbs and improve the score of quality of life.</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But there was no significant difference between the two ways of treatment.</w:t>
            </w:r>
          </w:p>
        </w:tc>
      </w:tr>
      <w:tr w14:paraId="10EE3FB2">
        <w:trPr>
          <w:trHeight w:val="916" w:hRule="atLeast"/>
        </w:trPr>
        <w:tc>
          <w:tcPr>
            <w:tcW w:w="1595" w:type="dxa"/>
            <w:vAlign w:val="center"/>
          </w:tcPr>
          <w:p w14:paraId="31475E50">
            <w:pPr>
              <w:widowControl w:val="0"/>
              <w:jc w:val="center"/>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Haghighat et al</w:t>
            </w:r>
            <w:r>
              <w:rPr>
                <w:rFonts w:hint="eastAsia" w:ascii="Times New Roman" w:hAnsi="Times New Roman" w:cs="Times New Roman"/>
                <w:sz w:val="15"/>
                <w:szCs w:val="15"/>
                <w:vertAlign w:val="superscript"/>
              </w:rPr>
              <w:t>[</w:t>
            </w:r>
            <w:r>
              <w:rPr>
                <w:rFonts w:hint="default" w:ascii="Times New Roman" w:hAnsi="Times New Roman" w:cs="Times New Roman"/>
                <w:sz w:val="15"/>
                <w:szCs w:val="15"/>
                <w:vertAlign w:val="superscript"/>
                <w:lang w:val="en-US"/>
              </w:rPr>
              <w:t>26</w:t>
            </w:r>
            <w:r>
              <w:rPr>
                <w:rFonts w:hint="eastAsia" w:ascii="Times New Roman" w:hAnsi="Times New Roman" w:cs="Times New Roman"/>
                <w:sz w:val="15"/>
                <w:szCs w:val="15"/>
                <w:vertAlign w:val="superscript"/>
              </w:rPr>
              <w:t>]</w:t>
            </w:r>
          </w:p>
          <w:p w14:paraId="3FB0200D">
            <w:pPr>
              <w:widowControl w:val="0"/>
              <w:jc w:val="center"/>
              <w:rPr>
                <w:vertAlign w:val="baseline"/>
              </w:rPr>
            </w:pPr>
          </w:p>
        </w:tc>
        <w:tc>
          <w:tcPr>
            <w:tcW w:w="3660" w:type="dxa"/>
          </w:tcPr>
          <w:p w14:paraId="17139396">
            <w:pPr>
              <w:widowControl w:val="0"/>
              <w:jc w:val="both"/>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Patients who have been treated for breast cancer</w:t>
            </w:r>
            <w:r>
              <w:rPr>
                <w:rFonts w:hint="default" w:ascii="Times New Roman" w:hAnsi="Times New Roman" w:cs="Times New Roman"/>
                <w:sz w:val="15"/>
                <w:szCs w:val="15"/>
                <w:vertAlign w:val="baseline"/>
                <w:lang w:val="en-US"/>
              </w:rPr>
              <w:t xml:space="preserve"> </w:t>
            </w:r>
            <w:r>
              <w:rPr>
                <w:rFonts w:hint="default" w:ascii="Times New Roman" w:hAnsi="Times New Roman" w:cs="Times New Roman"/>
                <w:sz w:val="15"/>
                <w:szCs w:val="15"/>
                <w:vertAlign w:val="baseline"/>
              </w:rPr>
              <w:t>(surgery</w:t>
            </w:r>
            <w:r>
              <w:rPr>
                <w:rFonts w:hint="eastAsia" w:ascii="Times New Roman" w:hAnsi="Times New Roman" w:cs="Times New Roman"/>
                <w:sz w:val="15"/>
                <w:szCs w:val="15"/>
                <w:vertAlign w:val="baseline"/>
                <w:lang w:val="en-US" w:eastAsia="zh-CN"/>
              </w:rPr>
              <w:t xml:space="preserve">, </w:t>
            </w:r>
            <w:r>
              <w:rPr>
                <w:rFonts w:hint="default" w:ascii="Times New Roman" w:hAnsi="Times New Roman" w:cs="Times New Roman"/>
                <w:sz w:val="15"/>
                <w:szCs w:val="15"/>
                <w:vertAlign w:val="baseline"/>
              </w:rPr>
              <w:t>chemotherapy, or radiation) for more than 3 months and have lymphedema.</w:t>
            </w:r>
          </w:p>
        </w:tc>
        <w:tc>
          <w:tcPr>
            <w:tcW w:w="4294" w:type="dxa"/>
          </w:tcPr>
          <w:p w14:paraId="2E07A5B4">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Patients who active malignancy, breast cancer recurrence, active infection,</w:t>
            </w:r>
            <w:r>
              <w:rPr>
                <w:rFonts w:hint="eastAsia" w:ascii="Times New Roman" w:hAnsi="Times New Roman" w:cs="Times New Roman"/>
                <w:sz w:val="15"/>
                <w:szCs w:val="15"/>
                <w:vertAlign w:val="baseline"/>
                <w:lang w:val="en-US" w:eastAsia="zh-CN"/>
              </w:rPr>
              <w:t xml:space="preserve"> </w:t>
            </w:r>
            <w:r>
              <w:rPr>
                <w:rFonts w:hint="eastAsia" w:ascii="Times New Roman" w:hAnsi="Times New Roman" w:cs="Times New Roman"/>
                <w:sz w:val="15"/>
                <w:szCs w:val="15"/>
                <w:vertAlign w:val="baseline"/>
              </w:rPr>
              <w:t>patients with bilateral disease or bilateral lymphedema,</w:t>
            </w:r>
            <w:r>
              <w:rPr>
                <w:rFonts w:hint="eastAsia" w:ascii="Times New Roman" w:hAnsi="Times New Roman" w:cs="Times New Roman"/>
                <w:sz w:val="15"/>
                <w:szCs w:val="15"/>
                <w:vertAlign w:val="baseline"/>
                <w:lang w:val="en-US" w:eastAsia="zh-CN"/>
              </w:rPr>
              <w:t xml:space="preserve"> </w:t>
            </w:r>
            <w:r>
              <w:rPr>
                <w:rFonts w:hint="eastAsia" w:ascii="Times New Roman" w:hAnsi="Times New Roman" w:cs="Times New Roman"/>
                <w:sz w:val="15"/>
                <w:szCs w:val="15"/>
                <w:vertAlign w:val="baseline"/>
              </w:rPr>
              <w:t>venous insufficiency, low physical activity and unable to perform daily tasks, or female athletes with hyperphysical activity, history of previous treatment for lymphedema, neuromuscular diseases and any absolute contrain dications for CDT.</w:t>
            </w:r>
          </w:p>
        </w:tc>
        <w:tc>
          <w:tcPr>
            <w:tcW w:w="2306" w:type="dxa"/>
          </w:tcPr>
          <w:p w14:paraId="35B9A0A4">
            <w:pPr>
              <w:widowControl w:val="0"/>
              <w:numPr>
                <w:ilvl w:val="0"/>
                <w:numId w:val="4"/>
              </w:numPr>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 xml:space="preserve">Affected limb volume </w:t>
            </w:r>
          </w:p>
          <w:p w14:paraId="19B3FD2C">
            <w:pPr>
              <w:widowControl w:val="0"/>
              <w:numPr>
                <w:ilvl w:val="0"/>
                <w:numId w:val="4"/>
              </w:numPr>
              <w:ind w:left="0" w:leftChars="0" w:firstLine="0" w:firstLineChars="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Pain/heaviness/paraesthesia scores</w:t>
            </w:r>
          </w:p>
          <w:p w14:paraId="5969EC2C">
            <w:pPr>
              <w:widowControl w:val="0"/>
              <w:jc w:val="both"/>
              <w:rPr>
                <w:rFonts w:hint="eastAsia" w:ascii="Times New Roman" w:hAnsi="Times New Roman" w:cs="Times New Roman"/>
                <w:sz w:val="15"/>
                <w:szCs w:val="15"/>
                <w:vertAlign w:val="baseline"/>
              </w:rPr>
            </w:pPr>
          </w:p>
        </w:tc>
        <w:tc>
          <w:tcPr>
            <w:tcW w:w="4552" w:type="dxa"/>
          </w:tcPr>
          <w:p w14:paraId="4CA71339">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Both CDT alone and MCDT combined with IPC can significantly reduce the limb volume in patients with postmastectomy lymphedema,</w:t>
            </w:r>
            <w:r>
              <w:rPr>
                <w:rFonts w:hint="eastAsia" w:ascii="Times New Roman" w:hAnsi="Times New Roman" w:cs="Times New Roman"/>
                <w:sz w:val="15"/>
                <w:szCs w:val="15"/>
                <w:vertAlign w:val="baseline"/>
                <w:lang w:val="en-US" w:eastAsia="zh-CN"/>
              </w:rPr>
              <w:t xml:space="preserve"> </w:t>
            </w:r>
            <w:r>
              <w:rPr>
                <w:rFonts w:hint="eastAsia" w:ascii="Times New Roman" w:hAnsi="Times New Roman" w:cs="Times New Roman"/>
                <w:sz w:val="15"/>
                <w:szCs w:val="15"/>
                <w:vertAlign w:val="baseline"/>
              </w:rPr>
              <w:t>with CDT alone providing better results in both phases of treatment.</w:t>
            </w:r>
            <w:r>
              <w:rPr>
                <w:rFonts w:hint="eastAsia" w:ascii="Times New Roman" w:hAnsi="Times New Roman" w:cs="Times New Roman"/>
                <w:sz w:val="15"/>
                <w:szCs w:val="15"/>
                <w:vertAlign w:val="baseline"/>
                <w:lang w:val="en-US" w:eastAsia="zh-CN"/>
              </w:rPr>
              <w:t xml:space="preserve"> </w:t>
            </w:r>
            <w:r>
              <w:rPr>
                <w:rFonts w:hint="eastAsia" w:ascii="Times New Roman" w:hAnsi="Times New Roman" w:cs="Times New Roman"/>
                <w:sz w:val="15"/>
                <w:szCs w:val="15"/>
                <w:vertAlign w:val="baseline"/>
              </w:rPr>
              <w:t>Both treatment methods can significantly reduce symptoms such as pain,</w:t>
            </w:r>
            <w:r>
              <w:rPr>
                <w:rFonts w:hint="eastAsia" w:ascii="Times New Roman" w:hAnsi="Times New Roman" w:cs="Times New Roman"/>
                <w:sz w:val="15"/>
                <w:szCs w:val="15"/>
                <w:vertAlign w:val="baseline"/>
                <w:lang w:val="en-US" w:eastAsia="zh-CN"/>
              </w:rPr>
              <w:t xml:space="preserve"> </w:t>
            </w:r>
            <w:r>
              <w:rPr>
                <w:rFonts w:hint="eastAsia" w:ascii="Times New Roman" w:hAnsi="Times New Roman" w:cs="Times New Roman"/>
                <w:sz w:val="15"/>
                <w:szCs w:val="15"/>
                <w:vertAlign w:val="baseline"/>
              </w:rPr>
              <w:t>heaviness,</w:t>
            </w:r>
            <w:r>
              <w:rPr>
                <w:rFonts w:hint="eastAsia" w:ascii="Times New Roman" w:hAnsi="Times New Roman" w:cs="Times New Roman"/>
                <w:sz w:val="15"/>
                <w:szCs w:val="15"/>
                <w:vertAlign w:val="baseline"/>
                <w:lang w:val="en-US" w:eastAsia="zh-CN"/>
              </w:rPr>
              <w:t xml:space="preserve"> </w:t>
            </w:r>
            <w:r>
              <w:rPr>
                <w:rFonts w:hint="eastAsia" w:ascii="Times New Roman" w:hAnsi="Times New Roman" w:cs="Times New Roman"/>
                <w:sz w:val="15"/>
                <w:szCs w:val="15"/>
                <w:vertAlign w:val="baseline"/>
              </w:rPr>
              <w:t>and paresthesia.</w:t>
            </w:r>
          </w:p>
          <w:p w14:paraId="2515EF54">
            <w:pPr>
              <w:widowControl w:val="0"/>
              <w:jc w:val="both"/>
              <w:rPr>
                <w:rFonts w:hint="eastAsia" w:ascii="Times New Roman" w:hAnsi="Times New Roman" w:cs="Times New Roman"/>
                <w:sz w:val="15"/>
                <w:szCs w:val="15"/>
                <w:vertAlign w:val="baseline"/>
              </w:rPr>
            </w:pPr>
          </w:p>
        </w:tc>
      </w:tr>
      <w:tr w14:paraId="35F28EF9">
        <w:trPr>
          <w:trHeight w:val="916" w:hRule="atLeast"/>
        </w:trPr>
        <w:tc>
          <w:tcPr>
            <w:tcW w:w="1595" w:type="dxa"/>
            <w:vAlign w:val="center"/>
          </w:tcPr>
          <w:p w14:paraId="52A1A90A">
            <w:pPr>
              <w:widowControl w:val="0"/>
              <w:jc w:val="center"/>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Tastaban et al</w:t>
            </w:r>
            <w:r>
              <w:rPr>
                <w:rFonts w:hint="eastAsia" w:ascii="Times New Roman" w:hAnsi="Times New Roman" w:cs="Times New Roman"/>
                <w:sz w:val="15"/>
                <w:szCs w:val="15"/>
                <w:vertAlign w:val="superscript"/>
              </w:rPr>
              <w:t>[23]</w:t>
            </w:r>
          </w:p>
          <w:p w14:paraId="61D7706E">
            <w:pPr>
              <w:widowControl w:val="0"/>
              <w:jc w:val="center"/>
              <w:rPr>
                <w:vertAlign w:val="baseline"/>
              </w:rPr>
            </w:pPr>
          </w:p>
        </w:tc>
        <w:tc>
          <w:tcPr>
            <w:tcW w:w="3660" w:type="dxa"/>
          </w:tcPr>
          <w:p w14:paraId="7904E32E">
            <w:pPr>
              <w:widowControl w:val="0"/>
              <w:jc w:val="both"/>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Patients who underwent surgery for unilateral breast cancer and completed chemoradiotherapy developed breast cancer-related unilateral upper arm lymphedema with a circumference difference greater than 2 cm or volume difference greater than 10%.</w:t>
            </w:r>
          </w:p>
          <w:p w14:paraId="0E1CC949">
            <w:pPr>
              <w:widowControl w:val="0"/>
              <w:jc w:val="both"/>
              <w:rPr>
                <w:rFonts w:hint="default" w:ascii="Times New Roman" w:hAnsi="Times New Roman" w:cs="Times New Roman"/>
                <w:sz w:val="15"/>
                <w:szCs w:val="15"/>
                <w:vertAlign w:val="baseline"/>
              </w:rPr>
            </w:pPr>
          </w:p>
        </w:tc>
        <w:tc>
          <w:tcPr>
            <w:tcW w:w="4294" w:type="dxa"/>
          </w:tcPr>
          <w:p w14:paraId="605295BC">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Patients who surgical intervention due to bilateral breast cancer, primer lymphoedema, undergoing complex decongestive therapy or other interventions for lymphoedema within 12 months, truncal and/or breast oedema, continuing chemotherapy and/or radiotherapy, infection, current metastases, heart failure with arterial and/or venous occlusion.</w:t>
            </w:r>
          </w:p>
          <w:p w14:paraId="3D902D47">
            <w:pPr>
              <w:widowControl w:val="0"/>
              <w:jc w:val="both"/>
              <w:rPr>
                <w:rFonts w:hint="eastAsia" w:ascii="Times New Roman" w:hAnsi="Times New Roman" w:cs="Times New Roman"/>
                <w:sz w:val="15"/>
                <w:szCs w:val="15"/>
                <w:vertAlign w:val="baseline"/>
              </w:rPr>
            </w:pPr>
          </w:p>
        </w:tc>
        <w:tc>
          <w:tcPr>
            <w:tcW w:w="2306" w:type="dxa"/>
          </w:tcPr>
          <w:p w14:paraId="7E964E3C">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(1) Affected limb volume</w:t>
            </w:r>
          </w:p>
          <w:p w14:paraId="30963210">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(2) Pain/paraesthesia level</w:t>
            </w:r>
          </w:p>
          <w:p w14:paraId="68C51BF7">
            <w:pPr>
              <w:widowControl w:val="0"/>
              <w:jc w:val="both"/>
              <w:rPr>
                <w:rFonts w:hint="eastAsia" w:ascii="Times New Roman" w:hAnsi="Times New Roman" w:cs="Times New Roman"/>
                <w:sz w:val="15"/>
                <w:szCs w:val="15"/>
                <w:vertAlign w:val="baseline"/>
              </w:rPr>
            </w:pPr>
          </w:p>
        </w:tc>
        <w:tc>
          <w:tcPr>
            <w:tcW w:w="4552" w:type="dxa"/>
          </w:tcPr>
          <w:p w14:paraId="30E46DAE">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After treatment,there was a significant improvement in limb volume in both groups.The PREV of the experimental group</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(54.6%)</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was better than that of the control group</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(49.6%),</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but the difference between the groups was not statistically significant;the scores for the parameters of heaviness and tightness in the experimental group were more effective than those in the control group.</w:t>
            </w:r>
          </w:p>
        </w:tc>
      </w:tr>
      <w:tr w14:paraId="07D33086">
        <w:trPr>
          <w:trHeight w:val="916" w:hRule="atLeast"/>
        </w:trPr>
        <w:tc>
          <w:tcPr>
            <w:tcW w:w="1595" w:type="dxa"/>
            <w:vAlign w:val="center"/>
          </w:tcPr>
          <w:p w14:paraId="3056D949">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Szolnoky et al</w:t>
            </w:r>
            <w:r>
              <w:rPr>
                <w:rFonts w:hint="eastAsia" w:ascii="Times New Roman" w:hAnsi="Times New Roman" w:cs="Times New Roman"/>
                <w:sz w:val="15"/>
                <w:szCs w:val="15"/>
                <w:vertAlign w:val="superscript"/>
              </w:rPr>
              <w:t>[2</w:t>
            </w:r>
            <w:r>
              <w:rPr>
                <w:rFonts w:hint="default" w:ascii="Times New Roman" w:hAnsi="Times New Roman" w:cs="Times New Roman"/>
                <w:sz w:val="15"/>
                <w:szCs w:val="15"/>
                <w:vertAlign w:val="superscript"/>
                <w:lang w:val="en-US"/>
              </w:rPr>
              <w:t>5</w:t>
            </w:r>
            <w:r>
              <w:rPr>
                <w:rFonts w:hint="eastAsia" w:ascii="Times New Roman" w:hAnsi="Times New Roman" w:cs="Times New Roman"/>
                <w:sz w:val="15"/>
                <w:szCs w:val="15"/>
                <w:vertAlign w:val="superscript"/>
              </w:rPr>
              <w:t>]</w:t>
            </w:r>
          </w:p>
          <w:p w14:paraId="56A22941">
            <w:pPr>
              <w:widowControl w:val="0"/>
              <w:jc w:val="center"/>
              <w:rPr>
                <w:vertAlign w:val="baseline"/>
              </w:rPr>
            </w:pPr>
          </w:p>
        </w:tc>
        <w:tc>
          <w:tcPr>
            <w:tcW w:w="3660" w:type="dxa"/>
          </w:tcPr>
          <w:p w14:paraId="74D58EB4">
            <w:pPr>
              <w:widowControl w:val="0"/>
              <w:jc w:val="both"/>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Women with unilateral arm lymphedema more than 12 months after breast cancer surgery or adjuvant therapy.</w:t>
            </w:r>
          </w:p>
          <w:p w14:paraId="5BCD24F0">
            <w:pPr>
              <w:widowControl w:val="0"/>
              <w:jc w:val="both"/>
              <w:rPr>
                <w:rFonts w:hint="default" w:ascii="Times New Roman" w:hAnsi="Times New Roman" w:cs="Times New Roman"/>
                <w:sz w:val="15"/>
                <w:szCs w:val="15"/>
                <w:vertAlign w:val="baseline"/>
              </w:rPr>
            </w:pPr>
          </w:p>
        </w:tc>
        <w:tc>
          <w:tcPr>
            <w:tcW w:w="4294" w:type="dxa"/>
          </w:tcPr>
          <w:p w14:paraId="41142061">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Patients who subjects with any sign of local recurrence or distant metastases or if they were within the obligatory treatment-free period of one year.</w:t>
            </w:r>
          </w:p>
          <w:p w14:paraId="0FC5A3ED">
            <w:pPr>
              <w:widowControl w:val="0"/>
              <w:jc w:val="both"/>
              <w:rPr>
                <w:rFonts w:hint="eastAsia" w:ascii="Times New Roman" w:hAnsi="Times New Roman" w:cs="Times New Roman"/>
                <w:sz w:val="15"/>
                <w:szCs w:val="15"/>
                <w:vertAlign w:val="baseline"/>
              </w:rPr>
            </w:pPr>
          </w:p>
        </w:tc>
        <w:tc>
          <w:tcPr>
            <w:tcW w:w="2306" w:type="dxa"/>
          </w:tcPr>
          <w:p w14:paraId="7CCE7CC9">
            <w:pPr>
              <w:widowControl w:val="0"/>
              <w:numPr>
                <w:ilvl w:val="0"/>
                <w:numId w:val="5"/>
              </w:numPr>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Affected limb volume</w:t>
            </w:r>
          </w:p>
          <w:p w14:paraId="2422AD5C">
            <w:pPr>
              <w:widowControl w:val="0"/>
              <w:numPr>
                <w:ilvl w:val="0"/>
                <w:numId w:val="5"/>
              </w:numPr>
              <w:ind w:left="0" w:leftChars="0" w:firstLine="0" w:firstLineChars="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Subjective symptom questionnaire scores</w:t>
            </w:r>
          </w:p>
          <w:p w14:paraId="18D40BC8">
            <w:pPr>
              <w:widowControl w:val="0"/>
              <w:jc w:val="both"/>
              <w:rPr>
                <w:rFonts w:hint="eastAsia" w:ascii="Times New Roman" w:hAnsi="Times New Roman" w:cs="Times New Roman"/>
                <w:sz w:val="15"/>
                <w:szCs w:val="15"/>
                <w:vertAlign w:val="baseline"/>
              </w:rPr>
            </w:pPr>
          </w:p>
        </w:tc>
        <w:tc>
          <w:tcPr>
            <w:tcW w:w="4552" w:type="dxa"/>
          </w:tcPr>
          <w:p w14:paraId="7C85F2A3">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The combined use of MLD and IPC provides a synergistic enhancement of the effects of CDP in terms of limb volume reduction.</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Although both groups showed improvement in subjective symptom scores,</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there were no significant differences between the groups at any time point.</w:t>
            </w:r>
          </w:p>
        </w:tc>
      </w:tr>
      <w:tr w14:paraId="5A9C3A19">
        <w:trPr>
          <w:trHeight w:val="916" w:hRule="atLeast"/>
        </w:trPr>
        <w:tc>
          <w:tcPr>
            <w:tcW w:w="1595" w:type="dxa"/>
            <w:vAlign w:val="center"/>
          </w:tcPr>
          <w:p w14:paraId="5E0C6C56">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Szuba</w:t>
            </w:r>
            <w:r>
              <w:rPr>
                <w:rFonts w:hint="eastAsia" w:ascii="Times New Roman" w:hAnsi="Times New Roman" w:cs="Times New Roman"/>
                <w:sz w:val="15"/>
                <w:szCs w:val="15"/>
                <w:vertAlign w:val="baseline"/>
                <w:lang w:val="en-US" w:eastAsia="zh-CN"/>
              </w:rPr>
              <w:t xml:space="preserve"> </w:t>
            </w:r>
            <w:r>
              <w:rPr>
                <w:rFonts w:hint="eastAsia" w:ascii="Times New Roman" w:hAnsi="Times New Roman" w:cs="Times New Roman"/>
                <w:sz w:val="15"/>
                <w:szCs w:val="15"/>
                <w:vertAlign w:val="baseline"/>
              </w:rPr>
              <w:t>et al</w:t>
            </w:r>
            <w:r>
              <w:rPr>
                <w:rFonts w:hint="eastAsia" w:ascii="Times New Roman" w:hAnsi="Times New Roman" w:cs="Times New Roman"/>
                <w:sz w:val="15"/>
                <w:szCs w:val="15"/>
                <w:vertAlign w:val="superscript"/>
              </w:rPr>
              <w:t>[2</w:t>
            </w:r>
            <w:r>
              <w:rPr>
                <w:rFonts w:hint="default" w:ascii="Times New Roman" w:hAnsi="Times New Roman" w:cs="Times New Roman"/>
                <w:sz w:val="15"/>
                <w:szCs w:val="15"/>
                <w:vertAlign w:val="superscript"/>
                <w:lang w:val="en-US"/>
              </w:rPr>
              <w:t>4</w:t>
            </w:r>
            <w:r>
              <w:rPr>
                <w:rFonts w:hint="eastAsia" w:ascii="Times New Roman" w:hAnsi="Times New Roman" w:cs="Times New Roman"/>
                <w:sz w:val="15"/>
                <w:szCs w:val="15"/>
                <w:vertAlign w:val="superscript"/>
              </w:rPr>
              <w:t>]</w:t>
            </w:r>
          </w:p>
          <w:p w14:paraId="39D59854">
            <w:pPr>
              <w:widowControl w:val="0"/>
              <w:jc w:val="center"/>
              <w:rPr>
                <w:vertAlign w:val="baseline"/>
              </w:rPr>
            </w:pPr>
          </w:p>
        </w:tc>
        <w:tc>
          <w:tcPr>
            <w:tcW w:w="3660" w:type="dxa"/>
          </w:tcPr>
          <w:p w14:paraId="31A8D06D">
            <w:pPr>
              <w:widowControl w:val="0"/>
              <w:jc w:val="both"/>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Patients with breast cancer-related lymphedema who have been treated for breast cancer (surgery or radiation, or both) for 12 weeks.</w:t>
            </w:r>
          </w:p>
        </w:tc>
        <w:tc>
          <w:tcPr>
            <w:tcW w:w="4294" w:type="dxa"/>
          </w:tcPr>
          <w:p w14:paraId="6D5BD62C">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Patients presented with bilateral lymphedema, breast cancer recurrence, clinically active or clinically obvious infection, or venous occlusion.</w:t>
            </w:r>
          </w:p>
        </w:tc>
        <w:tc>
          <w:tcPr>
            <w:tcW w:w="2306" w:type="dxa"/>
          </w:tcPr>
          <w:p w14:paraId="62449DED">
            <w:pPr>
              <w:widowControl w:val="0"/>
              <w:numPr>
                <w:ilvl w:val="0"/>
                <w:numId w:val="6"/>
              </w:numPr>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Affected limb volume</w:t>
            </w:r>
          </w:p>
          <w:p w14:paraId="19C86A1B">
            <w:pPr>
              <w:widowControl w:val="0"/>
              <w:numPr>
                <w:ilvl w:val="0"/>
                <w:numId w:val="6"/>
              </w:numPr>
              <w:ind w:left="0" w:leftChars="0" w:firstLine="0" w:firstLineChars="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Tissue elasticity</w:t>
            </w:r>
          </w:p>
          <w:p w14:paraId="5F12757D">
            <w:pPr>
              <w:widowControl w:val="0"/>
              <w:numPr>
                <w:ilvl w:val="0"/>
                <w:numId w:val="6"/>
              </w:numPr>
              <w:ind w:left="0" w:leftChars="0" w:firstLine="0" w:firstLineChars="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Range of motion of the affected limb</w:t>
            </w:r>
          </w:p>
        </w:tc>
        <w:tc>
          <w:tcPr>
            <w:tcW w:w="4552" w:type="dxa"/>
          </w:tcPr>
          <w:p w14:paraId="5A12F4FA">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The experimental group can effectively reduce the average volume of the affected limb compared to the control group,</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with a statistically significant difference;</w:t>
            </w:r>
            <w:r>
              <w:rPr>
                <w:rFonts w:hint="default" w:ascii="Times New Roman" w:hAnsi="Times New Roman" w:cs="Times New Roman"/>
                <w:sz w:val="15"/>
                <w:szCs w:val="15"/>
                <w:vertAlign w:val="baseline"/>
                <w:lang w:val="en-US"/>
              </w:rPr>
              <w:t xml:space="preserve"> M</w:t>
            </w:r>
            <w:r>
              <w:rPr>
                <w:rFonts w:hint="eastAsia" w:ascii="Times New Roman" w:hAnsi="Times New Roman" w:cs="Times New Roman"/>
                <w:sz w:val="15"/>
                <w:szCs w:val="15"/>
                <w:vertAlign w:val="baseline"/>
              </w:rPr>
              <w:t>oreover,</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IPC is well tolerated and significantly lacks complications.</w:t>
            </w:r>
          </w:p>
        </w:tc>
      </w:tr>
      <w:tr w14:paraId="07AFA253">
        <w:trPr>
          <w:trHeight w:val="916" w:hRule="atLeast"/>
        </w:trPr>
        <w:tc>
          <w:tcPr>
            <w:tcW w:w="1595" w:type="dxa"/>
            <w:vAlign w:val="center"/>
          </w:tcPr>
          <w:p w14:paraId="54320470">
            <w:pPr>
              <w:widowControl w:val="0"/>
              <w:jc w:val="both"/>
              <w:rPr>
                <w:rFonts w:hint="eastAsia" w:ascii="Times New Roman" w:hAnsi="Times New Roman" w:cs="Times New Roman"/>
                <w:sz w:val="15"/>
                <w:szCs w:val="15"/>
                <w:vertAlign w:val="superscript"/>
              </w:rPr>
            </w:pPr>
            <w:r>
              <w:rPr>
                <w:rFonts w:hint="eastAsia" w:ascii="Times New Roman" w:hAnsi="Times New Roman" w:cs="Times New Roman"/>
                <w:sz w:val="15"/>
                <w:szCs w:val="15"/>
                <w:vertAlign w:val="baseline"/>
              </w:rPr>
              <w:t>YuNan</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H et al</w:t>
            </w:r>
            <w:r>
              <w:rPr>
                <w:rFonts w:hint="eastAsia" w:ascii="Times New Roman" w:hAnsi="Times New Roman" w:cs="Times New Roman"/>
                <w:sz w:val="15"/>
                <w:szCs w:val="15"/>
                <w:vertAlign w:val="superscript"/>
              </w:rPr>
              <w:t>[3</w:t>
            </w:r>
            <w:r>
              <w:rPr>
                <w:rFonts w:hint="default" w:ascii="Times New Roman" w:hAnsi="Times New Roman" w:cs="Times New Roman"/>
                <w:sz w:val="15"/>
                <w:szCs w:val="15"/>
                <w:vertAlign w:val="superscript"/>
                <w:lang w:val="en-US"/>
              </w:rPr>
              <w:t>0</w:t>
            </w:r>
            <w:r>
              <w:rPr>
                <w:rFonts w:hint="eastAsia" w:ascii="Times New Roman" w:hAnsi="Times New Roman" w:cs="Times New Roman"/>
                <w:sz w:val="15"/>
                <w:szCs w:val="15"/>
                <w:vertAlign w:val="superscript"/>
              </w:rPr>
              <w:t>]</w:t>
            </w:r>
          </w:p>
          <w:p w14:paraId="4DC8B899">
            <w:pPr>
              <w:widowControl w:val="0"/>
              <w:jc w:val="center"/>
              <w:rPr>
                <w:vertAlign w:val="baseline"/>
              </w:rPr>
            </w:pPr>
          </w:p>
        </w:tc>
        <w:tc>
          <w:tcPr>
            <w:tcW w:w="3660" w:type="dxa"/>
          </w:tcPr>
          <w:p w14:paraId="107A256E">
            <w:pPr>
              <w:widowControl w:val="0"/>
              <w:jc w:val="both"/>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Patients diagnosed as breast cancer with CT and MRI diagnostic evidence, ultrasound diagnosis indicated the presence of inflammatory infiltration and the formation of single or multiple pus</w:t>
            </w:r>
            <w:r>
              <w:rPr>
                <w:rFonts w:hint="eastAsia" w:ascii="Times New Roman" w:hAnsi="Times New Roman" w:cs="Times New Roman"/>
                <w:sz w:val="15"/>
                <w:szCs w:val="15"/>
                <w:vertAlign w:val="baseline"/>
                <w:lang w:val="en-US" w:eastAsia="zh-CN"/>
              </w:rPr>
              <w:t xml:space="preserve"> </w:t>
            </w:r>
            <w:r>
              <w:rPr>
                <w:rFonts w:hint="default" w:ascii="Times New Roman" w:hAnsi="Times New Roman" w:cs="Times New Roman"/>
                <w:sz w:val="15"/>
                <w:szCs w:val="15"/>
                <w:vertAlign w:val="baseline"/>
              </w:rPr>
              <w:t>cavities.</w:t>
            </w:r>
          </w:p>
        </w:tc>
        <w:tc>
          <w:tcPr>
            <w:tcW w:w="4294" w:type="dxa"/>
          </w:tcPr>
          <w:p w14:paraId="0009C8C5">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Patients with severe other cancer conditions, intolerance to surgical treatment, recent use of anticoagulants, or renal dysfunction.</w:t>
            </w:r>
          </w:p>
          <w:p w14:paraId="39FCD5D5">
            <w:pPr>
              <w:widowControl w:val="0"/>
              <w:jc w:val="both"/>
              <w:rPr>
                <w:rFonts w:hint="eastAsia" w:ascii="Times New Roman" w:hAnsi="Times New Roman" w:cs="Times New Roman"/>
                <w:sz w:val="15"/>
                <w:szCs w:val="15"/>
                <w:vertAlign w:val="baseline"/>
              </w:rPr>
            </w:pPr>
          </w:p>
        </w:tc>
        <w:tc>
          <w:tcPr>
            <w:tcW w:w="2306" w:type="dxa"/>
          </w:tcPr>
          <w:p w14:paraId="17433ED5">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(1) Effective rate of limb edema</w:t>
            </w:r>
          </w:p>
          <w:p w14:paraId="747337FC">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 xml:space="preserve">(2) Recovery rate of affected limb </w:t>
            </w:r>
          </w:p>
          <w:p w14:paraId="239474EA">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(3) Recovery time of affected limb</w:t>
            </w:r>
          </w:p>
        </w:tc>
        <w:tc>
          <w:tcPr>
            <w:tcW w:w="4552" w:type="dxa"/>
          </w:tcPr>
          <w:p w14:paraId="48009CE4">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The total effective rate and the excellent and good rate of limb function rehabilitation in IPC group were significantly higher than those in control group . The recovery time of limb function and hospitalization time in IPC group were shorter than those in control group.</w:t>
            </w:r>
          </w:p>
        </w:tc>
      </w:tr>
      <w:tr w14:paraId="540E346A">
        <w:trPr>
          <w:trHeight w:val="916" w:hRule="atLeast"/>
        </w:trPr>
        <w:tc>
          <w:tcPr>
            <w:tcW w:w="1595" w:type="dxa"/>
            <w:vAlign w:val="center"/>
          </w:tcPr>
          <w:p w14:paraId="057B9EF8">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YongHong</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L et al</w:t>
            </w:r>
            <w:r>
              <w:rPr>
                <w:rFonts w:hint="eastAsia" w:ascii="Times New Roman" w:hAnsi="Times New Roman" w:cs="Times New Roman"/>
                <w:sz w:val="15"/>
                <w:szCs w:val="15"/>
                <w:vertAlign w:val="superscript"/>
              </w:rPr>
              <w:t>[</w:t>
            </w:r>
            <w:r>
              <w:rPr>
                <w:rFonts w:hint="default" w:ascii="Times New Roman" w:hAnsi="Times New Roman" w:cs="Times New Roman"/>
                <w:sz w:val="15"/>
                <w:szCs w:val="15"/>
                <w:vertAlign w:val="superscript"/>
                <w:lang w:val="en-US"/>
              </w:rPr>
              <w:t>29</w:t>
            </w:r>
            <w:r>
              <w:rPr>
                <w:rFonts w:hint="eastAsia" w:ascii="Times New Roman" w:hAnsi="Times New Roman" w:cs="Times New Roman"/>
                <w:sz w:val="15"/>
                <w:szCs w:val="15"/>
                <w:vertAlign w:val="superscript"/>
              </w:rPr>
              <w:t>]</w:t>
            </w:r>
          </w:p>
          <w:p w14:paraId="51F1B9B1">
            <w:pPr>
              <w:widowControl w:val="0"/>
              <w:jc w:val="center"/>
              <w:rPr>
                <w:vertAlign w:val="baseline"/>
              </w:rPr>
            </w:pPr>
          </w:p>
        </w:tc>
        <w:tc>
          <w:tcPr>
            <w:tcW w:w="3660" w:type="dxa"/>
          </w:tcPr>
          <w:p w14:paraId="69717D31">
            <w:pPr>
              <w:widowControl w:val="0"/>
              <w:jc w:val="both"/>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Women aged 38 to 59 years who developed lymphedema after unilateral breast cancer surgery received the first cycle of chemotherapy.</w:t>
            </w:r>
          </w:p>
        </w:tc>
        <w:tc>
          <w:tcPr>
            <w:tcW w:w="4294" w:type="dxa"/>
          </w:tcPr>
          <w:p w14:paraId="31A5CA9F">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Bilateral breast cancer-associated lymphedema.</w:t>
            </w:r>
          </w:p>
          <w:p w14:paraId="495257C0">
            <w:pPr>
              <w:widowControl w:val="0"/>
              <w:jc w:val="both"/>
              <w:rPr>
                <w:rFonts w:hint="eastAsia" w:ascii="Times New Roman" w:hAnsi="Times New Roman" w:cs="Times New Roman"/>
                <w:sz w:val="15"/>
                <w:szCs w:val="15"/>
                <w:vertAlign w:val="baseline"/>
              </w:rPr>
            </w:pPr>
          </w:p>
        </w:tc>
        <w:tc>
          <w:tcPr>
            <w:tcW w:w="2306" w:type="dxa"/>
          </w:tcPr>
          <w:p w14:paraId="195B016F">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Effective rate of limb edema</w:t>
            </w:r>
          </w:p>
          <w:p w14:paraId="69BB79B7">
            <w:pPr>
              <w:widowControl w:val="0"/>
              <w:jc w:val="both"/>
              <w:rPr>
                <w:rFonts w:hint="eastAsia" w:ascii="Times New Roman" w:hAnsi="Times New Roman" w:cs="Times New Roman"/>
                <w:sz w:val="15"/>
                <w:szCs w:val="15"/>
                <w:vertAlign w:val="baseline"/>
              </w:rPr>
            </w:pPr>
          </w:p>
        </w:tc>
        <w:tc>
          <w:tcPr>
            <w:tcW w:w="4552" w:type="dxa"/>
          </w:tcPr>
          <w:p w14:paraId="6AD58EA9">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The treatment effect of the affected limb edema in the experimental group was significantly better than that in the control group.</w:t>
            </w:r>
          </w:p>
        </w:tc>
      </w:tr>
      <w:tr w14:paraId="2C900DCF">
        <w:trPr>
          <w:trHeight w:val="916" w:hRule="atLeast"/>
        </w:trPr>
        <w:tc>
          <w:tcPr>
            <w:tcW w:w="1595" w:type="dxa"/>
            <w:vAlign w:val="center"/>
          </w:tcPr>
          <w:p w14:paraId="4376AA09">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Yi</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C et al</w:t>
            </w:r>
            <w:r>
              <w:rPr>
                <w:rFonts w:hint="eastAsia" w:ascii="Times New Roman" w:hAnsi="Times New Roman" w:cs="Times New Roman"/>
                <w:sz w:val="15"/>
                <w:szCs w:val="15"/>
                <w:vertAlign w:val="superscript"/>
              </w:rPr>
              <w:t>[20]</w:t>
            </w:r>
          </w:p>
          <w:p w14:paraId="56939BEE">
            <w:pPr>
              <w:widowControl w:val="0"/>
              <w:jc w:val="center"/>
              <w:rPr>
                <w:vertAlign w:val="baseline"/>
              </w:rPr>
            </w:pPr>
          </w:p>
        </w:tc>
        <w:tc>
          <w:tcPr>
            <w:tcW w:w="3660" w:type="dxa"/>
          </w:tcPr>
          <w:p w14:paraId="02EC3DF9">
            <w:pPr>
              <w:widowControl w:val="0"/>
              <w:jc w:val="both"/>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Patients diagnosed with breast cancer after surgery, without serious respiratory and circulatory diseases, with normal peripherality and normal activity of the affected limb before surgery, and with clear awareness and informed consent.</w:t>
            </w:r>
          </w:p>
        </w:tc>
        <w:tc>
          <w:tcPr>
            <w:tcW w:w="4294" w:type="dxa"/>
          </w:tcPr>
          <w:p w14:paraId="4DA2C1FE">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The patient has metastatic breast cancer; Skin infection of affected limb; Lymphedema due to reasons other than surgery; The affected limb was accompanied by deep vein thrombosis or thyroid disease.</w:t>
            </w:r>
          </w:p>
          <w:p w14:paraId="36674F77">
            <w:pPr>
              <w:widowControl w:val="0"/>
              <w:jc w:val="both"/>
              <w:rPr>
                <w:rFonts w:hint="eastAsia" w:ascii="Times New Roman" w:hAnsi="Times New Roman" w:cs="Times New Roman"/>
                <w:sz w:val="15"/>
                <w:szCs w:val="15"/>
                <w:vertAlign w:val="baseline"/>
              </w:rPr>
            </w:pPr>
          </w:p>
        </w:tc>
        <w:tc>
          <w:tcPr>
            <w:tcW w:w="2306" w:type="dxa"/>
          </w:tcPr>
          <w:p w14:paraId="6E53D6AA">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 xml:space="preserve">(1) Lymphedema incidence </w:t>
            </w:r>
          </w:p>
          <w:p w14:paraId="29AEE1D5">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(2) Function of affected limb</w:t>
            </w:r>
          </w:p>
          <w:p w14:paraId="49EABE0E">
            <w:pPr>
              <w:widowControl w:val="0"/>
              <w:jc w:val="both"/>
              <w:rPr>
                <w:rFonts w:hint="eastAsia" w:ascii="Times New Roman" w:hAnsi="Times New Roman" w:cs="Times New Roman"/>
                <w:sz w:val="15"/>
                <w:szCs w:val="15"/>
                <w:vertAlign w:val="baseline"/>
              </w:rPr>
            </w:pPr>
          </w:p>
        </w:tc>
        <w:tc>
          <w:tcPr>
            <w:tcW w:w="4552" w:type="dxa"/>
          </w:tcPr>
          <w:p w14:paraId="056B2114">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Patients who have undergone breast cancer surgery can effectively alleviate lymphedema of the affected limb and promote the recovery of limb function by using gradient pressure therapy.</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After treatment,the degree of lymphedema in the study group was significantly lower than that in the control group,</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and the range of motion of the shoulder joint was significantly greater than that in the control group.</w:t>
            </w:r>
          </w:p>
        </w:tc>
      </w:tr>
      <w:tr w14:paraId="591FD6BD">
        <w:trPr>
          <w:trHeight w:val="916" w:hRule="atLeast"/>
        </w:trPr>
        <w:tc>
          <w:tcPr>
            <w:tcW w:w="1595" w:type="dxa"/>
            <w:vAlign w:val="center"/>
          </w:tcPr>
          <w:p w14:paraId="37C60C21">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Na</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L et al</w:t>
            </w:r>
            <w:r>
              <w:rPr>
                <w:rFonts w:hint="eastAsia" w:ascii="Times New Roman" w:hAnsi="Times New Roman" w:cs="Times New Roman"/>
                <w:sz w:val="15"/>
                <w:szCs w:val="15"/>
                <w:vertAlign w:val="superscript"/>
              </w:rPr>
              <w:t>[21]</w:t>
            </w:r>
          </w:p>
          <w:p w14:paraId="7DAA47E5">
            <w:pPr>
              <w:widowControl w:val="0"/>
              <w:jc w:val="both"/>
              <w:rPr>
                <w:rFonts w:hint="eastAsia" w:ascii="Times New Roman" w:hAnsi="Times New Roman" w:cs="Times New Roman"/>
                <w:sz w:val="15"/>
                <w:szCs w:val="15"/>
                <w:vertAlign w:val="baseline"/>
              </w:rPr>
            </w:pPr>
          </w:p>
        </w:tc>
        <w:tc>
          <w:tcPr>
            <w:tcW w:w="3660" w:type="dxa"/>
          </w:tcPr>
          <w:p w14:paraId="0033FBEB">
            <w:pPr>
              <w:widowControl w:val="0"/>
              <w:jc w:val="both"/>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Patients who meet the characteristics of modified radical mastectomy, are &gt; 20 years old, have good cognitive ability and reading comprehension ability, and are willing to cooperate.</w:t>
            </w:r>
          </w:p>
          <w:p w14:paraId="1EA5BDA3">
            <w:pPr>
              <w:widowControl w:val="0"/>
              <w:jc w:val="both"/>
              <w:rPr>
                <w:rFonts w:hint="default" w:ascii="Times New Roman" w:hAnsi="Times New Roman" w:cs="Times New Roman"/>
                <w:sz w:val="15"/>
                <w:szCs w:val="15"/>
                <w:vertAlign w:val="baseline"/>
              </w:rPr>
            </w:pPr>
          </w:p>
        </w:tc>
        <w:tc>
          <w:tcPr>
            <w:tcW w:w="4294" w:type="dxa"/>
          </w:tcPr>
          <w:p w14:paraId="4BBBFF90">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Patients with combined mental disorder, cognitive impairment, or recent use of psychotropic drugs; Patients with distant metastasis of cancer cells or breast conserving surgery.</w:t>
            </w:r>
          </w:p>
          <w:p w14:paraId="52A218B7">
            <w:pPr>
              <w:widowControl w:val="0"/>
              <w:jc w:val="both"/>
              <w:rPr>
                <w:rFonts w:hint="eastAsia" w:ascii="Times New Roman" w:hAnsi="Times New Roman" w:cs="Times New Roman"/>
                <w:sz w:val="15"/>
                <w:szCs w:val="15"/>
                <w:vertAlign w:val="baseline"/>
              </w:rPr>
            </w:pPr>
          </w:p>
        </w:tc>
        <w:tc>
          <w:tcPr>
            <w:tcW w:w="2306" w:type="dxa"/>
          </w:tcPr>
          <w:p w14:paraId="627EF800">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(1) Lymphedema incidence</w:t>
            </w:r>
          </w:p>
          <w:p w14:paraId="37FC46E1">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 xml:space="preserve">(2) Function of affected limb </w:t>
            </w:r>
          </w:p>
          <w:p w14:paraId="2B6A5A43">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(3) Quality of life</w:t>
            </w:r>
          </w:p>
          <w:p w14:paraId="3FF31BAB">
            <w:pPr>
              <w:widowControl w:val="0"/>
              <w:jc w:val="both"/>
              <w:rPr>
                <w:rFonts w:hint="eastAsia" w:ascii="Times New Roman" w:hAnsi="Times New Roman" w:cs="Times New Roman"/>
                <w:sz w:val="15"/>
                <w:szCs w:val="15"/>
                <w:vertAlign w:val="baseline"/>
              </w:rPr>
            </w:pPr>
          </w:p>
        </w:tc>
        <w:tc>
          <w:tcPr>
            <w:tcW w:w="4552" w:type="dxa"/>
          </w:tcPr>
          <w:p w14:paraId="5F9F8790">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IPC effectively reduced the incidence of lymphedema, and the difference was statistically significant compared with the control group . The motion of shoulder joint in IPC group was better than that in control group.</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The total quality of life score of the patients after IPC intervention was higher than that of the control group.</w:t>
            </w:r>
          </w:p>
        </w:tc>
      </w:tr>
      <w:tr w14:paraId="30B4DADF">
        <w:trPr>
          <w:trHeight w:val="916" w:hRule="atLeast"/>
        </w:trPr>
        <w:tc>
          <w:tcPr>
            <w:tcW w:w="1595" w:type="dxa"/>
            <w:vAlign w:val="center"/>
          </w:tcPr>
          <w:p w14:paraId="4A740772">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YuPing</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W et al</w:t>
            </w:r>
            <w:r>
              <w:rPr>
                <w:rFonts w:hint="eastAsia" w:ascii="Times New Roman" w:hAnsi="Times New Roman" w:cs="Times New Roman"/>
                <w:sz w:val="15"/>
                <w:szCs w:val="15"/>
                <w:vertAlign w:val="superscript"/>
              </w:rPr>
              <w:t>[17]</w:t>
            </w:r>
          </w:p>
          <w:p w14:paraId="1FE7F3BE">
            <w:pPr>
              <w:widowControl w:val="0"/>
              <w:jc w:val="both"/>
              <w:rPr>
                <w:rFonts w:hint="eastAsia" w:ascii="Times New Roman" w:hAnsi="Times New Roman" w:cs="Times New Roman"/>
                <w:sz w:val="15"/>
                <w:szCs w:val="15"/>
                <w:vertAlign w:val="baseline"/>
              </w:rPr>
            </w:pPr>
          </w:p>
        </w:tc>
        <w:tc>
          <w:tcPr>
            <w:tcW w:w="3660" w:type="dxa"/>
          </w:tcPr>
          <w:p w14:paraId="79411E2C">
            <w:pPr>
              <w:widowControl w:val="0"/>
              <w:jc w:val="both"/>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Female patients aged 30 to 60 years who underwent modified radical mastectomy for axillary lymph dissection.</w:t>
            </w:r>
          </w:p>
          <w:p w14:paraId="31A79419">
            <w:pPr>
              <w:widowControl w:val="0"/>
              <w:jc w:val="both"/>
              <w:rPr>
                <w:rFonts w:hint="default" w:ascii="Times New Roman" w:hAnsi="Times New Roman" w:cs="Times New Roman"/>
                <w:sz w:val="15"/>
                <w:szCs w:val="15"/>
                <w:vertAlign w:val="baseline"/>
              </w:rPr>
            </w:pPr>
          </w:p>
        </w:tc>
        <w:tc>
          <w:tcPr>
            <w:tcW w:w="4294" w:type="dxa"/>
          </w:tcPr>
          <w:p w14:paraId="53D79932">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Not described.</w:t>
            </w:r>
          </w:p>
          <w:p w14:paraId="2A9497AB">
            <w:pPr>
              <w:widowControl w:val="0"/>
              <w:jc w:val="both"/>
              <w:rPr>
                <w:rFonts w:hint="eastAsia" w:ascii="Times New Roman" w:hAnsi="Times New Roman" w:cs="Times New Roman"/>
                <w:sz w:val="15"/>
                <w:szCs w:val="15"/>
                <w:vertAlign w:val="baseline"/>
              </w:rPr>
            </w:pPr>
          </w:p>
        </w:tc>
        <w:tc>
          <w:tcPr>
            <w:tcW w:w="2306" w:type="dxa"/>
          </w:tcPr>
          <w:p w14:paraId="610268F1">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(1) Psychological status</w:t>
            </w:r>
          </w:p>
          <w:p w14:paraId="497E0BD9">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(2) Lymphedema incidence</w:t>
            </w:r>
          </w:p>
          <w:p w14:paraId="1CA23E62">
            <w:pPr>
              <w:widowControl w:val="0"/>
              <w:jc w:val="both"/>
              <w:rPr>
                <w:rFonts w:hint="eastAsia" w:ascii="Times New Roman" w:hAnsi="Times New Roman" w:cs="Times New Roman"/>
                <w:sz w:val="15"/>
                <w:szCs w:val="15"/>
                <w:vertAlign w:val="baseline"/>
              </w:rPr>
            </w:pPr>
          </w:p>
        </w:tc>
        <w:tc>
          <w:tcPr>
            <w:tcW w:w="4552" w:type="dxa"/>
          </w:tcPr>
          <w:p w14:paraId="2F64DCB0">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The incidence of lymphedema and the degree of swelling in the experimental group were lower than those in the control group and the anxiety of the patients was also significantly lower than that in the control group.</w:t>
            </w:r>
          </w:p>
        </w:tc>
      </w:tr>
      <w:tr w14:paraId="090C67B4">
        <w:trPr>
          <w:trHeight w:val="916" w:hRule="atLeast"/>
        </w:trPr>
        <w:tc>
          <w:tcPr>
            <w:tcW w:w="1595" w:type="dxa"/>
            <w:vAlign w:val="center"/>
          </w:tcPr>
          <w:p w14:paraId="1BD6E51B">
            <w:pPr>
              <w:widowControl w:val="0"/>
              <w:jc w:val="both"/>
              <w:rPr>
                <w:rFonts w:hint="eastAsia" w:ascii="Times New Roman" w:hAnsi="Times New Roman" w:cs="Times New Roman"/>
                <w:sz w:val="15"/>
                <w:szCs w:val="15"/>
                <w:vertAlign w:val="superscript"/>
              </w:rPr>
            </w:pPr>
            <w:r>
              <w:rPr>
                <w:rFonts w:hint="eastAsia" w:ascii="Times New Roman" w:hAnsi="Times New Roman" w:cs="Times New Roman"/>
                <w:sz w:val="15"/>
                <w:szCs w:val="15"/>
                <w:vertAlign w:val="baseline"/>
              </w:rPr>
              <w:t>Jie</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P et al</w:t>
            </w:r>
            <w:r>
              <w:rPr>
                <w:rFonts w:hint="eastAsia" w:ascii="Times New Roman" w:hAnsi="Times New Roman" w:cs="Times New Roman"/>
                <w:sz w:val="15"/>
                <w:szCs w:val="15"/>
                <w:vertAlign w:val="superscript"/>
              </w:rPr>
              <w:t>[18]</w:t>
            </w:r>
          </w:p>
          <w:p w14:paraId="19EF9502">
            <w:pPr>
              <w:widowControl w:val="0"/>
              <w:jc w:val="both"/>
              <w:rPr>
                <w:rFonts w:hint="eastAsia" w:ascii="Times New Roman" w:hAnsi="Times New Roman" w:cs="Times New Roman"/>
                <w:sz w:val="15"/>
                <w:szCs w:val="15"/>
                <w:vertAlign w:val="baseline"/>
              </w:rPr>
            </w:pPr>
          </w:p>
        </w:tc>
        <w:tc>
          <w:tcPr>
            <w:tcW w:w="3660" w:type="dxa"/>
          </w:tcPr>
          <w:p w14:paraId="2231444A">
            <w:pPr>
              <w:widowControl w:val="0"/>
              <w:jc w:val="both"/>
              <w:rPr>
                <w:rFonts w:hint="default" w:ascii="Times New Roman" w:hAnsi="Times New Roman" w:cs="Times New Roman"/>
                <w:sz w:val="15"/>
                <w:szCs w:val="15"/>
                <w:vertAlign w:val="baseline"/>
                <w:lang w:val="en-US"/>
              </w:rPr>
            </w:pPr>
            <w:r>
              <w:rPr>
                <w:rFonts w:hint="default" w:ascii="Times New Roman" w:hAnsi="Times New Roman" w:cs="Times New Roman"/>
                <w:sz w:val="15"/>
                <w:szCs w:val="15"/>
                <w:vertAlign w:val="baseline"/>
              </w:rPr>
              <w:t>Women who pathological diagnosis of breast cancer,</w:t>
            </w:r>
            <w:r>
              <w:rPr>
                <w:rFonts w:hint="default" w:ascii="Times New Roman" w:hAnsi="Times New Roman" w:cs="Times New Roman"/>
                <w:sz w:val="15"/>
                <w:szCs w:val="15"/>
                <w:vertAlign w:val="baseline"/>
                <w:lang w:val="en-US"/>
              </w:rPr>
              <w:t xml:space="preserve"> </w:t>
            </w:r>
            <w:r>
              <w:rPr>
                <w:rFonts w:hint="default" w:ascii="Times New Roman" w:hAnsi="Times New Roman" w:cs="Times New Roman"/>
                <w:sz w:val="15"/>
                <w:szCs w:val="15"/>
                <w:vertAlign w:val="baseline"/>
              </w:rPr>
              <w:t>age ≥18 years and good coordination</w:t>
            </w:r>
            <w:r>
              <w:rPr>
                <w:rFonts w:hint="default" w:ascii="Times New Roman" w:hAnsi="Times New Roman" w:cs="Times New Roman"/>
                <w:sz w:val="15"/>
                <w:szCs w:val="15"/>
                <w:vertAlign w:val="baseline"/>
                <w:lang w:val="en-US"/>
              </w:rPr>
              <w:t>.</w:t>
            </w:r>
          </w:p>
          <w:p w14:paraId="04D3E8FC">
            <w:pPr>
              <w:widowControl w:val="0"/>
              <w:jc w:val="both"/>
              <w:rPr>
                <w:rFonts w:hint="default" w:ascii="Times New Roman" w:hAnsi="Times New Roman" w:cs="Times New Roman"/>
                <w:sz w:val="15"/>
                <w:szCs w:val="15"/>
                <w:vertAlign w:val="baseline"/>
              </w:rPr>
            </w:pPr>
          </w:p>
        </w:tc>
        <w:tc>
          <w:tcPr>
            <w:tcW w:w="4294" w:type="dxa"/>
          </w:tcPr>
          <w:p w14:paraId="55C76457">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Patients with other tumors, abnormal liver and kidney function, and abnormal function of affected limb before surgery.</w:t>
            </w:r>
          </w:p>
          <w:p w14:paraId="5D5526F0">
            <w:pPr>
              <w:widowControl w:val="0"/>
              <w:jc w:val="both"/>
              <w:rPr>
                <w:rFonts w:hint="eastAsia" w:ascii="Times New Roman" w:hAnsi="Times New Roman" w:cs="Times New Roman"/>
                <w:sz w:val="15"/>
                <w:szCs w:val="15"/>
                <w:vertAlign w:val="baseline"/>
              </w:rPr>
            </w:pPr>
          </w:p>
        </w:tc>
        <w:tc>
          <w:tcPr>
            <w:tcW w:w="2306" w:type="dxa"/>
          </w:tcPr>
          <w:p w14:paraId="168CC4DC">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 xml:space="preserve">(1) Functional of affected limb </w:t>
            </w:r>
          </w:p>
          <w:p w14:paraId="1CA45F3B">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(2) Lymphedema incidence</w:t>
            </w:r>
          </w:p>
          <w:p w14:paraId="73AB8E9D">
            <w:pPr>
              <w:widowControl w:val="0"/>
              <w:jc w:val="both"/>
              <w:rPr>
                <w:rFonts w:hint="eastAsia" w:ascii="Times New Roman" w:hAnsi="Times New Roman" w:cs="Times New Roman"/>
                <w:sz w:val="15"/>
                <w:szCs w:val="15"/>
                <w:vertAlign w:val="baseline"/>
              </w:rPr>
            </w:pPr>
          </w:p>
        </w:tc>
        <w:tc>
          <w:tcPr>
            <w:tcW w:w="4552" w:type="dxa"/>
          </w:tcPr>
          <w:p w14:paraId="1DED68B7">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IPC can significantly reduce the incidence and severity of lymphedema, but has no significant effect on shoulder motion. The incidence of lymphedema in the experimental group was lower than that in the control group.</w:t>
            </w:r>
          </w:p>
        </w:tc>
      </w:tr>
      <w:tr w14:paraId="2045BDD3">
        <w:trPr>
          <w:trHeight w:val="916" w:hRule="atLeast"/>
        </w:trPr>
        <w:tc>
          <w:tcPr>
            <w:tcW w:w="1595" w:type="dxa"/>
            <w:vAlign w:val="center"/>
          </w:tcPr>
          <w:p w14:paraId="5082E157">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Pinkun</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L et al</w:t>
            </w:r>
            <w:r>
              <w:rPr>
                <w:rFonts w:hint="eastAsia" w:ascii="Times New Roman" w:hAnsi="Times New Roman" w:cs="Times New Roman"/>
                <w:sz w:val="15"/>
                <w:szCs w:val="15"/>
                <w:vertAlign w:val="superscript"/>
              </w:rPr>
              <w:t>[19]</w:t>
            </w:r>
          </w:p>
          <w:p w14:paraId="71AA81DF">
            <w:pPr>
              <w:widowControl w:val="0"/>
              <w:jc w:val="both"/>
              <w:rPr>
                <w:rFonts w:hint="eastAsia" w:ascii="Times New Roman" w:hAnsi="Times New Roman" w:cs="Times New Roman"/>
                <w:sz w:val="15"/>
                <w:szCs w:val="15"/>
                <w:vertAlign w:val="baseline"/>
              </w:rPr>
            </w:pPr>
          </w:p>
        </w:tc>
        <w:tc>
          <w:tcPr>
            <w:tcW w:w="3660" w:type="dxa"/>
          </w:tcPr>
          <w:p w14:paraId="12B6012A">
            <w:pPr>
              <w:widowControl w:val="0"/>
              <w:jc w:val="both"/>
              <w:rPr>
                <w:rFonts w:hint="default" w:ascii="Times New Roman" w:hAnsi="Times New Roman" w:cs="Times New Roman"/>
                <w:sz w:val="15"/>
                <w:szCs w:val="15"/>
                <w:vertAlign w:val="baseline"/>
              </w:rPr>
            </w:pPr>
            <w:r>
              <w:rPr>
                <w:rFonts w:hint="default" w:ascii="Times New Roman" w:hAnsi="Times New Roman" w:cs="Times New Roman"/>
                <w:sz w:val="15"/>
                <w:szCs w:val="15"/>
                <w:vertAlign w:val="baseline"/>
              </w:rPr>
              <w:t>The patient was diagnosed with breast cancer by pathological examination and modified radical resection, with stable condition and clear consciousness.</w:t>
            </w:r>
          </w:p>
          <w:p w14:paraId="5DED2A6C">
            <w:pPr>
              <w:widowControl w:val="0"/>
              <w:jc w:val="both"/>
              <w:rPr>
                <w:rFonts w:hint="default" w:ascii="Times New Roman" w:hAnsi="Times New Roman" w:cs="Times New Roman"/>
                <w:sz w:val="15"/>
                <w:szCs w:val="15"/>
                <w:vertAlign w:val="baseline"/>
              </w:rPr>
            </w:pPr>
          </w:p>
        </w:tc>
        <w:tc>
          <w:tcPr>
            <w:tcW w:w="4294" w:type="dxa"/>
          </w:tcPr>
          <w:p w14:paraId="6CD96977">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Patients with severe cardiovascular disease and limb dysfunction.</w:t>
            </w:r>
          </w:p>
        </w:tc>
        <w:tc>
          <w:tcPr>
            <w:tcW w:w="2306" w:type="dxa"/>
          </w:tcPr>
          <w:p w14:paraId="79778425">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(1) Lymphedema incidence</w:t>
            </w:r>
          </w:p>
          <w:p w14:paraId="35A3BE2C">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 xml:space="preserve">(2) Affected limb circumference </w:t>
            </w:r>
          </w:p>
          <w:p w14:paraId="6AFEF515">
            <w:pPr>
              <w:widowControl w:val="0"/>
              <w:jc w:val="both"/>
              <w:rPr>
                <w:rFonts w:hint="eastAsia" w:ascii="Times New Roman" w:hAnsi="Times New Roman" w:cs="Times New Roman"/>
                <w:sz w:val="15"/>
                <w:szCs w:val="15"/>
                <w:vertAlign w:val="baseline"/>
              </w:rPr>
            </w:pPr>
          </w:p>
        </w:tc>
        <w:tc>
          <w:tcPr>
            <w:tcW w:w="4552" w:type="dxa"/>
          </w:tcPr>
          <w:p w14:paraId="79BB2EA9">
            <w:pPr>
              <w:widowControl w:val="0"/>
              <w:jc w:val="both"/>
              <w:rPr>
                <w:rFonts w:hint="eastAsia" w:ascii="Times New Roman" w:hAnsi="Times New Roman" w:cs="Times New Roman"/>
                <w:sz w:val="15"/>
                <w:szCs w:val="15"/>
                <w:vertAlign w:val="baseline"/>
              </w:rPr>
            </w:pPr>
            <w:r>
              <w:rPr>
                <w:rFonts w:hint="eastAsia" w:ascii="Times New Roman" w:hAnsi="Times New Roman" w:cs="Times New Roman"/>
                <w:sz w:val="15"/>
                <w:szCs w:val="15"/>
                <w:vertAlign w:val="baseline"/>
              </w:rPr>
              <w:t>The incidence of lymphedema on the affected upper limb of the observation group was lower than that of the control group;</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The difference of circumference diameter before and after treatment was significantly lower in the observation group than in the control group.</w:t>
            </w:r>
          </w:p>
        </w:tc>
      </w:tr>
    </w:tbl>
    <w:p w14:paraId="2739EB3D"/>
    <w:p w14:paraId="0C48DF88"/>
    <w:p w14:paraId="24401D91">
      <w:pPr>
        <w:rPr>
          <w:rFonts w:hint="eastAsia"/>
        </w:rPr>
      </w:pPr>
    </w:p>
    <w:p w14:paraId="76A03DFA">
      <w:pPr>
        <w:rPr>
          <w:rFonts w:hint="eastAsia"/>
        </w:rPr>
      </w:pPr>
    </w:p>
    <w:p w14:paraId="2F919C14">
      <w:pPr>
        <w:rPr>
          <w:rFonts w:hint="eastAsia"/>
        </w:rPr>
      </w:pPr>
    </w:p>
    <w:p w14:paraId="7DCE69AA">
      <w:pPr>
        <w:rPr>
          <w:rFonts w:hint="eastAsia"/>
        </w:rPr>
      </w:pPr>
    </w:p>
    <w:p w14:paraId="4559D1D4">
      <w:pPr>
        <w:rPr>
          <w:rFonts w:hint="eastAsia"/>
        </w:rPr>
      </w:pPr>
    </w:p>
    <w:p w14:paraId="73FB1F74">
      <w:pPr>
        <w:rPr>
          <w:rFonts w:hint="eastAsia"/>
        </w:rPr>
      </w:pPr>
    </w:p>
    <w:p w14:paraId="2F12B20D">
      <w:pPr>
        <w:rPr>
          <w:rFonts w:hint="eastAsia"/>
        </w:rPr>
      </w:pPr>
    </w:p>
    <w:p w14:paraId="6DC84775">
      <w:pPr>
        <w:ind w:firstLine="1400" w:firstLineChars="700"/>
        <w:rPr>
          <w:rFonts w:hint="eastAsia"/>
        </w:rPr>
      </w:pPr>
      <w:r>
        <w:rPr>
          <w:rFonts w:hint="default" w:ascii="Times New Roman" w:hAnsi="Times New Roman" w:cs="Times New Roman"/>
          <w:b w:val="0"/>
          <w:bCs w:val="0"/>
          <w:sz w:val="20"/>
          <w:szCs w:val="20"/>
          <w:vertAlign w:val="baseline"/>
          <w:lang w:val="en-US" w:eastAsia="zh-CN"/>
        </w:rPr>
        <w:t>Appendix</w:t>
      </w:r>
      <w:r>
        <w:rPr>
          <w:rFonts w:hint="eastAsia" w:ascii="Times New Roman" w:hAnsi="Times New Roman" w:cs="Times New Roman"/>
          <w:b w:val="0"/>
          <w:bCs w:val="0"/>
          <w:sz w:val="20"/>
          <w:szCs w:val="20"/>
          <w:vertAlign w:val="baseline"/>
          <w:lang w:val="en-US" w:eastAsia="zh-CN"/>
        </w:rPr>
        <w:t xml:space="preserve"> </w:t>
      </w:r>
      <w:r>
        <w:rPr>
          <w:rFonts w:hint="default" w:ascii="Times New Roman" w:hAnsi="Times New Roman" w:cs="Times New Roman"/>
          <w:b w:val="0"/>
          <w:bCs w:val="0"/>
          <w:sz w:val="20"/>
          <w:szCs w:val="20"/>
          <w:vertAlign w:val="baseline"/>
          <w:lang w:val="en-US" w:eastAsia="zh-CN"/>
        </w:rPr>
        <w:t>2.</w:t>
      </w:r>
      <w:r>
        <w:rPr>
          <w:rFonts w:hint="eastAsia" w:ascii="Times New Roman" w:hAnsi="Times New Roman" w:cs="Times New Roman"/>
          <w:b w:val="0"/>
          <w:bCs w:val="0"/>
          <w:sz w:val="20"/>
          <w:szCs w:val="20"/>
          <w:vertAlign w:val="baseline"/>
          <w:lang w:val="en-US" w:eastAsia="zh-CN"/>
        </w:rPr>
        <w:t xml:space="preserve"> Bias risk of the included studies</w:t>
      </w:r>
      <w:r>
        <w:rPr>
          <w:rFonts w:hint="eastAsia" w:ascii="Times New Roman" w:hAnsi="Times New Roman" w:cs="Times New Roman"/>
          <w:b/>
          <w:bCs/>
          <w:sz w:val="20"/>
          <w:szCs w:val="20"/>
          <w:vertAlign w:val="baseline"/>
          <w:lang w:val="en-US" w:eastAsia="zh-CN"/>
        </w:rPr>
        <w:t xml:space="preserve"> </w:t>
      </w:r>
      <w:r>
        <w:rPr>
          <w:rFonts w:hint="eastAsia" w:ascii="Times New Roman" w:hAnsi="Times New Roman" w:cs="Times New Roman"/>
          <w:b w:val="0"/>
          <w:bCs w:val="0"/>
          <w:sz w:val="18"/>
          <w:szCs w:val="18"/>
          <w:lang w:val="en-US" w:eastAsia="zh-CN"/>
        </w:rPr>
        <w:t xml:space="preserve">  </w:t>
      </w:r>
    </w:p>
    <w:p w14:paraId="18B0C6A4">
      <w:r>
        <w:drawing>
          <wp:inline distT="0" distB="0" distL="114300" distR="114300">
            <wp:extent cx="4341495" cy="1830705"/>
            <wp:effectExtent l="12700" t="12700" r="14605" b="361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4341495" cy="1830705"/>
                    </a:xfrm>
                    <a:prstGeom prst="rect">
                      <a:avLst/>
                    </a:prstGeom>
                    <a:noFill/>
                    <a:ln>
                      <a:solidFill>
                        <a:schemeClr val="tx1"/>
                      </a:solidFill>
                    </a:ln>
                  </pic:spPr>
                </pic:pic>
              </a:graphicData>
            </a:graphic>
          </wp:inline>
        </w:drawing>
      </w:r>
    </w:p>
    <w:p w14:paraId="0FB9FA21"/>
    <w:p w14:paraId="4D50BE93"/>
    <w:p w14:paraId="23227080"/>
    <w:p w14:paraId="6EA77C74">
      <w:pPr>
        <w:ind w:firstLine="1000" w:firstLineChars="500"/>
        <w:rPr>
          <w:rFonts w:hint="eastAsia" w:ascii="Times New Roman" w:hAnsi="Times New Roman" w:cs="Times New Roman"/>
          <w:b w:val="0"/>
          <w:bCs w:val="0"/>
          <w:sz w:val="20"/>
          <w:szCs w:val="20"/>
          <w:vertAlign w:val="baseline"/>
          <w:lang w:val="en-US" w:eastAsia="zh-CN"/>
        </w:rPr>
      </w:pPr>
      <w:r>
        <w:rPr>
          <w:rFonts w:hint="default" w:ascii="Times New Roman" w:hAnsi="Times New Roman" w:cs="Times New Roman"/>
          <w:b w:val="0"/>
          <w:bCs w:val="0"/>
          <w:sz w:val="20"/>
          <w:szCs w:val="20"/>
          <w:vertAlign w:val="baseline"/>
          <w:lang w:val="en-US" w:eastAsia="zh-CN"/>
        </w:rPr>
        <w:t>Appendix 3.</w:t>
      </w:r>
      <w:r>
        <w:rPr>
          <w:rFonts w:hint="eastAsia" w:ascii="Times New Roman" w:hAnsi="Times New Roman" w:cs="Times New Roman"/>
          <w:b w:val="0"/>
          <w:bCs w:val="0"/>
          <w:sz w:val="20"/>
          <w:szCs w:val="20"/>
          <w:vertAlign w:val="baseline"/>
          <w:lang w:val="en-US" w:eastAsia="zh-CN"/>
        </w:rPr>
        <w:t xml:space="preserve"> Bias risk summary of the included studies</w:t>
      </w:r>
    </w:p>
    <w:p w14:paraId="2273A29F">
      <w:r>
        <w:drawing>
          <wp:inline distT="0" distB="0" distL="114300" distR="114300">
            <wp:extent cx="4194175" cy="2017395"/>
            <wp:effectExtent l="12700" t="12700" r="34925" b="273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4194175" cy="2017395"/>
                    </a:xfrm>
                    <a:prstGeom prst="rect">
                      <a:avLst/>
                    </a:prstGeom>
                    <a:noFill/>
                    <a:ln>
                      <a:solidFill>
                        <a:schemeClr val="tx1"/>
                      </a:solidFill>
                    </a:ln>
                  </pic:spPr>
                </pic:pic>
              </a:graphicData>
            </a:graphic>
          </wp:inline>
        </w:drawing>
      </w:r>
    </w:p>
    <w:p w14:paraId="23FD954A">
      <w:pPr>
        <w:ind w:firstLine="1600" w:firstLineChars="800"/>
        <w:jc w:val="both"/>
        <w:rPr>
          <w:rFonts w:hint="eastAsia"/>
        </w:rPr>
      </w:pPr>
      <w:r>
        <w:rPr>
          <w:rFonts w:hint="default" w:ascii="Times New Roman" w:hAnsi="Times New Roman" w:cs="Times New Roman"/>
          <w:b w:val="0"/>
          <w:bCs w:val="0"/>
          <w:sz w:val="20"/>
          <w:szCs w:val="20"/>
          <w:vertAlign w:val="baseline"/>
          <w:lang w:val="en-US" w:eastAsia="zh-CN"/>
        </w:rPr>
        <w:t>Appendix 4.</w:t>
      </w:r>
      <w:r>
        <w:rPr>
          <w:rFonts w:hint="eastAsia" w:ascii="Times New Roman" w:hAnsi="Times New Roman" w:cs="Times New Roman"/>
          <w:b w:val="0"/>
          <w:bCs w:val="0"/>
          <w:sz w:val="20"/>
          <w:szCs w:val="20"/>
          <w:vertAlign w:val="baseline"/>
          <w:lang w:val="en-US" w:eastAsia="zh-CN"/>
        </w:rPr>
        <w:t xml:space="preserve"> Evaluation of the methodological quality of literature</w:t>
      </w:r>
    </w:p>
    <w:tbl>
      <w:tblPr>
        <w:tblStyle w:val="7"/>
        <w:tblW w:w="10374" w:type="dxa"/>
        <w:tblInd w:w="-8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534"/>
        <w:gridCol w:w="1385"/>
        <w:gridCol w:w="1194"/>
        <w:gridCol w:w="1867"/>
        <w:gridCol w:w="1501"/>
        <w:gridCol w:w="1312"/>
        <w:gridCol w:w="1581"/>
      </w:tblGrid>
      <w:tr w14:paraId="25243649">
        <w:tc>
          <w:tcPr>
            <w:tcW w:w="1534" w:type="dxa"/>
          </w:tcPr>
          <w:p w14:paraId="71B28A10">
            <w:pPr>
              <w:widowControl w:val="0"/>
              <w:jc w:val="center"/>
              <w:rPr>
                <w:rFonts w:hint="eastAsia" w:ascii="Times New Roman" w:hAnsi="Times New Roman" w:cs="Times New Roman"/>
                <w:sz w:val="15"/>
                <w:szCs w:val="15"/>
                <w:vertAlign w:val="baseline"/>
                <w:lang w:val="en-US" w:eastAsia="zh-CN"/>
              </w:rPr>
            </w:pPr>
            <w:r>
              <w:rPr>
                <w:rFonts w:hint="default" w:ascii="Times New Roman" w:hAnsi="Times New Roman" w:cs="Times New Roman"/>
                <w:sz w:val="15"/>
                <w:szCs w:val="15"/>
                <w:vertAlign w:val="baseline"/>
                <w:lang w:val="en-US" w:eastAsia="zh-CN"/>
              </w:rPr>
              <w:t>Study</w:t>
            </w:r>
          </w:p>
        </w:tc>
        <w:tc>
          <w:tcPr>
            <w:tcW w:w="1385" w:type="dxa"/>
          </w:tcPr>
          <w:p w14:paraId="1F82DDD4">
            <w:pPr>
              <w:widowControl w:val="0"/>
              <w:jc w:val="center"/>
              <w:rPr>
                <w:rFonts w:hint="default" w:ascii="Times New Roman" w:hAnsi="Times New Roman" w:cs="Times New Roman"/>
                <w:sz w:val="15"/>
                <w:szCs w:val="15"/>
                <w:vertAlign w:val="baseline"/>
                <w:lang w:val="en-US" w:eastAsia="zh-CN"/>
              </w:rPr>
            </w:pPr>
            <w:r>
              <w:rPr>
                <w:rFonts w:hint="default" w:ascii="Times New Roman" w:hAnsi="Times New Roman" w:cs="Times New Roman"/>
                <w:sz w:val="15"/>
                <w:szCs w:val="15"/>
                <w:vertAlign w:val="baseline"/>
                <w:lang w:val="en-US" w:eastAsia="zh-CN"/>
              </w:rPr>
              <w:t>Randomization process</w:t>
            </w:r>
          </w:p>
        </w:tc>
        <w:tc>
          <w:tcPr>
            <w:tcW w:w="1194" w:type="dxa"/>
          </w:tcPr>
          <w:p w14:paraId="6648DBE4">
            <w:pPr>
              <w:widowControl w:val="0"/>
              <w:jc w:val="center"/>
              <w:rPr>
                <w:rFonts w:hint="default" w:ascii="Times New Roman" w:hAnsi="Times New Roman" w:cs="Times New Roman"/>
                <w:sz w:val="15"/>
                <w:szCs w:val="15"/>
                <w:vertAlign w:val="baseline"/>
                <w:lang w:val="en-US" w:eastAsia="zh-CN"/>
              </w:rPr>
            </w:pPr>
            <w:r>
              <w:rPr>
                <w:rFonts w:hint="default" w:ascii="Times New Roman" w:hAnsi="Times New Roman" w:cs="Times New Roman"/>
                <w:sz w:val="15"/>
                <w:szCs w:val="15"/>
                <w:vertAlign w:val="baseline"/>
                <w:lang w:val="en-US" w:eastAsia="zh-CN"/>
              </w:rPr>
              <w:t>Deviations from intended</w:t>
            </w:r>
          </w:p>
        </w:tc>
        <w:tc>
          <w:tcPr>
            <w:tcW w:w="1867" w:type="dxa"/>
          </w:tcPr>
          <w:p w14:paraId="542AF96E">
            <w:pPr>
              <w:widowControl w:val="0"/>
              <w:jc w:val="center"/>
              <w:rPr>
                <w:rFonts w:hint="default" w:ascii="Times New Roman" w:hAnsi="Times New Roman" w:cs="Times New Roman"/>
                <w:sz w:val="15"/>
                <w:szCs w:val="15"/>
                <w:vertAlign w:val="baseline"/>
                <w:lang w:val="en-US" w:eastAsia="zh-CN"/>
              </w:rPr>
            </w:pPr>
            <w:r>
              <w:rPr>
                <w:rFonts w:hint="default" w:ascii="Times New Roman" w:hAnsi="Times New Roman" w:cs="Times New Roman"/>
                <w:sz w:val="15"/>
                <w:szCs w:val="15"/>
                <w:vertAlign w:val="baseline"/>
                <w:lang w:val="en-US" w:eastAsia="zh-CN"/>
              </w:rPr>
              <w:t>Missing outcome data</w:t>
            </w:r>
          </w:p>
        </w:tc>
        <w:tc>
          <w:tcPr>
            <w:tcW w:w="1501" w:type="dxa"/>
          </w:tcPr>
          <w:p w14:paraId="3EABE5B2">
            <w:pPr>
              <w:widowControl w:val="0"/>
              <w:jc w:val="center"/>
              <w:rPr>
                <w:rFonts w:hint="default" w:ascii="Times New Roman" w:hAnsi="Times New Roman" w:cs="Times New Roman"/>
                <w:sz w:val="15"/>
                <w:szCs w:val="15"/>
                <w:vertAlign w:val="baseline"/>
                <w:lang w:val="en-US" w:eastAsia="zh-CN"/>
              </w:rPr>
            </w:pPr>
            <w:r>
              <w:rPr>
                <w:rFonts w:hint="default" w:ascii="Times New Roman" w:hAnsi="Times New Roman" w:cs="Times New Roman"/>
                <w:sz w:val="15"/>
                <w:szCs w:val="15"/>
                <w:vertAlign w:val="baseline"/>
                <w:lang w:val="en-US" w:eastAsia="zh-CN"/>
              </w:rPr>
              <w:t>Measurement of the outcome</w:t>
            </w:r>
          </w:p>
        </w:tc>
        <w:tc>
          <w:tcPr>
            <w:tcW w:w="1312" w:type="dxa"/>
          </w:tcPr>
          <w:p w14:paraId="25318E68">
            <w:pPr>
              <w:widowControl w:val="0"/>
              <w:jc w:val="center"/>
              <w:rPr>
                <w:rFonts w:hint="default" w:ascii="Times New Roman" w:hAnsi="Times New Roman" w:cs="Times New Roman"/>
                <w:sz w:val="15"/>
                <w:szCs w:val="15"/>
                <w:vertAlign w:val="baseline"/>
                <w:lang w:val="en-US" w:eastAsia="zh-CN"/>
              </w:rPr>
            </w:pPr>
            <w:r>
              <w:rPr>
                <w:rFonts w:hint="default" w:ascii="Times New Roman" w:hAnsi="Times New Roman" w:cs="Times New Roman"/>
                <w:sz w:val="15"/>
                <w:szCs w:val="15"/>
                <w:vertAlign w:val="baseline"/>
                <w:lang w:val="en-US" w:eastAsia="zh-CN"/>
              </w:rPr>
              <w:t>Selection of the reported results</w:t>
            </w:r>
          </w:p>
        </w:tc>
        <w:tc>
          <w:tcPr>
            <w:tcW w:w="1581" w:type="dxa"/>
          </w:tcPr>
          <w:p w14:paraId="7E7476B2">
            <w:pPr>
              <w:widowControl w:val="0"/>
              <w:jc w:val="center"/>
              <w:rPr>
                <w:rFonts w:hint="default" w:ascii="Times New Roman" w:hAnsi="Times New Roman" w:cs="Times New Roman"/>
                <w:sz w:val="15"/>
                <w:szCs w:val="15"/>
                <w:vertAlign w:val="baseline"/>
                <w:lang w:val="en-US" w:eastAsia="zh-CN"/>
              </w:rPr>
            </w:pPr>
            <w:r>
              <w:rPr>
                <w:rFonts w:hint="default" w:ascii="Times New Roman" w:hAnsi="Times New Roman" w:cs="Times New Roman"/>
                <w:sz w:val="15"/>
                <w:szCs w:val="15"/>
                <w:vertAlign w:val="baseline"/>
                <w:lang w:val="en-US" w:eastAsia="zh-CN"/>
              </w:rPr>
              <w:t>Level of evidence</w:t>
            </w:r>
          </w:p>
        </w:tc>
      </w:tr>
      <w:tr w14:paraId="7F2D6F12">
        <w:trPr>
          <w:trHeight w:val="450" w:hRule="atLeast"/>
        </w:trPr>
        <w:tc>
          <w:tcPr>
            <w:tcW w:w="1534" w:type="dxa"/>
            <w:shd w:val="clear"/>
            <w:vAlign w:val="center"/>
          </w:tcPr>
          <w:p w14:paraId="64EAA28F">
            <w:pPr>
              <w:widowControl w:val="0"/>
              <w:jc w:val="left"/>
              <w:rPr>
                <w:rFonts w:hint="eastAsia" w:asciiTheme="minorHAnsi" w:hAnsiTheme="minorHAnsi" w:eastAsiaTheme="minorEastAsia" w:cstheme="minorBidi"/>
                <w:sz w:val="24"/>
                <w:szCs w:val="24"/>
                <w:vertAlign w:val="baseline"/>
                <w:lang w:val="en-US" w:eastAsia="zh-CN" w:bidi="ar-SA"/>
              </w:rPr>
            </w:pPr>
            <w:r>
              <w:rPr>
                <w:rFonts w:hint="eastAsia" w:ascii="Times New Roman" w:hAnsi="Times New Roman" w:cs="Times New Roman"/>
                <w:sz w:val="15"/>
                <w:szCs w:val="15"/>
                <w:vertAlign w:val="baseline"/>
              </w:rPr>
              <w:t>Uzkeser et al</w:t>
            </w:r>
            <w:r>
              <w:rPr>
                <w:rFonts w:hint="eastAsia" w:ascii="Times New Roman" w:hAnsi="Times New Roman" w:cs="Times New Roman"/>
                <w:sz w:val="15"/>
                <w:szCs w:val="15"/>
                <w:vertAlign w:val="superscript"/>
              </w:rPr>
              <w:t>[2</w:t>
            </w:r>
            <w:r>
              <w:rPr>
                <w:rFonts w:hint="default" w:ascii="Times New Roman" w:hAnsi="Times New Roman" w:cs="Times New Roman"/>
                <w:sz w:val="15"/>
                <w:szCs w:val="15"/>
                <w:vertAlign w:val="superscript"/>
                <w:lang w:val="en-US"/>
              </w:rPr>
              <w:t>7</w:t>
            </w:r>
            <w:r>
              <w:rPr>
                <w:rFonts w:hint="eastAsia" w:ascii="Times New Roman" w:hAnsi="Times New Roman" w:cs="Times New Roman"/>
                <w:sz w:val="15"/>
                <w:szCs w:val="15"/>
                <w:vertAlign w:val="superscript"/>
              </w:rPr>
              <w:t>]</w:t>
            </w:r>
          </w:p>
        </w:tc>
        <w:tc>
          <w:tcPr>
            <w:tcW w:w="1385" w:type="dxa"/>
            <w:shd w:val="clear"/>
            <w:vAlign w:val="top"/>
          </w:tcPr>
          <w:p w14:paraId="6B385CA9">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194" w:type="dxa"/>
            <w:shd w:val="clear"/>
            <w:vAlign w:val="top"/>
          </w:tcPr>
          <w:p w14:paraId="0D67F5B0">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867" w:type="dxa"/>
            <w:shd w:val="clear"/>
            <w:vAlign w:val="top"/>
          </w:tcPr>
          <w:p w14:paraId="6880C589">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01" w:type="dxa"/>
            <w:shd w:val="clear"/>
            <w:vAlign w:val="top"/>
          </w:tcPr>
          <w:p w14:paraId="00285F39">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312" w:type="dxa"/>
            <w:shd w:val="clear"/>
            <w:vAlign w:val="top"/>
          </w:tcPr>
          <w:p w14:paraId="739CE5DC">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581" w:type="dxa"/>
            <w:shd w:val="clear"/>
            <w:vAlign w:val="top"/>
          </w:tcPr>
          <w:p w14:paraId="352966DC">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r>
      <w:tr w14:paraId="3172BDAE">
        <w:trPr>
          <w:trHeight w:val="316" w:hRule="atLeast"/>
        </w:trPr>
        <w:tc>
          <w:tcPr>
            <w:tcW w:w="1534" w:type="dxa"/>
            <w:shd w:val="clear"/>
            <w:vAlign w:val="center"/>
          </w:tcPr>
          <w:p w14:paraId="2F879753">
            <w:pPr>
              <w:widowControl w:val="0"/>
              <w:jc w:val="left"/>
              <w:rPr>
                <w:rFonts w:hint="eastAsia" w:asciiTheme="minorHAnsi" w:hAnsiTheme="minorHAnsi" w:eastAsiaTheme="minorEastAsia" w:cstheme="minorBidi"/>
                <w:sz w:val="24"/>
                <w:szCs w:val="24"/>
                <w:vertAlign w:val="baseline"/>
                <w:lang w:val="en-US" w:eastAsia="zh-CN" w:bidi="ar-SA"/>
              </w:rPr>
            </w:pPr>
            <w:r>
              <w:rPr>
                <w:rFonts w:hint="eastAsia" w:ascii="Times New Roman" w:hAnsi="Times New Roman" w:cs="Times New Roman"/>
                <w:sz w:val="15"/>
                <w:szCs w:val="15"/>
                <w:vertAlign w:val="baseline"/>
              </w:rPr>
              <w:t>Sanal-Toprak et al</w:t>
            </w:r>
            <w:r>
              <w:rPr>
                <w:rFonts w:hint="eastAsia" w:ascii="Times New Roman" w:hAnsi="Times New Roman" w:cs="Times New Roman"/>
                <w:sz w:val="15"/>
                <w:szCs w:val="15"/>
                <w:vertAlign w:val="superscript"/>
              </w:rPr>
              <w:t>[2</w:t>
            </w:r>
            <w:r>
              <w:rPr>
                <w:rFonts w:hint="default" w:ascii="Times New Roman" w:hAnsi="Times New Roman" w:cs="Times New Roman"/>
                <w:sz w:val="15"/>
                <w:szCs w:val="15"/>
                <w:vertAlign w:val="superscript"/>
                <w:lang w:val="en-US"/>
              </w:rPr>
              <w:t>8</w:t>
            </w:r>
            <w:r>
              <w:rPr>
                <w:rFonts w:hint="eastAsia" w:ascii="Times New Roman" w:hAnsi="Times New Roman" w:cs="Times New Roman"/>
                <w:sz w:val="15"/>
                <w:szCs w:val="15"/>
                <w:vertAlign w:val="superscript"/>
              </w:rPr>
              <w:t>]</w:t>
            </w:r>
          </w:p>
        </w:tc>
        <w:tc>
          <w:tcPr>
            <w:tcW w:w="1385" w:type="dxa"/>
            <w:shd w:val="clear"/>
            <w:vAlign w:val="top"/>
          </w:tcPr>
          <w:p w14:paraId="7999A428">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194" w:type="dxa"/>
            <w:shd w:val="clear"/>
            <w:vAlign w:val="top"/>
          </w:tcPr>
          <w:p w14:paraId="16B1BF82">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867" w:type="dxa"/>
            <w:shd w:val="clear"/>
            <w:vAlign w:val="top"/>
          </w:tcPr>
          <w:p w14:paraId="39472807">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01" w:type="dxa"/>
            <w:shd w:val="clear"/>
            <w:vAlign w:val="top"/>
          </w:tcPr>
          <w:p w14:paraId="4CBE8A7D">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312" w:type="dxa"/>
            <w:shd w:val="clear"/>
            <w:vAlign w:val="top"/>
          </w:tcPr>
          <w:p w14:paraId="0F0B8E3E">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581" w:type="dxa"/>
            <w:shd w:val="clear"/>
            <w:vAlign w:val="top"/>
          </w:tcPr>
          <w:p w14:paraId="06E33CC8">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r>
      <w:tr w14:paraId="2913AA89">
        <w:tc>
          <w:tcPr>
            <w:tcW w:w="1534" w:type="dxa"/>
            <w:shd w:val="clear"/>
            <w:vAlign w:val="center"/>
          </w:tcPr>
          <w:p w14:paraId="1C870540">
            <w:pPr>
              <w:widowControl w:val="0"/>
              <w:jc w:val="left"/>
              <w:rPr>
                <w:rFonts w:hint="eastAsia" w:asciiTheme="minorHAnsi" w:hAnsiTheme="minorHAnsi" w:eastAsiaTheme="minorEastAsia" w:cstheme="minorBidi"/>
                <w:sz w:val="24"/>
                <w:szCs w:val="24"/>
                <w:vertAlign w:val="baseline"/>
                <w:lang w:val="en-US" w:eastAsia="zh-CN" w:bidi="ar-SA"/>
              </w:rPr>
            </w:pPr>
            <w:r>
              <w:rPr>
                <w:rFonts w:hint="eastAsia" w:ascii="Times New Roman" w:hAnsi="Times New Roman" w:cs="Times New Roman"/>
                <w:sz w:val="15"/>
                <w:szCs w:val="15"/>
                <w:vertAlign w:val="baseline"/>
              </w:rPr>
              <w:t>Gurdal et al</w:t>
            </w:r>
            <w:r>
              <w:rPr>
                <w:rFonts w:hint="eastAsia" w:ascii="Times New Roman" w:hAnsi="Times New Roman" w:cs="Times New Roman"/>
                <w:sz w:val="15"/>
                <w:szCs w:val="15"/>
                <w:vertAlign w:val="superscript"/>
              </w:rPr>
              <w:t>[22]</w:t>
            </w:r>
          </w:p>
        </w:tc>
        <w:tc>
          <w:tcPr>
            <w:tcW w:w="1385" w:type="dxa"/>
            <w:shd w:val="clear" w:color="auto" w:fill="auto"/>
            <w:vAlign w:val="top"/>
          </w:tcPr>
          <w:p w14:paraId="1B86E255">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194" w:type="dxa"/>
            <w:shd w:val="clear" w:color="auto" w:fill="auto"/>
            <w:vAlign w:val="top"/>
          </w:tcPr>
          <w:p w14:paraId="218CC5D0">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867" w:type="dxa"/>
            <w:shd w:val="clear" w:color="auto" w:fill="auto"/>
            <w:vAlign w:val="top"/>
          </w:tcPr>
          <w:p w14:paraId="2B2A1A63">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01" w:type="dxa"/>
            <w:shd w:val="clear" w:color="auto" w:fill="auto"/>
            <w:vAlign w:val="top"/>
          </w:tcPr>
          <w:p w14:paraId="42DFB5BF">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312" w:type="dxa"/>
            <w:shd w:val="clear" w:color="auto" w:fill="auto"/>
            <w:vAlign w:val="top"/>
          </w:tcPr>
          <w:p w14:paraId="4D498F4D">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581" w:type="dxa"/>
            <w:shd w:val="clear" w:color="auto" w:fill="auto"/>
            <w:vAlign w:val="top"/>
          </w:tcPr>
          <w:p w14:paraId="1F5BDBC3">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r>
      <w:tr w14:paraId="4A51F0DF">
        <w:tc>
          <w:tcPr>
            <w:tcW w:w="1534" w:type="dxa"/>
            <w:shd w:val="clear"/>
            <w:vAlign w:val="center"/>
          </w:tcPr>
          <w:p w14:paraId="701035B7">
            <w:pPr>
              <w:widowControl w:val="0"/>
              <w:jc w:val="left"/>
              <w:rPr>
                <w:rFonts w:hint="eastAsia" w:asciiTheme="minorHAnsi" w:hAnsiTheme="minorHAnsi" w:eastAsiaTheme="minorEastAsia" w:cstheme="minorBidi"/>
                <w:sz w:val="24"/>
                <w:szCs w:val="24"/>
                <w:vertAlign w:val="baseline"/>
                <w:lang w:val="en-US" w:eastAsia="zh-CN" w:bidi="ar-SA"/>
              </w:rPr>
            </w:pPr>
            <w:r>
              <w:rPr>
                <w:rFonts w:hint="eastAsia" w:ascii="Times New Roman" w:hAnsi="Times New Roman" w:cs="Times New Roman"/>
                <w:sz w:val="15"/>
                <w:szCs w:val="15"/>
                <w:vertAlign w:val="baseline"/>
              </w:rPr>
              <w:t>Haghighat et al</w:t>
            </w:r>
            <w:r>
              <w:rPr>
                <w:rFonts w:hint="eastAsia" w:ascii="Times New Roman" w:hAnsi="Times New Roman" w:cs="Times New Roman"/>
                <w:sz w:val="15"/>
                <w:szCs w:val="15"/>
                <w:vertAlign w:val="superscript"/>
              </w:rPr>
              <w:t>[</w:t>
            </w:r>
            <w:r>
              <w:rPr>
                <w:rFonts w:hint="default" w:ascii="Times New Roman" w:hAnsi="Times New Roman" w:cs="Times New Roman"/>
                <w:sz w:val="15"/>
                <w:szCs w:val="15"/>
                <w:vertAlign w:val="superscript"/>
                <w:lang w:val="en-US"/>
              </w:rPr>
              <w:t>26</w:t>
            </w:r>
            <w:r>
              <w:rPr>
                <w:rFonts w:hint="eastAsia" w:ascii="Times New Roman" w:hAnsi="Times New Roman" w:cs="Times New Roman"/>
                <w:sz w:val="15"/>
                <w:szCs w:val="15"/>
                <w:vertAlign w:val="superscript"/>
              </w:rPr>
              <w:t>]</w:t>
            </w:r>
          </w:p>
        </w:tc>
        <w:tc>
          <w:tcPr>
            <w:tcW w:w="1385" w:type="dxa"/>
            <w:shd w:val="clear" w:color="auto" w:fill="auto"/>
            <w:vAlign w:val="top"/>
          </w:tcPr>
          <w:p w14:paraId="65E7C037">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Some concerns</w:t>
            </w:r>
          </w:p>
        </w:tc>
        <w:tc>
          <w:tcPr>
            <w:tcW w:w="1194" w:type="dxa"/>
            <w:shd w:val="clear" w:color="auto" w:fill="auto"/>
            <w:vAlign w:val="top"/>
          </w:tcPr>
          <w:p w14:paraId="2A5B3454">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867" w:type="dxa"/>
            <w:shd w:val="clear" w:color="auto" w:fill="auto"/>
            <w:vAlign w:val="top"/>
          </w:tcPr>
          <w:p w14:paraId="4AE40B0F">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01" w:type="dxa"/>
            <w:shd w:val="clear" w:color="auto" w:fill="auto"/>
            <w:vAlign w:val="top"/>
          </w:tcPr>
          <w:p w14:paraId="3892E453">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312" w:type="dxa"/>
            <w:shd w:val="clear" w:color="auto" w:fill="auto"/>
            <w:vAlign w:val="top"/>
          </w:tcPr>
          <w:p w14:paraId="73F9CAB4">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581" w:type="dxa"/>
            <w:shd w:val="clear" w:color="auto" w:fill="auto"/>
            <w:vAlign w:val="top"/>
          </w:tcPr>
          <w:p w14:paraId="64E639CA">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Some concerns</w:t>
            </w:r>
          </w:p>
        </w:tc>
      </w:tr>
      <w:tr w14:paraId="00894389">
        <w:tc>
          <w:tcPr>
            <w:tcW w:w="1534" w:type="dxa"/>
            <w:shd w:val="clear"/>
            <w:vAlign w:val="center"/>
          </w:tcPr>
          <w:p w14:paraId="1EE4F9FA">
            <w:pPr>
              <w:widowControl w:val="0"/>
              <w:jc w:val="left"/>
              <w:rPr>
                <w:rFonts w:hint="eastAsia" w:asciiTheme="minorHAnsi" w:hAnsiTheme="minorHAnsi" w:eastAsiaTheme="minorEastAsia" w:cstheme="minorBidi"/>
                <w:sz w:val="24"/>
                <w:szCs w:val="24"/>
                <w:vertAlign w:val="baseline"/>
                <w:lang w:val="en-US" w:eastAsia="zh-CN" w:bidi="ar-SA"/>
              </w:rPr>
            </w:pPr>
            <w:r>
              <w:rPr>
                <w:rFonts w:hint="eastAsia" w:ascii="Times New Roman" w:hAnsi="Times New Roman" w:cs="Times New Roman"/>
                <w:sz w:val="15"/>
                <w:szCs w:val="15"/>
                <w:vertAlign w:val="baseline"/>
              </w:rPr>
              <w:t>Tastaban et al</w:t>
            </w:r>
            <w:r>
              <w:rPr>
                <w:rFonts w:hint="eastAsia" w:ascii="Times New Roman" w:hAnsi="Times New Roman" w:cs="Times New Roman"/>
                <w:sz w:val="15"/>
                <w:szCs w:val="15"/>
                <w:vertAlign w:val="superscript"/>
              </w:rPr>
              <w:t>[23]</w:t>
            </w:r>
          </w:p>
        </w:tc>
        <w:tc>
          <w:tcPr>
            <w:tcW w:w="1385" w:type="dxa"/>
            <w:shd w:val="clear" w:color="auto" w:fill="auto"/>
            <w:vAlign w:val="top"/>
          </w:tcPr>
          <w:p w14:paraId="5AFC599F">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194" w:type="dxa"/>
            <w:shd w:val="clear" w:color="auto" w:fill="auto"/>
            <w:vAlign w:val="top"/>
          </w:tcPr>
          <w:p w14:paraId="35EBA91B">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867" w:type="dxa"/>
            <w:shd w:val="clear" w:color="auto" w:fill="auto"/>
            <w:vAlign w:val="top"/>
          </w:tcPr>
          <w:p w14:paraId="35682BAD">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01" w:type="dxa"/>
            <w:shd w:val="clear" w:color="auto" w:fill="auto"/>
            <w:vAlign w:val="top"/>
          </w:tcPr>
          <w:p w14:paraId="32AFAD40">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312" w:type="dxa"/>
            <w:shd w:val="clear" w:color="auto" w:fill="auto"/>
            <w:vAlign w:val="top"/>
          </w:tcPr>
          <w:p w14:paraId="06E24227">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581" w:type="dxa"/>
            <w:shd w:val="clear" w:color="auto" w:fill="auto"/>
            <w:vAlign w:val="top"/>
          </w:tcPr>
          <w:p w14:paraId="5904C225">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r>
      <w:tr w14:paraId="5B19981E">
        <w:tc>
          <w:tcPr>
            <w:tcW w:w="1534" w:type="dxa"/>
            <w:shd w:val="clear"/>
            <w:vAlign w:val="center"/>
          </w:tcPr>
          <w:p w14:paraId="0571E563">
            <w:pPr>
              <w:widowControl w:val="0"/>
              <w:jc w:val="left"/>
              <w:rPr>
                <w:rFonts w:hint="eastAsia" w:asciiTheme="minorHAnsi" w:hAnsiTheme="minorHAnsi" w:eastAsiaTheme="minorEastAsia" w:cstheme="minorBidi"/>
                <w:sz w:val="24"/>
                <w:szCs w:val="24"/>
                <w:vertAlign w:val="baseline"/>
                <w:lang w:val="en-US" w:eastAsia="zh-CN" w:bidi="ar-SA"/>
              </w:rPr>
            </w:pPr>
            <w:r>
              <w:rPr>
                <w:rFonts w:hint="eastAsia" w:ascii="Times New Roman" w:hAnsi="Times New Roman" w:cs="Times New Roman"/>
                <w:sz w:val="15"/>
                <w:szCs w:val="15"/>
                <w:vertAlign w:val="baseline"/>
              </w:rPr>
              <w:t>Szolnoky et al</w:t>
            </w:r>
            <w:r>
              <w:rPr>
                <w:rFonts w:hint="eastAsia" w:ascii="Times New Roman" w:hAnsi="Times New Roman" w:cs="Times New Roman"/>
                <w:sz w:val="15"/>
                <w:szCs w:val="15"/>
                <w:vertAlign w:val="superscript"/>
              </w:rPr>
              <w:t>[2</w:t>
            </w:r>
            <w:r>
              <w:rPr>
                <w:rFonts w:hint="default" w:ascii="Times New Roman" w:hAnsi="Times New Roman" w:cs="Times New Roman"/>
                <w:sz w:val="15"/>
                <w:szCs w:val="15"/>
                <w:vertAlign w:val="superscript"/>
                <w:lang w:val="en-US"/>
              </w:rPr>
              <w:t>5</w:t>
            </w:r>
            <w:r>
              <w:rPr>
                <w:rFonts w:hint="eastAsia" w:ascii="Times New Roman" w:hAnsi="Times New Roman" w:cs="Times New Roman"/>
                <w:sz w:val="15"/>
                <w:szCs w:val="15"/>
                <w:vertAlign w:val="superscript"/>
              </w:rPr>
              <w:t>]</w:t>
            </w:r>
          </w:p>
        </w:tc>
        <w:tc>
          <w:tcPr>
            <w:tcW w:w="1385" w:type="dxa"/>
            <w:shd w:val="clear" w:color="auto" w:fill="auto"/>
            <w:vAlign w:val="top"/>
          </w:tcPr>
          <w:p w14:paraId="6923CFC2">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194" w:type="dxa"/>
            <w:shd w:val="clear" w:color="auto" w:fill="auto"/>
            <w:vAlign w:val="top"/>
          </w:tcPr>
          <w:p w14:paraId="44BA5E7C">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867" w:type="dxa"/>
            <w:shd w:val="clear" w:color="auto" w:fill="auto"/>
            <w:vAlign w:val="top"/>
          </w:tcPr>
          <w:p w14:paraId="0D66CEDA">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01" w:type="dxa"/>
            <w:shd w:val="clear" w:color="auto" w:fill="auto"/>
            <w:vAlign w:val="top"/>
          </w:tcPr>
          <w:p w14:paraId="44514420">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312" w:type="dxa"/>
            <w:shd w:val="clear" w:color="auto" w:fill="auto"/>
            <w:vAlign w:val="top"/>
          </w:tcPr>
          <w:p w14:paraId="0F117CF3">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581" w:type="dxa"/>
            <w:shd w:val="clear" w:color="auto" w:fill="auto"/>
            <w:vAlign w:val="top"/>
          </w:tcPr>
          <w:p w14:paraId="284F7BF2">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r>
      <w:tr w14:paraId="35F2DD11">
        <w:tc>
          <w:tcPr>
            <w:tcW w:w="1534" w:type="dxa"/>
            <w:shd w:val="clear"/>
            <w:vAlign w:val="center"/>
          </w:tcPr>
          <w:p w14:paraId="00B5840A">
            <w:pPr>
              <w:widowControl w:val="0"/>
              <w:jc w:val="left"/>
              <w:rPr>
                <w:rFonts w:hint="eastAsia" w:asciiTheme="minorHAnsi" w:hAnsiTheme="minorHAnsi" w:eastAsiaTheme="minorEastAsia" w:cstheme="minorBidi"/>
                <w:sz w:val="24"/>
                <w:szCs w:val="24"/>
                <w:vertAlign w:val="baseline"/>
                <w:lang w:val="en-US" w:eastAsia="zh-CN" w:bidi="ar-SA"/>
              </w:rPr>
            </w:pPr>
            <w:r>
              <w:rPr>
                <w:rFonts w:hint="eastAsia" w:ascii="Times New Roman" w:hAnsi="Times New Roman" w:cs="Times New Roman"/>
                <w:sz w:val="15"/>
                <w:szCs w:val="15"/>
                <w:vertAlign w:val="baseline"/>
              </w:rPr>
              <w:t>Szuba</w:t>
            </w:r>
            <w:r>
              <w:rPr>
                <w:rFonts w:hint="eastAsia" w:ascii="Times New Roman" w:hAnsi="Times New Roman" w:cs="Times New Roman"/>
                <w:sz w:val="15"/>
                <w:szCs w:val="15"/>
                <w:vertAlign w:val="baseline"/>
                <w:lang w:val="en-US" w:eastAsia="zh-CN"/>
              </w:rPr>
              <w:t xml:space="preserve"> </w:t>
            </w:r>
            <w:r>
              <w:rPr>
                <w:rFonts w:hint="eastAsia" w:ascii="Times New Roman" w:hAnsi="Times New Roman" w:cs="Times New Roman"/>
                <w:sz w:val="15"/>
                <w:szCs w:val="15"/>
                <w:vertAlign w:val="baseline"/>
              </w:rPr>
              <w:t>et al</w:t>
            </w:r>
            <w:r>
              <w:rPr>
                <w:rFonts w:hint="eastAsia" w:ascii="Times New Roman" w:hAnsi="Times New Roman" w:cs="Times New Roman"/>
                <w:sz w:val="15"/>
                <w:szCs w:val="15"/>
                <w:vertAlign w:val="superscript"/>
              </w:rPr>
              <w:t>[2</w:t>
            </w:r>
            <w:r>
              <w:rPr>
                <w:rFonts w:hint="default" w:ascii="Times New Roman" w:hAnsi="Times New Roman" w:cs="Times New Roman"/>
                <w:sz w:val="15"/>
                <w:szCs w:val="15"/>
                <w:vertAlign w:val="superscript"/>
                <w:lang w:val="en-US"/>
              </w:rPr>
              <w:t>4</w:t>
            </w:r>
            <w:r>
              <w:rPr>
                <w:rFonts w:hint="eastAsia" w:ascii="Times New Roman" w:hAnsi="Times New Roman" w:cs="Times New Roman"/>
                <w:sz w:val="15"/>
                <w:szCs w:val="15"/>
                <w:vertAlign w:val="superscript"/>
              </w:rPr>
              <w:t>]</w:t>
            </w:r>
          </w:p>
        </w:tc>
        <w:tc>
          <w:tcPr>
            <w:tcW w:w="1385" w:type="dxa"/>
            <w:shd w:val="clear"/>
            <w:vAlign w:val="top"/>
          </w:tcPr>
          <w:p w14:paraId="26F0EFA3">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Some concerns</w:t>
            </w:r>
          </w:p>
        </w:tc>
        <w:tc>
          <w:tcPr>
            <w:tcW w:w="1194" w:type="dxa"/>
            <w:shd w:val="clear"/>
            <w:vAlign w:val="top"/>
          </w:tcPr>
          <w:p w14:paraId="6DF12BC1">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867" w:type="dxa"/>
            <w:shd w:val="clear"/>
            <w:vAlign w:val="top"/>
          </w:tcPr>
          <w:p w14:paraId="0E17A60F">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01" w:type="dxa"/>
            <w:shd w:val="clear"/>
            <w:vAlign w:val="top"/>
          </w:tcPr>
          <w:p w14:paraId="3B3CE5C4">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312" w:type="dxa"/>
            <w:shd w:val="clear"/>
            <w:vAlign w:val="top"/>
          </w:tcPr>
          <w:p w14:paraId="34C3169A">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581" w:type="dxa"/>
            <w:shd w:val="clear"/>
            <w:vAlign w:val="top"/>
          </w:tcPr>
          <w:p w14:paraId="6748D674">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Some concerns</w:t>
            </w:r>
          </w:p>
        </w:tc>
      </w:tr>
      <w:tr w14:paraId="6A82793D">
        <w:tc>
          <w:tcPr>
            <w:tcW w:w="1534" w:type="dxa"/>
            <w:shd w:val="clear"/>
            <w:vAlign w:val="center"/>
          </w:tcPr>
          <w:p w14:paraId="29A8C4E8">
            <w:pPr>
              <w:widowControl w:val="0"/>
              <w:jc w:val="left"/>
              <w:rPr>
                <w:rFonts w:hint="eastAsia" w:asciiTheme="minorHAnsi" w:hAnsiTheme="minorHAnsi" w:eastAsiaTheme="minorEastAsia" w:cstheme="minorBidi"/>
                <w:sz w:val="24"/>
                <w:szCs w:val="24"/>
                <w:vertAlign w:val="baseline"/>
                <w:lang w:val="en-US" w:eastAsia="zh-CN" w:bidi="ar-SA"/>
              </w:rPr>
            </w:pPr>
            <w:r>
              <w:rPr>
                <w:rFonts w:hint="eastAsia" w:ascii="Times New Roman" w:hAnsi="Times New Roman" w:cs="Times New Roman"/>
                <w:sz w:val="15"/>
                <w:szCs w:val="15"/>
                <w:vertAlign w:val="baseline"/>
              </w:rPr>
              <w:t>YuNan</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H et al</w:t>
            </w:r>
            <w:r>
              <w:rPr>
                <w:rFonts w:hint="eastAsia" w:ascii="Times New Roman" w:hAnsi="Times New Roman" w:cs="Times New Roman"/>
                <w:sz w:val="15"/>
                <w:szCs w:val="15"/>
                <w:vertAlign w:val="superscript"/>
              </w:rPr>
              <w:t>[3</w:t>
            </w:r>
            <w:r>
              <w:rPr>
                <w:rFonts w:hint="default" w:ascii="Times New Roman" w:hAnsi="Times New Roman" w:cs="Times New Roman"/>
                <w:sz w:val="15"/>
                <w:szCs w:val="15"/>
                <w:vertAlign w:val="superscript"/>
                <w:lang w:val="en-US"/>
              </w:rPr>
              <w:t>0</w:t>
            </w:r>
            <w:r>
              <w:rPr>
                <w:rFonts w:hint="eastAsia" w:ascii="Times New Roman" w:hAnsi="Times New Roman" w:cs="Times New Roman"/>
                <w:sz w:val="15"/>
                <w:szCs w:val="15"/>
                <w:vertAlign w:val="superscript"/>
              </w:rPr>
              <w:t>]</w:t>
            </w:r>
          </w:p>
        </w:tc>
        <w:tc>
          <w:tcPr>
            <w:tcW w:w="1385" w:type="dxa"/>
            <w:shd w:val="clear"/>
            <w:vAlign w:val="top"/>
          </w:tcPr>
          <w:p w14:paraId="00E1C481">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194" w:type="dxa"/>
            <w:shd w:val="clear"/>
            <w:vAlign w:val="top"/>
          </w:tcPr>
          <w:p w14:paraId="3F35EFFB">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867" w:type="dxa"/>
            <w:shd w:val="clear"/>
            <w:vAlign w:val="top"/>
          </w:tcPr>
          <w:p w14:paraId="15847F6D">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01" w:type="dxa"/>
            <w:shd w:val="clear"/>
            <w:vAlign w:val="top"/>
          </w:tcPr>
          <w:p w14:paraId="6E1E9591">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312" w:type="dxa"/>
            <w:shd w:val="clear"/>
            <w:vAlign w:val="top"/>
          </w:tcPr>
          <w:p w14:paraId="17A260C1">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581" w:type="dxa"/>
            <w:shd w:val="clear"/>
            <w:vAlign w:val="top"/>
          </w:tcPr>
          <w:p w14:paraId="7B223141">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r>
      <w:tr w14:paraId="35FC8BE8">
        <w:tc>
          <w:tcPr>
            <w:tcW w:w="1534" w:type="dxa"/>
            <w:shd w:val="clear"/>
            <w:vAlign w:val="center"/>
          </w:tcPr>
          <w:p w14:paraId="33AAFC43">
            <w:pPr>
              <w:widowControl w:val="0"/>
              <w:jc w:val="left"/>
              <w:rPr>
                <w:rFonts w:hint="eastAsia" w:asciiTheme="minorHAnsi" w:hAnsiTheme="minorHAnsi" w:eastAsiaTheme="minorEastAsia" w:cstheme="minorBidi"/>
                <w:sz w:val="24"/>
                <w:szCs w:val="24"/>
                <w:vertAlign w:val="baseline"/>
                <w:lang w:val="en-US" w:eastAsia="zh-CN" w:bidi="ar-SA"/>
              </w:rPr>
            </w:pPr>
            <w:r>
              <w:rPr>
                <w:rFonts w:hint="eastAsia" w:ascii="Times New Roman" w:hAnsi="Times New Roman" w:cs="Times New Roman"/>
                <w:sz w:val="15"/>
                <w:szCs w:val="15"/>
                <w:vertAlign w:val="baseline"/>
              </w:rPr>
              <w:t>YongHong</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L et al</w:t>
            </w:r>
            <w:r>
              <w:rPr>
                <w:rFonts w:hint="eastAsia" w:ascii="Times New Roman" w:hAnsi="Times New Roman" w:cs="Times New Roman"/>
                <w:sz w:val="15"/>
                <w:szCs w:val="15"/>
                <w:vertAlign w:val="superscript"/>
              </w:rPr>
              <w:t>[</w:t>
            </w:r>
            <w:r>
              <w:rPr>
                <w:rFonts w:hint="default" w:ascii="Times New Roman" w:hAnsi="Times New Roman" w:cs="Times New Roman"/>
                <w:sz w:val="15"/>
                <w:szCs w:val="15"/>
                <w:vertAlign w:val="superscript"/>
                <w:lang w:val="en-US"/>
              </w:rPr>
              <w:t>29</w:t>
            </w:r>
            <w:r>
              <w:rPr>
                <w:rFonts w:hint="eastAsia" w:ascii="Times New Roman" w:hAnsi="Times New Roman" w:cs="Times New Roman"/>
                <w:sz w:val="15"/>
                <w:szCs w:val="15"/>
                <w:vertAlign w:val="superscript"/>
              </w:rPr>
              <w:t>]</w:t>
            </w:r>
          </w:p>
        </w:tc>
        <w:tc>
          <w:tcPr>
            <w:tcW w:w="1385" w:type="dxa"/>
            <w:vAlign w:val="top"/>
          </w:tcPr>
          <w:p w14:paraId="7878AEDD">
            <w:pPr>
              <w:widowControl w:val="0"/>
              <w:jc w:val="center"/>
              <w:rPr>
                <w:rFonts w:hint="default" w:ascii="Times New Roman" w:hAnsi="Times New Roman" w:cs="Times New Roman"/>
                <w:sz w:val="15"/>
                <w:szCs w:val="15"/>
                <w:vertAlign w:val="baseline"/>
                <w:lang w:val="en-US" w:eastAsia="zh-CN"/>
              </w:rPr>
            </w:pPr>
            <w:r>
              <w:rPr>
                <w:rFonts w:hint="default" w:ascii="Times New Roman" w:hAnsi="Times New Roman" w:cs="Times New Roman"/>
                <w:sz w:val="15"/>
                <w:szCs w:val="15"/>
                <w:vertAlign w:val="baseline"/>
                <w:lang w:val="en-US" w:eastAsia="zh-CN" w:bidi="ar-SA"/>
              </w:rPr>
              <w:t>Some concerns</w:t>
            </w:r>
          </w:p>
        </w:tc>
        <w:tc>
          <w:tcPr>
            <w:tcW w:w="1194" w:type="dxa"/>
            <w:vAlign w:val="top"/>
          </w:tcPr>
          <w:p w14:paraId="06F4CA66">
            <w:pPr>
              <w:widowControl w:val="0"/>
              <w:jc w:val="center"/>
              <w:rPr>
                <w:rFonts w:hint="default" w:ascii="Times New Roman" w:hAnsi="Times New Roman" w:cs="Times New Roman"/>
                <w:sz w:val="15"/>
                <w:szCs w:val="15"/>
                <w:vertAlign w:val="baseline"/>
                <w:lang w:val="en-US" w:eastAsia="zh-CN"/>
              </w:rPr>
            </w:pPr>
            <w:r>
              <w:rPr>
                <w:rFonts w:hint="default" w:ascii="Times New Roman" w:hAnsi="Times New Roman" w:cs="Times New Roman"/>
                <w:sz w:val="15"/>
                <w:szCs w:val="15"/>
                <w:vertAlign w:val="baseline"/>
                <w:lang w:val="en-US" w:eastAsia="zh-CN"/>
              </w:rPr>
              <w:t>low</w:t>
            </w:r>
          </w:p>
        </w:tc>
        <w:tc>
          <w:tcPr>
            <w:tcW w:w="1867" w:type="dxa"/>
            <w:vAlign w:val="top"/>
          </w:tcPr>
          <w:p w14:paraId="28754D36">
            <w:pPr>
              <w:widowControl w:val="0"/>
              <w:jc w:val="center"/>
              <w:rPr>
                <w:rFonts w:hint="default" w:ascii="Times New Roman" w:hAnsi="Times New Roman" w:cs="Times New Roman"/>
                <w:sz w:val="15"/>
                <w:szCs w:val="15"/>
                <w:vertAlign w:val="baseline"/>
                <w:lang w:val="en-US" w:eastAsia="zh-CN"/>
              </w:rPr>
            </w:pPr>
            <w:r>
              <w:rPr>
                <w:rFonts w:hint="default" w:ascii="Times New Roman" w:hAnsi="Times New Roman" w:cs="Times New Roman"/>
                <w:sz w:val="15"/>
                <w:szCs w:val="15"/>
                <w:vertAlign w:val="baseline"/>
                <w:lang w:val="en-US" w:eastAsia="zh-CN" w:bidi="ar-SA"/>
              </w:rPr>
              <w:t>low</w:t>
            </w:r>
          </w:p>
        </w:tc>
        <w:tc>
          <w:tcPr>
            <w:tcW w:w="1501" w:type="dxa"/>
            <w:vAlign w:val="top"/>
          </w:tcPr>
          <w:p w14:paraId="70156526">
            <w:pPr>
              <w:widowControl w:val="0"/>
              <w:jc w:val="center"/>
              <w:rPr>
                <w:rFonts w:hint="default" w:ascii="Times New Roman" w:hAnsi="Times New Roman" w:cs="Times New Roman"/>
                <w:sz w:val="15"/>
                <w:szCs w:val="15"/>
                <w:vertAlign w:val="baseline"/>
                <w:lang w:val="en-US" w:eastAsia="zh-CN"/>
              </w:rPr>
            </w:pPr>
            <w:r>
              <w:rPr>
                <w:rFonts w:hint="default" w:ascii="Times New Roman" w:hAnsi="Times New Roman" w:cs="Times New Roman"/>
                <w:sz w:val="15"/>
                <w:szCs w:val="15"/>
                <w:vertAlign w:val="baseline"/>
                <w:lang w:val="en-US" w:eastAsia="zh-CN" w:bidi="ar-SA"/>
              </w:rPr>
              <w:t>low</w:t>
            </w:r>
          </w:p>
        </w:tc>
        <w:tc>
          <w:tcPr>
            <w:tcW w:w="1312" w:type="dxa"/>
            <w:vAlign w:val="top"/>
          </w:tcPr>
          <w:p w14:paraId="20804407">
            <w:pPr>
              <w:widowControl w:val="0"/>
              <w:jc w:val="center"/>
              <w:rPr>
                <w:rFonts w:hint="default" w:ascii="Times New Roman" w:hAnsi="Times New Roman" w:cs="Times New Roman"/>
                <w:sz w:val="15"/>
                <w:szCs w:val="15"/>
                <w:vertAlign w:val="baseline"/>
                <w:lang w:val="en-US" w:eastAsia="zh-CN"/>
              </w:rPr>
            </w:pPr>
            <w:r>
              <w:rPr>
                <w:rFonts w:hint="default" w:ascii="Times New Roman" w:hAnsi="Times New Roman" w:cs="Times New Roman"/>
                <w:sz w:val="15"/>
                <w:szCs w:val="15"/>
                <w:vertAlign w:val="baseline"/>
                <w:lang w:val="en-US" w:eastAsia="zh-CN"/>
              </w:rPr>
              <w:t>low</w:t>
            </w:r>
          </w:p>
        </w:tc>
        <w:tc>
          <w:tcPr>
            <w:tcW w:w="1581" w:type="dxa"/>
            <w:vAlign w:val="top"/>
          </w:tcPr>
          <w:p w14:paraId="340CB65D">
            <w:pPr>
              <w:widowControl w:val="0"/>
              <w:jc w:val="center"/>
              <w:rPr>
                <w:rFonts w:hint="default" w:ascii="Times New Roman" w:hAnsi="Times New Roman" w:cs="Times New Roman"/>
                <w:sz w:val="15"/>
                <w:szCs w:val="15"/>
                <w:vertAlign w:val="baseline"/>
                <w:lang w:val="en-US" w:eastAsia="zh-CN"/>
              </w:rPr>
            </w:pPr>
            <w:r>
              <w:rPr>
                <w:rFonts w:hint="default" w:ascii="Times New Roman" w:hAnsi="Times New Roman" w:cs="Times New Roman"/>
                <w:sz w:val="15"/>
                <w:szCs w:val="15"/>
                <w:vertAlign w:val="baseline"/>
                <w:lang w:val="en-US" w:eastAsia="zh-CN" w:bidi="ar-SA"/>
              </w:rPr>
              <w:t>Some concerns</w:t>
            </w:r>
          </w:p>
        </w:tc>
      </w:tr>
      <w:tr w14:paraId="38C96DD6">
        <w:tc>
          <w:tcPr>
            <w:tcW w:w="1534" w:type="dxa"/>
            <w:shd w:val="clear"/>
            <w:vAlign w:val="center"/>
          </w:tcPr>
          <w:p w14:paraId="58C21B13">
            <w:pPr>
              <w:widowControl w:val="0"/>
              <w:jc w:val="left"/>
              <w:rPr>
                <w:rFonts w:hint="eastAsia" w:asciiTheme="minorHAnsi" w:hAnsiTheme="minorHAnsi" w:eastAsiaTheme="minorEastAsia" w:cstheme="minorBidi"/>
                <w:sz w:val="24"/>
                <w:szCs w:val="24"/>
                <w:vertAlign w:val="baseline"/>
                <w:lang w:val="en-US" w:eastAsia="zh-CN" w:bidi="ar-SA"/>
              </w:rPr>
            </w:pPr>
            <w:r>
              <w:rPr>
                <w:rFonts w:hint="eastAsia" w:ascii="Times New Roman" w:hAnsi="Times New Roman" w:cs="Times New Roman"/>
                <w:sz w:val="15"/>
                <w:szCs w:val="15"/>
                <w:vertAlign w:val="baseline"/>
              </w:rPr>
              <w:t>Yi</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C et al</w:t>
            </w:r>
            <w:r>
              <w:rPr>
                <w:rFonts w:hint="eastAsia" w:ascii="Times New Roman" w:hAnsi="Times New Roman" w:cs="Times New Roman"/>
                <w:sz w:val="15"/>
                <w:szCs w:val="15"/>
                <w:vertAlign w:val="superscript"/>
              </w:rPr>
              <w:t>[20]</w:t>
            </w:r>
          </w:p>
        </w:tc>
        <w:tc>
          <w:tcPr>
            <w:tcW w:w="1385" w:type="dxa"/>
            <w:shd w:val="clear"/>
            <w:vAlign w:val="top"/>
          </w:tcPr>
          <w:p w14:paraId="77AA811A">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Some concerns</w:t>
            </w:r>
          </w:p>
        </w:tc>
        <w:tc>
          <w:tcPr>
            <w:tcW w:w="1194" w:type="dxa"/>
            <w:shd w:val="clear" w:color="auto" w:fill="auto"/>
            <w:vAlign w:val="top"/>
          </w:tcPr>
          <w:p w14:paraId="4D875D77">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867" w:type="dxa"/>
            <w:shd w:val="clear" w:color="auto" w:fill="auto"/>
            <w:vAlign w:val="top"/>
          </w:tcPr>
          <w:p w14:paraId="7B86AB1F">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01" w:type="dxa"/>
            <w:shd w:val="clear" w:color="auto" w:fill="auto"/>
            <w:vAlign w:val="top"/>
          </w:tcPr>
          <w:p w14:paraId="651900D7">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312" w:type="dxa"/>
            <w:shd w:val="clear" w:color="auto" w:fill="auto"/>
            <w:vAlign w:val="top"/>
          </w:tcPr>
          <w:p w14:paraId="2A31D9B8">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581" w:type="dxa"/>
            <w:shd w:val="clear" w:color="auto" w:fill="auto"/>
            <w:vAlign w:val="top"/>
          </w:tcPr>
          <w:p w14:paraId="2F580966">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Some concerns</w:t>
            </w:r>
          </w:p>
        </w:tc>
      </w:tr>
      <w:tr w14:paraId="2BD6E679">
        <w:tc>
          <w:tcPr>
            <w:tcW w:w="1534" w:type="dxa"/>
            <w:shd w:val="clear"/>
            <w:vAlign w:val="center"/>
          </w:tcPr>
          <w:p w14:paraId="7DDA569B">
            <w:pPr>
              <w:widowControl w:val="0"/>
              <w:jc w:val="left"/>
              <w:rPr>
                <w:rFonts w:hint="eastAsia" w:ascii="Times New Roman" w:hAnsi="Times New Roman" w:cs="Times New Roman" w:eastAsiaTheme="minorEastAsia"/>
                <w:sz w:val="15"/>
                <w:szCs w:val="15"/>
                <w:vertAlign w:val="baseline"/>
                <w:lang w:val="en-US" w:eastAsia="zh-CN" w:bidi="ar-SA"/>
              </w:rPr>
            </w:pPr>
            <w:r>
              <w:rPr>
                <w:rFonts w:hint="eastAsia" w:ascii="Times New Roman" w:hAnsi="Times New Roman" w:cs="Times New Roman"/>
                <w:sz w:val="15"/>
                <w:szCs w:val="15"/>
                <w:vertAlign w:val="baseline"/>
              </w:rPr>
              <w:t>Na</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L et al</w:t>
            </w:r>
            <w:r>
              <w:rPr>
                <w:rFonts w:hint="eastAsia" w:ascii="Times New Roman" w:hAnsi="Times New Roman" w:cs="Times New Roman"/>
                <w:sz w:val="15"/>
                <w:szCs w:val="15"/>
                <w:vertAlign w:val="superscript"/>
              </w:rPr>
              <w:t>[21]</w:t>
            </w:r>
          </w:p>
        </w:tc>
        <w:tc>
          <w:tcPr>
            <w:tcW w:w="1385" w:type="dxa"/>
            <w:shd w:val="clear" w:color="auto" w:fill="auto"/>
            <w:vAlign w:val="top"/>
          </w:tcPr>
          <w:p w14:paraId="5C81E336">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194" w:type="dxa"/>
            <w:shd w:val="clear" w:color="auto" w:fill="auto"/>
            <w:vAlign w:val="top"/>
          </w:tcPr>
          <w:p w14:paraId="2061D017">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867" w:type="dxa"/>
            <w:shd w:val="clear" w:color="auto" w:fill="auto"/>
            <w:vAlign w:val="top"/>
          </w:tcPr>
          <w:p w14:paraId="2A69B4CA">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01" w:type="dxa"/>
            <w:shd w:val="clear" w:color="auto" w:fill="auto"/>
            <w:vAlign w:val="top"/>
          </w:tcPr>
          <w:p w14:paraId="51AC500A">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312" w:type="dxa"/>
            <w:shd w:val="clear" w:color="auto" w:fill="auto"/>
            <w:vAlign w:val="top"/>
          </w:tcPr>
          <w:p w14:paraId="3CD7497D">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581" w:type="dxa"/>
            <w:shd w:val="clear" w:color="auto" w:fill="auto"/>
            <w:vAlign w:val="top"/>
          </w:tcPr>
          <w:p w14:paraId="1B7D0C89">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r>
      <w:tr w14:paraId="511BF6C7">
        <w:tc>
          <w:tcPr>
            <w:tcW w:w="1534" w:type="dxa"/>
            <w:shd w:val="clear"/>
            <w:vAlign w:val="center"/>
          </w:tcPr>
          <w:p w14:paraId="46DCAB77">
            <w:pPr>
              <w:widowControl w:val="0"/>
              <w:jc w:val="left"/>
              <w:rPr>
                <w:rFonts w:hint="eastAsia" w:ascii="Times New Roman" w:hAnsi="Times New Roman" w:cs="Times New Roman" w:eastAsiaTheme="minorEastAsia"/>
                <w:sz w:val="15"/>
                <w:szCs w:val="15"/>
                <w:vertAlign w:val="baseline"/>
                <w:lang w:val="en-US" w:eastAsia="zh-CN" w:bidi="ar-SA"/>
              </w:rPr>
            </w:pPr>
            <w:r>
              <w:rPr>
                <w:rFonts w:hint="eastAsia" w:ascii="Times New Roman" w:hAnsi="Times New Roman" w:cs="Times New Roman"/>
                <w:sz w:val="15"/>
                <w:szCs w:val="15"/>
                <w:vertAlign w:val="baseline"/>
              </w:rPr>
              <w:t>YuPing</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W et al</w:t>
            </w:r>
            <w:r>
              <w:rPr>
                <w:rFonts w:hint="eastAsia" w:ascii="Times New Roman" w:hAnsi="Times New Roman" w:cs="Times New Roman"/>
                <w:sz w:val="15"/>
                <w:szCs w:val="15"/>
                <w:vertAlign w:val="superscript"/>
              </w:rPr>
              <w:t>[17]</w:t>
            </w:r>
          </w:p>
        </w:tc>
        <w:tc>
          <w:tcPr>
            <w:tcW w:w="1385" w:type="dxa"/>
            <w:shd w:val="clear" w:color="auto" w:fill="auto"/>
            <w:vAlign w:val="top"/>
          </w:tcPr>
          <w:p w14:paraId="6191EA4C">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Some concerns</w:t>
            </w:r>
          </w:p>
        </w:tc>
        <w:tc>
          <w:tcPr>
            <w:tcW w:w="1194" w:type="dxa"/>
            <w:shd w:val="clear" w:color="auto" w:fill="auto"/>
            <w:vAlign w:val="top"/>
          </w:tcPr>
          <w:p w14:paraId="3638DC03">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867" w:type="dxa"/>
            <w:shd w:val="clear" w:color="auto" w:fill="auto"/>
            <w:vAlign w:val="top"/>
          </w:tcPr>
          <w:p w14:paraId="05AD1905">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01" w:type="dxa"/>
            <w:shd w:val="clear" w:color="auto" w:fill="auto"/>
            <w:vAlign w:val="top"/>
          </w:tcPr>
          <w:p w14:paraId="56E170BE">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312" w:type="dxa"/>
            <w:shd w:val="clear" w:color="auto" w:fill="auto"/>
            <w:vAlign w:val="top"/>
          </w:tcPr>
          <w:p w14:paraId="2E0F9373">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581" w:type="dxa"/>
            <w:shd w:val="clear" w:color="auto" w:fill="auto"/>
            <w:vAlign w:val="top"/>
          </w:tcPr>
          <w:p w14:paraId="05962BEB">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Some concerns</w:t>
            </w:r>
          </w:p>
        </w:tc>
      </w:tr>
      <w:tr w14:paraId="5C165F92">
        <w:tc>
          <w:tcPr>
            <w:tcW w:w="1534" w:type="dxa"/>
            <w:shd w:val="clear"/>
            <w:vAlign w:val="center"/>
          </w:tcPr>
          <w:p w14:paraId="1FB3E72D">
            <w:pPr>
              <w:widowControl w:val="0"/>
              <w:jc w:val="left"/>
              <w:rPr>
                <w:rFonts w:hint="eastAsia" w:ascii="Times New Roman" w:hAnsi="Times New Roman" w:cs="Times New Roman" w:eastAsiaTheme="minorEastAsia"/>
                <w:sz w:val="15"/>
                <w:szCs w:val="15"/>
                <w:vertAlign w:val="baseline"/>
                <w:lang w:val="en-US" w:eastAsia="zh-CN" w:bidi="ar-SA"/>
              </w:rPr>
            </w:pPr>
            <w:r>
              <w:rPr>
                <w:rFonts w:hint="eastAsia" w:ascii="Times New Roman" w:hAnsi="Times New Roman" w:cs="Times New Roman"/>
                <w:sz w:val="15"/>
                <w:szCs w:val="15"/>
                <w:vertAlign w:val="baseline"/>
              </w:rPr>
              <w:t>Jie</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P et al</w:t>
            </w:r>
            <w:r>
              <w:rPr>
                <w:rFonts w:hint="eastAsia" w:ascii="Times New Roman" w:hAnsi="Times New Roman" w:cs="Times New Roman"/>
                <w:sz w:val="15"/>
                <w:szCs w:val="15"/>
                <w:vertAlign w:val="superscript"/>
              </w:rPr>
              <w:t>[18]</w:t>
            </w:r>
          </w:p>
        </w:tc>
        <w:tc>
          <w:tcPr>
            <w:tcW w:w="1385" w:type="dxa"/>
            <w:shd w:val="clear"/>
            <w:vAlign w:val="top"/>
          </w:tcPr>
          <w:p w14:paraId="5F25DBD7">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194" w:type="dxa"/>
            <w:shd w:val="clear"/>
            <w:vAlign w:val="top"/>
          </w:tcPr>
          <w:p w14:paraId="6BCD8C52">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867" w:type="dxa"/>
            <w:shd w:val="clear"/>
            <w:vAlign w:val="top"/>
          </w:tcPr>
          <w:p w14:paraId="3B231878">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01" w:type="dxa"/>
            <w:shd w:val="clear"/>
            <w:vAlign w:val="top"/>
          </w:tcPr>
          <w:p w14:paraId="7C06D933">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Some concerns</w:t>
            </w:r>
          </w:p>
        </w:tc>
        <w:tc>
          <w:tcPr>
            <w:tcW w:w="1312" w:type="dxa"/>
            <w:shd w:val="clear"/>
            <w:vAlign w:val="top"/>
          </w:tcPr>
          <w:p w14:paraId="303A6CCD">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81" w:type="dxa"/>
            <w:shd w:val="clear"/>
            <w:vAlign w:val="top"/>
          </w:tcPr>
          <w:p w14:paraId="396917CD">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Some concerns</w:t>
            </w:r>
          </w:p>
        </w:tc>
      </w:tr>
      <w:tr w14:paraId="337589A8">
        <w:tc>
          <w:tcPr>
            <w:tcW w:w="1534" w:type="dxa"/>
            <w:shd w:val="clear"/>
            <w:vAlign w:val="center"/>
          </w:tcPr>
          <w:p w14:paraId="510D7664">
            <w:pPr>
              <w:widowControl w:val="0"/>
              <w:jc w:val="left"/>
              <w:rPr>
                <w:rFonts w:hint="eastAsia" w:ascii="Times New Roman" w:hAnsi="Times New Roman" w:cs="Times New Roman" w:eastAsiaTheme="minorEastAsia"/>
                <w:sz w:val="15"/>
                <w:szCs w:val="15"/>
                <w:vertAlign w:val="baseline"/>
                <w:lang w:val="en-US" w:eastAsia="zh-CN" w:bidi="ar-SA"/>
              </w:rPr>
            </w:pPr>
            <w:r>
              <w:rPr>
                <w:rFonts w:hint="eastAsia" w:ascii="Times New Roman" w:hAnsi="Times New Roman" w:cs="Times New Roman"/>
                <w:sz w:val="15"/>
                <w:szCs w:val="15"/>
                <w:vertAlign w:val="baseline"/>
              </w:rPr>
              <w:t>Pinkun</w:t>
            </w:r>
            <w:r>
              <w:rPr>
                <w:rFonts w:hint="default" w:ascii="Times New Roman" w:hAnsi="Times New Roman" w:cs="Times New Roman"/>
                <w:sz w:val="15"/>
                <w:szCs w:val="15"/>
                <w:vertAlign w:val="baseline"/>
                <w:lang w:val="en-US"/>
              </w:rPr>
              <w:t xml:space="preserve">, </w:t>
            </w:r>
            <w:r>
              <w:rPr>
                <w:rFonts w:hint="eastAsia" w:ascii="Times New Roman" w:hAnsi="Times New Roman" w:cs="Times New Roman"/>
                <w:sz w:val="15"/>
                <w:szCs w:val="15"/>
                <w:vertAlign w:val="baseline"/>
              </w:rPr>
              <w:t>L et al</w:t>
            </w:r>
            <w:r>
              <w:rPr>
                <w:rFonts w:hint="eastAsia" w:ascii="Times New Roman" w:hAnsi="Times New Roman" w:cs="Times New Roman"/>
                <w:sz w:val="15"/>
                <w:szCs w:val="15"/>
                <w:vertAlign w:val="superscript"/>
              </w:rPr>
              <w:t>[19]</w:t>
            </w:r>
          </w:p>
        </w:tc>
        <w:tc>
          <w:tcPr>
            <w:tcW w:w="1385" w:type="dxa"/>
            <w:shd w:val="clear"/>
            <w:vAlign w:val="top"/>
          </w:tcPr>
          <w:p w14:paraId="71D4504C">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194" w:type="dxa"/>
            <w:shd w:val="clear"/>
            <w:vAlign w:val="top"/>
          </w:tcPr>
          <w:p w14:paraId="33D7D03E">
            <w:pPr>
              <w:widowControl w:val="0"/>
              <w:jc w:val="center"/>
              <w:rPr>
                <w:rFonts w:hint="eastAsia"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867" w:type="dxa"/>
            <w:shd w:val="clear"/>
            <w:vAlign w:val="top"/>
          </w:tcPr>
          <w:p w14:paraId="3A50F0F7">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501" w:type="dxa"/>
            <w:shd w:val="clear"/>
            <w:vAlign w:val="top"/>
          </w:tcPr>
          <w:p w14:paraId="4CA6FB85">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c>
          <w:tcPr>
            <w:tcW w:w="1312" w:type="dxa"/>
            <w:shd w:val="clear"/>
            <w:vAlign w:val="top"/>
          </w:tcPr>
          <w:p w14:paraId="18738317">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rPr>
              <w:t>low</w:t>
            </w:r>
          </w:p>
        </w:tc>
        <w:tc>
          <w:tcPr>
            <w:tcW w:w="1581" w:type="dxa"/>
            <w:shd w:val="clear"/>
            <w:vAlign w:val="top"/>
          </w:tcPr>
          <w:p w14:paraId="11F5E525">
            <w:pPr>
              <w:widowControl w:val="0"/>
              <w:jc w:val="center"/>
              <w:rPr>
                <w:rFonts w:hint="default" w:ascii="Times New Roman" w:hAnsi="Times New Roman" w:cs="Times New Roman" w:eastAsiaTheme="minorEastAsia"/>
                <w:sz w:val="15"/>
                <w:szCs w:val="15"/>
                <w:vertAlign w:val="baseline"/>
                <w:lang w:val="en-US" w:eastAsia="zh-CN" w:bidi="ar-SA"/>
              </w:rPr>
            </w:pPr>
            <w:r>
              <w:rPr>
                <w:rFonts w:hint="default" w:ascii="Times New Roman" w:hAnsi="Times New Roman" w:cs="Times New Roman"/>
                <w:sz w:val="15"/>
                <w:szCs w:val="15"/>
                <w:vertAlign w:val="baseline"/>
                <w:lang w:val="en-US" w:eastAsia="zh-CN" w:bidi="ar-SA"/>
              </w:rPr>
              <w:t>low</w:t>
            </w:r>
          </w:p>
        </w:tc>
      </w:tr>
    </w:tbl>
    <w:p w14:paraId="214E4D87"/>
    <w:p w14:paraId="258F285F">
      <w:pPr>
        <w:rPr>
          <w:rFonts w:hint="eastAsia"/>
        </w:rPr>
      </w:pPr>
    </w:p>
    <w:p w14:paraId="526341BE">
      <w:pPr>
        <w:rPr>
          <w:rFonts w:hint="eastAsia"/>
        </w:rPr>
      </w:pPr>
      <w:bookmarkStart w:id="0" w:name="_GoBack"/>
      <w:bookmarkEnd w:id="0"/>
    </w:p>
    <w:p w14:paraId="4AD48F52">
      <w:pPr>
        <w:rPr>
          <w:rFonts w:hint="eastAsia"/>
        </w:rPr>
      </w:pPr>
    </w:p>
    <w:p w14:paraId="2BC64863">
      <w:pPr>
        <w:rPr>
          <w:rFonts w:hint="eastAsia"/>
        </w:rPr>
      </w:pPr>
    </w:p>
    <w:p w14:paraId="54A09631">
      <w:pPr>
        <w:rPr>
          <w:rFonts w:hint="eastAsia"/>
        </w:rPr>
      </w:pPr>
    </w:p>
    <w:p w14:paraId="7C5BE308">
      <w:pPr>
        <w:rPr>
          <w:rFonts w:ascii="Times New Roman" w:hAnsi="Times New Roman" w:cs="Times New Roman" w:eastAsiaTheme="minorEastAsia"/>
          <w:b w:val="0"/>
          <w:bCs w:val="0"/>
          <w:color w:val="auto"/>
          <w:sz w:val="24"/>
          <w:szCs w:val="24"/>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libri Light">
    <w:altName w:val="Helvetica Neue"/>
    <w:panose1 w:val="020F0302020204030204"/>
    <w:charset w:val="00"/>
    <w:family w:val="swiss"/>
    <w:pitch w:val="default"/>
    <w:sig w:usb0="00000000" w:usb1="00000000" w:usb2="00000009" w:usb3="00000000" w:csb0="0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Hiragino Kaku Gothic ProN">
    <w:panose1 w:val="020B0300000000000000"/>
    <w:charset w:val="80"/>
    <w:family w:val="auto"/>
    <w:pitch w:val="default"/>
    <w:sig w:usb0="E00002FF" w:usb1="7AE7FFFF" w:usb2="00000012" w:usb3="00000000" w:csb0="0002000D"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DY14">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6DA6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E8EA3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E8EA3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3AEB0D"/>
    <w:multiLevelType w:val="singleLevel"/>
    <w:tmpl w:val="BD3AEB0D"/>
    <w:lvl w:ilvl="0" w:tentative="0">
      <w:start w:val="1"/>
      <w:numFmt w:val="decimal"/>
      <w:suff w:val="space"/>
      <w:lvlText w:val="(%1)"/>
      <w:lvlJc w:val="left"/>
    </w:lvl>
  </w:abstractNum>
  <w:abstractNum w:abstractNumId="1">
    <w:nsid w:val="BFF32DC0"/>
    <w:multiLevelType w:val="singleLevel"/>
    <w:tmpl w:val="BFF32DC0"/>
    <w:lvl w:ilvl="0" w:tentative="0">
      <w:start w:val="1"/>
      <w:numFmt w:val="decimal"/>
      <w:suff w:val="space"/>
      <w:lvlText w:val="(%1)"/>
      <w:lvlJc w:val="left"/>
    </w:lvl>
  </w:abstractNum>
  <w:abstractNum w:abstractNumId="2">
    <w:nsid w:val="EDFB1C16"/>
    <w:multiLevelType w:val="singleLevel"/>
    <w:tmpl w:val="EDFB1C16"/>
    <w:lvl w:ilvl="0" w:tentative="0">
      <w:start w:val="1"/>
      <w:numFmt w:val="decimal"/>
      <w:suff w:val="space"/>
      <w:lvlText w:val="(%1)"/>
      <w:lvlJc w:val="left"/>
    </w:lvl>
  </w:abstractNum>
  <w:abstractNum w:abstractNumId="3">
    <w:nsid w:val="EF9EF5B7"/>
    <w:multiLevelType w:val="singleLevel"/>
    <w:tmpl w:val="EF9EF5B7"/>
    <w:lvl w:ilvl="0" w:tentative="0">
      <w:start w:val="1"/>
      <w:numFmt w:val="decimal"/>
      <w:suff w:val="space"/>
      <w:lvlText w:val="(%1)"/>
      <w:lvlJc w:val="left"/>
    </w:lvl>
  </w:abstractNum>
  <w:abstractNum w:abstractNumId="4">
    <w:nsid w:val="EFEC2C5F"/>
    <w:multiLevelType w:val="singleLevel"/>
    <w:tmpl w:val="EFEC2C5F"/>
    <w:lvl w:ilvl="0" w:tentative="0">
      <w:start w:val="1"/>
      <w:numFmt w:val="decimal"/>
      <w:suff w:val="space"/>
      <w:lvlText w:val="(%1)"/>
      <w:lvlJc w:val="left"/>
    </w:lvl>
  </w:abstractNum>
  <w:abstractNum w:abstractNumId="5">
    <w:nsid w:val="7E2E4274"/>
    <w:multiLevelType w:val="singleLevel"/>
    <w:tmpl w:val="7E2E4274"/>
    <w:lvl w:ilvl="0" w:tentative="0">
      <w:start w:val="1"/>
      <w:numFmt w:val="decimal"/>
      <w:suff w:val="space"/>
      <w:lvlText w:val="(%1)"/>
      <w:lvlJc w:val="left"/>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E6E1183"/>
    <w:rsid w:val="6BFF561F"/>
    <w:rsid w:val="B6F7179E"/>
    <w:rsid w:val="EE6E1183"/>
    <w:rsid w:val="FDDCC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zh-CN" w:bidi="ar-SA"/>
    </w:rPr>
  </w:style>
  <w:style w:type="paragraph" w:styleId="2">
    <w:name w:val="heading 1"/>
    <w:basedOn w:val="1"/>
    <w:next w:val="1"/>
    <w:qFormat/>
    <w:uiPriority w:val="9"/>
    <w:pPr>
      <w:keepNext/>
      <w:keepLines/>
      <w:spacing w:before="240"/>
      <w:outlineLvl w:val="0"/>
    </w:pPr>
    <w:rPr>
      <w:rFonts w:asciiTheme="majorHAnsi" w:hAnsiTheme="majorHAnsi" w:eastAsiaTheme="majorEastAsia" w:cstheme="majorBidi"/>
      <w:color w:val="2E54A1" w:themeColor="accent1" w:themeShade="BF"/>
      <w:sz w:val="32"/>
      <w:szCs w:val="32"/>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nhideWhenUsed/>
    <w:uiPriority w:val="39"/>
    <w:pPr>
      <w:tabs>
        <w:tab w:val="right" w:leader="dot" w:pos="9350"/>
      </w:tabs>
      <w:spacing w:before="120"/>
      <w:jc w:val="both"/>
    </w:pPr>
    <w:rPr>
      <w:rFonts w:cstheme="minorHAnsi"/>
      <w:b/>
      <w:bCs/>
      <w:i/>
      <w:iCs/>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uiPriority w:val="99"/>
    <w:rPr>
      <w:color w:val="0026E5" w:themeColor="hyperlink"/>
      <w:u w:val="single"/>
      <w14:textFill>
        <w14:solidFill>
          <w14:schemeClr w14:val="hlink"/>
        </w14:solidFill>
      </w14:textFill>
    </w:rPr>
  </w:style>
  <w:style w:type="paragraph" w:customStyle="1" w:styleId="10">
    <w:name w:val="TOC Heading"/>
    <w:basedOn w:val="2"/>
    <w:next w:val="1"/>
    <w:unhideWhenUsed/>
    <w:qFormat/>
    <w:uiPriority w:val="39"/>
    <w:pPr>
      <w:spacing w:before="480" w:line="276" w:lineRule="auto"/>
      <w:outlineLvl w:val="9"/>
    </w:pPr>
    <w:rPr>
      <w:b/>
      <w:bCs/>
      <w:sz w:val="28"/>
      <w:szCs w:val="2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2025-10-14T04:09:00Z</dcterms:created>
  <dc:creator>是努力拼博的小垚诶</dc:creator>
  <cp:lastModifiedBy>是努力拼博的小垚诶</cp:lastModifiedBy>
  <dcterms:modified xsi:type="dcterms:W3CDTF">2025-10-15T22:22:29Z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7D7EFD4EDCEFAAABE3EBEC68048BBE8E_41</vt:lpwstr>
  </property>
</Properties>
</file>