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tblpY="-340"/>
        <w:tblW w:w="161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3450"/>
        <w:gridCol w:w="3354"/>
        <w:gridCol w:w="2926"/>
        <w:gridCol w:w="3452"/>
      </w:tblGrid>
      <w:tr w:rsidR="009327FD" w:rsidRPr="00505B0D" w14:paraId="329B4BA8" w14:textId="77777777" w:rsidTr="00E34910">
        <w:trPr>
          <w:trHeight w:val="69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175ADD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Author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/Year</w:t>
            </w:r>
          </w:p>
        </w:tc>
        <w:tc>
          <w:tcPr>
            <w:tcW w:w="3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05A914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Source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34211C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Title</w:t>
            </w:r>
            <w:proofErr w:type="spellEnd"/>
          </w:p>
        </w:tc>
        <w:tc>
          <w:tcPr>
            <w:tcW w:w="2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E6F587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Reason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for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Study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Exclusion</w:t>
            </w:r>
            <w:proofErr w:type="spellEnd"/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662B62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Available</w:t>
            </w:r>
          </w:p>
        </w:tc>
      </w:tr>
      <w:tr w:rsidR="009327FD" w:rsidRPr="00505B0D" w14:paraId="113067A9" w14:textId="77777777" w:rsidTr="00E34910">
        <w:trPr>
          <w:trHeight w:val="1410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B24BF1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Martos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-Fernandez, 2018</w:t>
            </w:r>
          </w:p>
        </w:tc>
        <w:tc>
          <w:tcPr>
            <w:tcW w:w="34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5182335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Grey Literature</w:t>
            </w:r>
          </w:p>
        </w:tc>
        <w:tc>
          <w:tcPr>
            <w:tcW w:w="335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0B8D1C" w14:textId="77777777" w:rsidR="00363CC2" w:rsidRPr="00505B0D" w:rsidRDefault="00363CC2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Management of Mandibular ORN: PENTO as Medical Treatment (PENTO)</w:t>
            </w:r>
          </w:p>
        </w:tc>
        <w:tc>
          <w:tcPr>
            <w:tcW w:w="29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313187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Insufficient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data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available</w:t>
            </w:r>
            <w:proofErr w:type="spellEnd"/>
          </w:p>
        </w:tc>
        <w:tc>
          <w:tcPr>
            <w:tcW w:w="34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245F763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https://clinicaltrials.gov/study/NCT02368457</w:t>
            </w:r>
          </w:p>
        </w:tc>
      </w:tr>
      <w:tr w:rsidR="009327FD" w:rsidRPr="00505B0D" w14:paraId="23F34FE1" w14:textId="77777777" w:rsidTr="00E34910">
        <w:trPr>
          <w:trHeight w:val="1553"/>
        </w:trPr>
        <w:tc>
          <w:tcPr>
            <w:tcW w:w="2977" w:type="dxa"/>
            <w:shd w:val="clear" w:color="auto" w:fill="F2F2F2" w:themeFill="background1" w:themeFillShade="F2"/>
            <w:vAlign w:val="center"/>
            <w:hideMark/>
          </w:tcPr>
          <w:p w14:paraId="090577F1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Dillon, 2017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  <w:hideMark/>
          </w:tcPr>
          <w:p w14:paraId="31D71F36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Grey Literature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center"/>
            <w:hideMark/>
          </w:tcPr>
          <w:p w14:paraId="24D5191C" w14:textId="77777777" w:rsidR="00363CC2" w:rsidRPr="00505B0D" w:rsidRDefault="00363CC2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Pentoxifylline and Tocopherol (PENTO) in the Treatment of Medication-related Osteonecrosis of the Jaw (MRONJ)</w:t>
            </w:r>
          </w:p>
        </w:tc>
        <w:tc>
          <w:tcPr>
            <w:tcW w:w="2926" w:type="dxa"/>
            <w:shd w:val="clear" w:color="auto" w:fill="F2F2F2" w:themeFill="background1" w:themeFillShade="F2"/>
            <w:vAlign w:val="center"/>
            <w:hideMark/>
          </w:tcPr>
          <w:p w14:paraId="1E310D62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Insufficient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data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available</w:t>
            </w:r>
            <w:proofErr w:type="spellEnd"/>
          </w:p>
        </w:tc>
        <w:tc>
          <w:tcPr>
            <w:tcW w:w="3452" w:type="dxa"/>
            <w:shd w:val="clear" w:color="auto" w:fill="F2F2F2" w:themeFill="background1" w:themeFillShade="F2"/>
            <w:vAlign w:val="center"/>
            <w:hideMark/>
          </w:tcPr>
          <w:p w14:paraId="5ADB23A5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https://clinicaltrials.gov/study/NCT03040778</w:t>
            </w:r>
          </w:p>
        </w:tc>
      </w:tr>
      <w:tr w:rsidR="009327FD" w:rsidRPr="00505B0D" w14:paraId="46C5C027" w14:textId="77777777" w:rsidTr="00E34910">
        <w:trPr>
          <w:trHeight w:val="1561"/>
        </w:trPr>
        <w:tc>
          <w:tcPr>
            <w:tcW w:w="2977" w:type="dxa"/>
            <w:shd w:val="clear" w:color="auto" w:fill="auto"/>
            <w:vAlign w:val="center"/>
            <w:hideMark/>
          </w:tcPr>
          <w:p w14:paraId="484C2389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Usseglio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, 2023</w:t>
            </w:r>
          </w:p>
        </w:tc>
        <w:tc>
          <w:tcPr>
            <w:tcW w:w="3450" w:type="dxa"/>
            <w:shd w:val="clear" w:color="auto" w:fill="auto"/>
            <w:vAlign w:val="center"/>
            <w:hideMark/>
          </w:tcPr>
          <w:p w14:paraId="2BFC0C79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Grey Literature</w:t>
            </w:r>
          </w:p>
        </w:tc>
        <w:tc>
          <w:tcPr>
            <w:tcW w:w="3354" w:type="dxa"/>
            <w:shd w:val="clear" w:color="auto" w:fill="auto"/>
            <w:vAlign w:val="center"/>
            <w:hideMark/>
          </w:tcPr>
          <w:p w14:paraId="7F773F4A" w14:textId="77777777" w:rsidR="00363CC2" w:rsidRPr="00505B0D" w:rsidRDefault="00363CC2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The PENTO Protocol in Medication-related Osteonecrosis of the Jaw (PENTO)</w:t>
            </w:r>
          </w:p>
        </w:tc>
        <w:tc>
          <w:tcPr>
            <w:tcW w:w="2926" w:type="dxa"/>
            <w:shd w:val="clear" w:color="auto" w:fill="auto"/>
            <w:vAlign w:val="center"/>
            <w:hideMark/>
          </w:tcPr>
          <w:p w14:paraId="1CC40913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Insufficient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data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available</w:t>
            </w:r>
            <w:proofErr w:type="spellEnd"/>
          </w:p>
        </w:tc>
        <w:tc>
          <w:tcPr>
            <w:tcW w:w="3452" w:type="dxa"/>
            <w:shd w:val="clear" w:color="auto" w:fill="auto"/>
            <w:vAlign w:val="center"/>
            <w:hideMark/>
          </w:tcPr>
          <w:p w14:paraId="279CD5E0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https://clinicaltrials.gov/study/NCT05795647</w:t>
            </w:r>
          </w:p>
        </w:tc>
      </w:tr>
      <w:tr w:rsidR="009327FD" w:rsidRPr="00505B0D" w14:paraId="4F96D0C0" w14:textId="77777777" w:rsidTr="00E34910">
        <w:trPr>
          <w:trHeight w:val="1697"/>
        </w:trPr>
        <w:tc>
          <w:tcPr>
            <w:tcW w:w="2977" w:type="dxa"/>
            <w:shd w:val="clear" w:color="auto" w:fill="F2F2F2" w:themeFill="background1" w:themeFillShade="F2"/>
            <w:vAlign w:val="center"/>
            <w:hideMark/>
          </w:tcPr>
          <w:p w14:paraId="2B69607A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Safa, 2023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  <w:hideMark/>
          </w:tcPr>
          <w:p w14:paraId="04A6E6AA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Grey Literature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center"/>
            <w:hideMark/>
          </w:tcPr>
          <w:p w14:paraId="11EBC008" w14:textId="77777777" w:rsidR="00363CC2" w:rsidRPr="00505B0D" w:rsidRDefault="00363CC2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Combination Therapy: Hyperbaric Oxygen and PENTOCLO for Treatment of Osteoradionecrosis of the Mandible</w:t>
            </w:r>
          </w:p>
        </w:tc>
        <w:tc>
          <w:tcPr>
            <w:tcW w:w="2926" w:type="dxa"/>
            <w:shd w:val="clear" w:color="auto" w:fill="F2F2F2" w:themeFill="background1" w:themeFillShade="F2"/>
            <w:vAlign w:val="center"/>
            <w:hideMark/>
          </w:tcPr>
          <w:p w14:paraId="1C32B632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Insufficient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data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available</w:t>
            </w:r>
            <w:proofErr w:type="spellEnd"/>
          </w:p>
        </w:tc>
        <w:tc>
          <w:tcPr>
            <w:tcW w:w="3452" w:type="dxa"/>
            <w:shd w:val="clear" w:color="auto" w:fill="F2F2F2" w:themeFill="background1" w:themeFillShade="F2"/>
            <w:vAlign w:val="center"/>
            <w:hideMark/>
          </w:tcPr>
          <w:p w14:paraId="608453FC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https://clinicaltrials.gov/study/NCT06055257</w:t>
            </w:r>
          </w:p>
        </w:tc>
      </w:tr>
      <w:tr w:rsidR="009327FD" w:rsidRPr="00505B0D" w14:paraId="30EB7F66" w14:textId="77777777" w:rsidTr="00E34910">
        <w:trPr>
          <w:trHeight w:val="2412"/>
        </w:trPr>
        <w:tc>
          <w:tcPr>
            <w:tcW w:w="2977" w:type="dxa"/>
            <w:shd w:val="clear" w:color="auto" w:fill="auto"/>
            <w:vAlign w:val="center"/>
            <w:hideMark/>
          </w:tcPr>
          <w:p w14:paraId="67D3264C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AlHakim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et al.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, 2024</w:t>
            </w:r>
          </w:p>
        </w:tc>
        <w:tc>
          <w:tcPr>
            <w:tcW w:w="3450" w:type="dxa"/>
            <w:shd w:val="clear" w:color="auto" w:fill="auto"/>
            <w:vAlign w:val="center"/>
            <w:hideMark/>
          </w:tcPr>
          <w:p w14:paraId="2A711591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Grey Literature</w:t>
            </w:r>
          </w:p>
        </w:tc>
        <w:tc>
          <w:tcPr>
            <w:tcW w:w="3354" w:type="dxa"/>
            <w:shd w:val="clear" w:color="auto" w:fill="auto"/>
            <w:vAlign w:val="center"/>
            <w:hideMark/>
          </w:tcPr>
          <w:p w14:paraId="4F551AFD" w14:textId="77777777" w:rsidR="00363CC2" w:rsidRPr="00505B0D" w:rsidRDefault="00363CC2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The management of osteoradionecrosis in palliative head and neck cancer patients</w:t>
            </w:r>
          </w:p>
        </w:tc>
        <w:tc>
          <w:tcPr>
            <w:tcW w:w="2926" w:type="dxa"/>
            <w:shd w:val="clear" w:color="auto" w:fill="auto"/>
            <w:vAlign w:val="center"/>
            <w:hideMark/>
          </w:tcPr>
          <w:p w14:paraId="0EF94869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Publication Type</w:t>
            </w:r>
          </w:p>
        </w:tc>
        <w:tc>
          <w:tcPr>
            <w:tcW w:w="3452" w:type="dxa"/>
            <w:shd w:val="clear" w:color="auto" w:fill="auto"/>
            <w:vAlign w:val="center"/>
            <w:hideMark/>
          </w:tcPr>
          <w:p w14:paraId="0C5B9839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https://onlinelibrary.wiley.com/doi/full/10.1111/ors.12867</w:t>
            </w:r>
          </w:p>
        </w:tc>
      </w:tr>
      <w:tr w:rsidR="009327FD" w:rsidRPr="00505B0D" w14:paraId="4040D593" w14:textId="77777777" w:rsidTr="00E34910">
        <w:trPr>
          <w:trHeight w:val="1978"/>
        </w:trPr>
        <w:tc>
          <w:tcPr>
            <w:tcW w:w="2977" w:type="dxa"/>
            <w:shd w:val="clear" w:color="auto" w:fill="F2F2F2" w:themeFill="background1" w:themeFillShade="F2"/>
            <w:vAlign w:val="center"/>
            <w:hideMark/>
          </w:tcPr>
          <w:p w14:paraId="55834AD7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Bulsara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2019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  <w:hideMark/>
          </w:tcPr>
          <w:p w14:paraId="28DAEB54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Grey Literature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center"/>
            <w:hideMark/>
          </w:tcPr>
          <w:p w14:paraId="7182CB75" w14:textId="18BC9496" w:rsidR="00363CC2" w:rsidRPr="00505B0D" w:rsidRDefault="00363CC2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Protocol for prospective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randomised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assessor-blinded pilot study comparing hyperbaric oxygen therapy with</w:t>
            </w:r>
            <w:r w:rsidR="009327FD"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PENtoxifylline+TOcopherol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±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CLOdronate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for the management of early osteoradionecrosis of the mandible</w:t>
            </w:r>
          </w:p>
        </w:tc>
        <w:tc>
          <w:tcPr>
            <w:tcW w:w="2926" w:type="dxa"/>
            <w:shd w:val="clear" w:color="auto" w:fill="F2F2F2" w:themeFill="background1" w:themeFillShade="F2"/>
            <w:vAlign w:val="center"/>
            <w:hideMark/>
          </w:tcPr>
          <w:p w14:paraId="41C42E75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Outcome</w:t>
            </w:r>
          </w:p>
        </w:tc>
        <w:tc>
          <w:tcPr>
            <w:tcW w:w="3452" w:type="dxa"/>
            <w:shd w:val="clear" w:color="auto" w:fill="F2F2F2" w:themeFill="background1" w:themeFillShade="F2"/>
            <w:vAlign w:val="center"/>
            <w:hideMark/>
          </w:tcPr>
          <w:p w14:paraId="1E370829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https://www.proquest.com/docview/2187743175?accountid=8113&amp;sourcetype=Scholarly%20Journals</w:t>
            </w:r>
          </w:p>
        </w:tc>
      </w:tr>
      <w:tr w:rsidR="009327FD" w:rsidRPr="00505B0D" w14:paraId="43BE6D3C" w14:textId="77777777" w:rsidTr="00E34910">
        <w:trPr>
          <w:trHeight w:val="1849"/>
        </w:trPr>
        <w:tc>
          <w:tcPr>
            <w:tcW w:w="2977" w:type="dxa"/>
            <w:shd w:val="clear" w:color="auto" w:fill="auto"/>
            <w:vAlign w:val="center"/>
            <w:hideMark/>
          </w:tcPr>
          <w:p w14:paraId="124E4996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Colapinto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et al.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, 2023</w:t>
            </w:r>
          </w:p>
        </w:tc>
        <w:tc>
          <w:tcPr>
            <w:tcW w:w="3450" w:type="dxa"/>
            <w:shd w:val="clear" w:color="auto" w:fill="auto"/>
            <w:vAlign w:val="center"/>
            <w:hideMark/>
          </w:tcPr>
          <w:p w14:paraId="6069C985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Grey Literature</w:t>
            </w:r>
          </w:p>
        </w:tc>
        <w:tc>
          <w:tcPr>
            <w:tcW w:w="3354" w:type="dxa"/>
            <w:shd w:val="clear" w:color="auto" w:fill="auto"/>
            <w:vAlign w:val="center"/>
            <w:hideMark/>
          </w:tcPr>
          <w:p w14:paraId="5564DED6" w14:textId="77777777" w:rsidR="00363CC2" w:rsidRPr="00505B0D" w:rsidRDefault="00363CC2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Outcomes of a Pharmacological Protocol with Pentoxifylline and Tocopherol for the Management of Medication-Related Osteonecrosis of the Jaws (MRONJ): A Randomized Study on 202 Osteoporosis Patients</w:t>
            </w:r>
          </w:p>
        </w:tc>
        <w:tc>
          <w:tcPr>
            <w:tcW w:w="2926" w:type="dxa"/>
            <w:shd w:val="clear" w:color="auto" w:fill="auto"/>
            <w:vAlign w:val="center"/>
            <w:hideMark/>
          </w:tcPr>
          <w:p w14:paraId="19C5AAAF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Outcome</w:t>
            </w:r>
          </w:p>
        </w:tc>
        <w:tc>
          <w:tcPr>
            <w:tcW w:w="3452" w:type="dxa"/>
            <w:shd w:val="clear" w:color="auto" w:fill="auto"/>
            <w:vAlign w:val="center"/>
            <w:hideMark/>
          </w:tcPr>
          <w:p w14:paraId="4F31C77A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https://doi.org/10.3390/jcm12144662</w:t>
            </w:r>
          </w:p>
        </w:tc>
      </w:tr>
      <w:tr w:rsidR="009327FD" w:rsidRPr="00505B0D" w14:paraId="661761CF" w14:textId="77777777" w:rsidTr="00E34910">
        <w:trPr>
          <w:trHeight w:val="1832"/>
        </w:trPr>
        <w:tc>
          <w:tcPr>
            <w:tcW w:w="2977" w:type="dxa"/>
            <w:shd w:val="clear" w:color="auto" w:fill="F2F2F2" w:themeFill="background1" w:themeFillShade="F2"/>
            <w:vAlign w:val="center"/>
            <w:hideMark/>
          </w:tcPr>
          <w:p w14:paraId="7B716F6F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Farajollah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et al., 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2024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  <w:hideMark/>
          </w:tcPr>
          <w:p w14:paraId="49CCF0F5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Grey Literature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center"/>
            <w:hideMark/>
          </w:tcPr>
          <w:p w14:paraId="5644B5C1" w14:textId="77777777" w:rsidR="00363CC2" w:rsidRPr="00505B0D" w:rsidRDefault="00363CC2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The Impact </w:t>
            </w:r>
            <w:proofErr w:type="gram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Of</w:t>
            </w:r>
            <w:proofErr w:type="gram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Purine Derivatives Therapy For Patients With Medication-Related Osteonecrosis Of The Jaw: Preliminary Results From A Pilot Study – The Sequel</w:t>
            </w:r>
          </w:p>
        </w:tc>
        <w:tc>
          <w:tcPr>
            <w:tcW w:w="2926" w:type="dxa"/>
            <w:shd w:val="clear" w:color="auto" w:fill="F2F2F2" w:themeFill="background1" w:themeFillShade="F2"/>
            <w:vAlign w:val="center"/>
            <w:hideMark/>
          </w:tcPr>
          <w:p w14:paraId="24FD8348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Outcome</w:t>
            </w:r>
          </w:p>
        </w:tc>
        <w:tc>
          <w:tcPr>
            <w:tcW w:w="3452" w:type="dxa"/>
            <w:shd w:val="clear" w:color="auto" w:fill="F2F2F2" w:themeFill="background1" w:themeFillShade="F2"/>
            <w:vAlign w:val="center"/>
            <w:hideMark/>
          </w:tcPr>
          <w:p w14:paraId="2CA236A7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https://rjor.ro/the-impact-of-purine-derivatives-therapy-for-patients-with-medication-related-osteonecrosis-of-the-jaw-preliminary-results-from-a-pilot-study-the-sequel/</w:t>
            </w:r>
          </w:p>
        </w:tc>
      </w:tr>
      <w:tr w:rsidR="009327FD" w:rsidRPr="00505B0D" w14:paraId="686687C8" w14:textId="77777777" w:rsidTr="00E34910">
        <w:trPr>
          <w:trHeight w:val="1561"/>
        </w:trPr>
        <w:tc>
          <w:tcPr>
            <w:tcW w:w="2977" w:type="dxa"/>
            <w:shd w:val="clear" w:color="auto" w:fill="auto"/>
            <w:vAlign w:val="center"/>
            <w:hideMark/>
          </w:tcPr>
          <w:p w14:paraId="2A10246F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Feitosa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et al.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, 2022</w:t>
            </w:r>
          </w:p>
        </w:tc>
        <w:tc>
          <w:tcPr>
            <w:tcW w:w="3450" w:type="dxa"/>
            <w:shd w:val="clear" w:color="auto" w:fill="auto"/>
            <w:vAlign w:val="center"/>
            <w:hideMark/>
          </w:tcPr>
          <w:p w14:paraId="48526ED2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Grey Literature</w:t>
            </w:r>
          </w:p>
        </w:tc>
        <w:tc>
          <w:tcPr>
            <w:tcW w:w="3354" w:type="dxa"/>
            <w:shd w:val="clear" w:color="auto" w:fill="auto"/>
            <w:vAlign w:val="center"/>
            <w:hideMark/>
          </w:tcPr>
          <w:p w14:paraId="1D72467B" w14:textId="77777777" w:rsidR="00363CC2" w:rsidRPr="00505B0D" w:rsidRDefault="00363CC2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Prevention Of Osteoradionecrosis </w:t>
            </w:r>
            <w:proofErr w:type="gram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Of</w:t>
            </w:r>
            <w:proofErr w:type="gram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The Jaws With The Combination Of Pentoxifylline And Tocopherol</w:t>
            </w:r>
          </w:p>
        </w:tc>
        <w:tc>
          <w:tcPr>
            <w:tcW w:w="2926" w:type="dxa"/>
            <w:shd w:val="clear" w:color="auto" w:fill="auto"/>
            <w:vAlign w:val="center"/>
            <w:hideMark/>
          </w:tcPr>
          <w:p w14:paraId="4406AE81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Publication Type</w:t>
            </w:r>
          </w:p>
        </w:tc>
        <w:tc>
          <w:tcPr>
            <w:tcW w:w="3452" w:type="dxa"/>
            <w:shd w:val="clear" w:color="auto" w:fill="auto"/>
            <w:vAlign w:val="center"/>
            <w:hideMark/>
          </w:tcPr>
          <w:p w14:paraId="4F617230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https://www.sciencedirect.com/science/article/pii/S2212440322007349</w:t>
            </w:r>
          </w:p>
        </w:tc>
      </w:tr>
      <w:tr w:rsidR="009327FD" w:rsidRPr="00505B0D" w14:paraId="60069267" w14:textId="77777777" w:rsidTr="00E34910">
        <w:trPr>
          <w:trHeight w:val="2412"/>
        </w:trPr>
        <w:tc>
          <w:tcPr>
            <w:tcW w:w="2977" w:type="dxa"/>
            <w:shd w:val="clear" w:color="auto" w:fill="F2F2F2" w:themeFill="background1" w:themeFillShade="F2"/>
            <w:vAlign w:val="center"/>
            <w:hideMark/>
          </w:tcPr>
          <w:p w14:paraId="4073F686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Patel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et al.,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2021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  <w:hideMark/>
          </w:tcPr>
          <w:p w14:paraId="3BC5379D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Grey Literature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center"/>
            <w:hideMark/>
          </w:tcPr>
          <w:p w14:paraId="17F36013" w14:textId="77777777" w:rsidR="00363CC2" w:rsidRPr="00505B0D" w:rsidRDefault="00363CC2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The use of pentoxifylline, tocopherol and clodronate in the management of osteoradionecrosis of the jaws</w:t>
            </w:r>
          </w:p>
        </w:tc>
        <w:tc>
          <w:tcPr>
            <w:tcW w:w="2926" w:type="dxa"/>
            <w:shd w:val="clear" w:color="auto" w:fill="F2F2F2" w:themeFill="background1" w:themeFillShade="F2"/>
            <w:vAlign w:val="center"/>
            <w:hideMark/>
          </w:tcPr>
          <w:p w14:paraId="6EB96ACD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Outcome</w:t>
            </w:r>
          </w:p>
        </w:tc>
        <w:tc>
          <w:tcPr>
            <w:tcW w:w="3452" w:type="dxa"/>
            <w:shd w:val="clear" w:color="auto" w:fill="F2F2F2" w:themeFill="background1" w:themeFillShade="F2"/>
            <w:vAlign w:val="center"/>
            <w:hideMark/>
          </w:tcPr>
          <w:p w14:paraId="5A4339A0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https://www.thegreenjournal.com/article/S0167-8140(20)31253-6/fulltext</w:t>
            </w:r>
          </w:p>
        </w:tc>
      </w:tr>
      <w:tr w:rsidR="009327FD" w:rsidRPr="00505B0D" w14:paraId="6F94FC07" w14:textId="77777777" w:rsidTr="00E34910">
        <w:trPr>
          <w:trHeight w:val="1269"/>
        </w:trPr>
        <w:tc>
          <w:tcPr>
            <w:tcW w:w="2977" w:type="dxa"/>
            <w:shd w:val="clear" w:color="auto" w:fill="auto"/>
            <w:vAlign w:val="center"/>
            <w:hideMark/>
          </w:tcPr>
          <w:p w14:paraId="772B6D1B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Słowik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al.,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2025</w:t>
            </w:r>
          </w:p>
        </w:tc>
        <w:tc>
          <w:tcPr>
            <w:tcW w:w="3450" w:type="dxa"/>
            <w:shd w:val="clear" w:color="auto" w:fill="auto"/>
            <w:vAlign w:val="center"/>
            <w:hideMark/>
          </w:tcPr>
          <w:p w14:paraId="58059008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Grey Literature</w:t>
            </w:r>
          </w:p>
        </w:tc>
        <w:tc>
          <w:tcPr>
            <w:tcW w:w="3354" w:type="dxa"/>
            <w:shd w:val="clear" w:color="auto" w:fill="auto"/>
            <w:vAlign w:val="center"/>
            <w:hideMark/>
          </w:tcPr>
          <w:p w14:paraId="68735A0C" w14:textId="77777777" w:rsidR="00363CC2" w:rsidRPr="00505B0D" w:rsidRDefault="00363CC2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Pharmacological Treatment of Medication-Related Osteonecrosis of the Jaw (MRONJ) with Pentoxifylline and Tocopherol</w:t>
            </w:r>
          </w:p>
        </w:tc>
        <w:tc>
          <w:tcPr>
            <w:tcW w:w="2926" w:type="dxa"/>
            <w:shd w:val="clear" w:color="auto" w:fill="auto"/>
            <w:vAlign w:val="center"/>
            <w:hideMark/>
          </w:tcPr>
          <w:p w14:paraId="2C5261B7" w14:textId="77777777" w:rsidR="00363CC2" w:rsidRPr="00505B0D" w:rsidRDefault="00363CC2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Outcome</w:t>
            </w:r>
          </w:p>
        </w:tc>
        <w:tc>
          <w:tcPr>
            <w:tcW w:w="3452" w:type="dxa"/>
            <w:shd w:val="clear" w:color="auto" w:fill="auto"/>
            <w:vAlign w:val="center"/>
            <w:hideMark/>
          </w:tcPr>
          <w:p w14:paraId="6F7B7DC6" w14:textId="77777777" w:rsidR="00363CC2" w:rsidRPr="00505B0D" w:rsidRDefault="00000000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</w:pPr>
            <w:hyperlink r:id="rId8" w:tgtFrame="_blank" w:history="1">
              <w:r w:rsidR="00363CC2" w:rsidRPr="00505B0D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0"/>
                  <w:szCs w:val="20"/>
                  <w:lang w:eastAsia="pt-BR"/>
                  <w14:ligatures w14:val="none"/>
                </w:rPr>
                <w:t>https://doi.org/10.3390/jcm14030974</w:t>
              </w:r>
            </w:hyperlink>
          </w:p>
        </w:tc>
      </w:tr>
      <w:tr w:rsidR="00935665" w:rsidRPr="00505B0D" w14:paraId="6F2A7245" w14:textId="77777777" w:rsidTr="00E34910">
        <w:trPr>
          <w:trHeight w:val="1839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710516C1" w14:textId="75D2D9D6" w:rsidR="00935665" w:rsidRPr="00505B0D" w:rsidRDefault="00D96AD3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Delanian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2005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</w:tcPr>
          <w:p w14:paraId="6B46EF42" w14:textId="30D0C1CD" w:rsidR="00935665" w:rsidRPr="00505B0D" w:rsidRDefault="0045511F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bottom"/>
          </w:tcPr>
          <w:p w14:paraId="62FA0EA6" w14:textId="77777777" w:rsidR="004248EA" w:rsidRPr="004248EA" w:rsidRDefault="004248EA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" w:eastAsia="pt-BR"/>
                <w14:ligatures w14:val="none"/>
              </w:rPr>
            </w:pPr>
            <w:r w:rsidRPr="004248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" w:eastAsia="pt-BR"/>
                <w14:ligatures w14:val="none"/>
              </w:rPr>
              <w:t>Major healing of refractory mandible osteoradionecrosis after treatment combining pentoxifylline and tocopherol: A phase II trial</w:t>
            </w:r>
            <w:hyperlink r:id="rId9" w:anchor="fn1" w:history="1">
              <w:r w:rsidRPr="004248EA">
                <w:rPr>
                  <w:rStyle w:val="Hyperlink"/>
                  <w:rFonts w:ascii="Times New Roman" w:eastAsia="Times New Roman" w:hAnsi="Times New Roman" w:cs="Times New Roman"/>
                  <w:kern w:val="0"/>
                  <w:sz w:val="20"/>
                  <w:szCs w:val="20"/>
                  <w:vertAlign w:val="superscript"/>
                  <w:lang w:val="en" w:eastAsia="pt-BR"/>
                  <w14:ligatures w14:val="none"/>
                </w:rPr>
                <w:t>†</w:t>
              </w:r>
            </w:hyperlink>
          </w:p>
          <w:p w14:paraId="434127EE" w14:textId="77777777" w:rsidR="00935665" w:rsidRPr="00505B0D" w:rsidRDefault="00935665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" w:eastAsia="pt-BR"/>
                <w14:ligatures w14:val="none"/>
              </w:rPr>
            </w:pPr>
          </w:p>
          <w:p w14:paraId="1B55AEA4" w14:textId="77777777" w:rsidR="004248EA" w:rsidRPr="00505B0D" w:rsidRDefault="004248EA" w:rsidP="00E3491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" w:eastAsia="pt-BR"/>
              </w:rPr>
            </w:pPr>
          </w:p>
        </w:tc>
        <w:tc>
          <w:tcPr>
            <w:tcW w:w="2926" w:type="dxa"/>
            <w:shd w:val="clear" w:color="auto" w:fill="F2F2F2" w:themeFill="background1" w:themeFillShade="F2"/>
            <w:vAlign w:val="center"/>
          </w:tcPr>
          <w:p w14:paraId="41198033" w14:textId="32E0BDD7" w:rsidR="00935665" w:rsidRPr="00505B0D" w:rsidRDefault="00B20CC5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Outcome</w:t>
            </w:r>
          </w:p>
        </w:tc>
        <w:tc>
          <w:tcPr>
            <w:tcW w:w="3452" w:type="dxa"/>
            <w:shd w:val="clear" w:color="auto" w:fill="F2F2F2" w:themeFill="background1" w:themeFillShade="F2"/>
            <w:vAlign w:val="center"/>
          </w:tcPr>
          <w:p w14:paraId="0A580E54" w14:textId="39FEB025" w:rsidR="00935665" w:rsidRPr="00505B0D" w:rsidRDefault="00D96AD3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https://doi.org/10.1002/hed.20121</w:t>
            </w:r>
          </w:p>
        </w:tc>
      </w:tr>
      <w:tr w:rsidR="0045511F" w:rsidRPr="00505B0D" w14:paraId="1CF96098" w14:textId="77777777" w:rsidTr="00E34910">
        <w:trPr>
          <w:trHeight w:val="1709"/>
        </w:trPr>
        <w:tc>
          <w:tcPr>
            <w:tcW w:w="2977" w:type="dxa"/>
            <w:shd w:val="clear" w:color="auto" w:fill="auto"/>
            <w:vAlign w:val="center"/>
          </w:tcPr>
          <w:p w14:paraId="4C8577B2" w14:textId="32F6D934" w:rsidR="0045511F" w:rsidRPr="00505B0D" w:rsidRDefault="00D96AD3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D’Souza 2014</w:t>
            </w:r>
          </w:p>
        </w:tc>
        <w:tc>
          <w:tcPr>
            <w:tcW w:w="3450" w:type="dxa"/>
            <w:shd w:val="clear" w:color="auto" w:fill="auto"/>
            <w:vAlign w:val="center"/>
          </w:tcPr>
          <w:p w14:paraId="374DCBC5" w14:textId="21E88FFE" w:rsidR="0045511F" w:rsidRPr="00505B0D" w:rsidRDefault="0045511F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6991C187" w14:textId="77777777" w:rsidR="004248EA" w:rsidRPr="004248EA" w:rsidRDefault="004248EA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4248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Changing trends and the role of medical management on the outcome of patients treated for osteoradionecrosis of the mandible: experience from a regional head and neck unit</w:t>
            </w:r>
          </w:p>
          <w:p w14:paraId="3E8F1D48" w14:textId="77777777" w:rsidR="0045511F" w:rsidRPr="00505B0D" w:rsidRDefault="0045511F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14:paraId="13632F65" w14:textId="5AB4AFC7" w:rsidR="0045511F" w:rsidRPr="00505B0D" w:rsidRDefault="00E34910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Outcome</w:t>
            </w:r>
          </w:p>
        </w:tc>
        <w:tc>
          <w:tcPr>
            <w:tcW w:w="3452" w:type="dxa"/>
            <w:shd w:val="clear" w:color="auto" w:fill="auto"/>
            <w:vAlign w:val="center"/>
          </w:tcPr>
          <w:p w14:paraId="5F1E002B" w14:textId="1F4D19B7" w:rsidR="0045511F" w:rsidRPr="00505B0D" w:rsidRDefault="00D96AD3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https://doi.org/10.1016/j.bjoms.2014.01.003</w:t>
            </w:r>
          </w:p>
        </w:tc>
      </w:tr>
      <w:tr w:rsidR="0045511F" w:rsidRPr="00505B0D" w14:paraId="3DF66E05" w14:textId="77777777" w:rsidTr="00E34910">
        <w:trPr>
          <w:trHeight w:val="1833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31F6B53F" w14:textId="19E4C745" w:rsidR="0045511F" w:rsidRPr="00505B0D" w:rsidRDefault="00D96AD3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Patel 2015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</w:tcPr>
          <w:p w14:paraId="6094044E" w14:textId="162577A6" w:rsidR="0045511F" w:rsidRPr="00505B0D" w:rsidRDefault="0045511F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bottom"/>
          </w:tcPr>
          <w:p w14:paraId="212E3AB2" w14:textId="77777777" w:rsidR="0045511F" w:rsidRPr="00505B0D" w:rsidRDefault="0045511F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  <w:p w14:paraId="55D2DA10" w14:textId="77777777" w:rsidR="002B00BD" w:rsidRPr="002B00BD" w:rsidRDefault="002B00BD" w:rsidP="00E3491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00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The Prophylactic Use of Pentoxifylline and Tocopherol to Avoid Osteoradionecrosis for Dental Implant Placement in Irradiated Head and Neck Cancer Patients</w:t>
            </w:r>
          </w:p>
          <w:p w14:paraId="29761D0C" w14:textId="77777777" w:rsidR="002B00BD" w:rsidRPr="00505B0D" w:rsidRDefault="002B00BD" w:rsidP="00E3491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926" w:type="dxa"/>
            <w:shd w:val="clear" w:color="auto" w:fill="F2F2F2" w:themeFill="background1" w:themeFillShade="F2"/>
            <w:vAlign w:val="center"/>
          </w:tcPr>
          <w:p w14:paraId="334520BD" w14:textId="1E4926DF" w:rsidR="0045511F" w:rsidRPr="00505B0D" w:rsidRDefault="00E34910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Publication Type</w:t>
            </w:r>
          </w:p>
        </w:tc>
        <w:tc>
          <w:tcPr>
            <w:tcW w:w="3452" w:type="dxa"/>
            <w:shd w:val="clear" w:color="auto" w:fill="F2F2F2" w:themeFill="background1" w:themeFillShade="F2"/>
            <w:vAlign w:val="center"/>
          </w:tcPr>
          <w:p w14:paraId="7E05C228" w14:textId="7D5E0C66" w:rsidR="0045511F" w:rsidRPr="00505B0D" w:rsidRDefault="00D96AD3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https://doi.org/10.1016/j.joms.2015.06.049</w:t>
            </w:r>
          </w:p>
        </w:tc>
      </w:tr>
      <w:tr w:rsidR="0045511F" w:rsidRPr="00505B0D" w14:paraId="44123C85" w14:textId="77777777" w:rsidTr="00E34910">
        <w:trPr>
          <w:trHeight w:val="2424"/>
        </w:trPr>
        <w:tc>
          <w:tcPr>
            <w:tcW w:w="2977" w:type="dxa"/>
            <w:shd w:val="clear" w:color="auto" w:fill="auto"/>
            <w:vAlign w:val="center"/>
          </w:tcPr>
          <w:p w14:paraId="31E78877" w14:textId="749354E6" w:rsidR="0045511F" w:rsidRPr="00505B0D" w:rsidRDefault="00D96AD3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Kulkarni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2015</w:t>
            </w:r>
          </w:p>
        </w:tc>
        <w:tc>
          <w:tcPr>
            <w:tcW w:w="3450" w:type="dxa"/>
            <w:shd w:val="clear" w:color="auto" w:fill="auto"/>
            <w:vAlign w:val="center"/>
          </w:tcPr>
          <w:p w14:paraId="1A6AFE1F" w14:textId="24C40BF3" w:rsidR="0045511F" w:rsidRPr="00505B0D" w:rsidRDefault="0045511F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592B849C" w14:textId="77777777" w:rsidR="002B00BD" w:rsidRPr="002B00BD" w:rsidRDefault="002B00BD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The role of Pentoxifylline–Tocopherol–Clodronate (PENTOCLO) in osteoradionecrosis (ORN) of the mandible</w:t>
            </w:r>
          </w:p>
          <w:p w14:paraId="15A3AA48" w14:textId="77777777" w:rsidR="0045511F" w:rsidRPr="00505B0D" w:rsidRDefault="0045511F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14:paraId="42C8366A" w14:textId="754073EE" w:rsidR="0045511F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Publication Type</w:t>
            </w:r>
          </w:p>
        </w:tc>
        <w:tc>
          <w:tcPr>
            <w:tcW w:w="3452" w:type="dxa"/>
            <w:shd w:val="clear" w:color="auto" w:fill="auto"/>
            <w:vAlign w:val="center"/>
          </w:tcPr>
          <w:p w14:paraId="15DC6B6F" w14:textId="3498A8EE" w:rsidR="0045511F" w:rsidRPr="00505B0D" w:rsidRDefault="00D96AD3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https://doi.org/10.1016/j.bjoms.2015.08.078</w:t>
            </w:r>
          </w:p>
        </w:tc>
      </w:tr>
      <w:tr w:rsidR="0045511F" w:rsidRPr="00505B0D" w14:paraId="5AA17A10" w14:textId="77777777" w:rsidTr="00E34910">
        <w:trPr>
          <w:trHeight w:val="2424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AA880D4" w14:textId="0FC7BC14" w:rsidR="0045511F" w:rsidRPr="00505B0D" w:rsidRDefault="00D96AD3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Patel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2016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</w:tcPr>
          <w:p w14:paraId="7D62F591" w14:textId="2DFE4EA6" w:rsidR="0045511F" w:rsidRPr="00505B0D" w:rsidRDefault="0045511F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center"/>
          </w:tcPr>
          <w:p w14:paraId="6236E6D5" w14:textId="77777777" w:rsidR="002B00BD" w:rsidRPr="002B00BD" w:rsidRDefault="002B00BD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Use of pentoxifylline and tocopherol in the management of osteoradionecrosis</w:t>
            </w:r>
          </w:p>
          <w:p w14:paraId="5873B07D" w14:textId="77777777" w:rsidR="0045511F" w:rsidRPr="00505B0D" w:rsidRDefault="0045511F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F2F2F2" w:themeFill="background1" w:themeFillShade="F2"/>
            <w:vAlign w:val="center"/>
          </w:tcPr>
          <w:p w14:paraId="69468C24" w14:textId="7DDA499B" w:rsidR="0045511F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Outcome</w:t>
            </w:r>
          </w:p>
        </w:tc>
        <w:tc>
          <w:tcPr>
            <w:tcW w:w="3452" w:type="dxa"/>
            <w:shd w:val="clear" w:color="auto" w:fill="F2F2F2" w:themeFill="background1" w:themeFillShade="F2"/>
            <w:vAlign w:val="center"/>
          </w:tcPr>
          <w:p w14:paraId="527B2E06" w14:textId="491E1B57" w:rsidR="0045511F" w:rsidRPr="00505B0D" w:rsidRDefault="00BC7578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https://doi.org/10.1016/j.bjoms.2015.11.027</w:t>
            </w:r>
          </w:p>
        </w:tc>
      </w:tr>
      <w:tr w:rsidR="00BC7578" w:rsidRPr="00505B0D" w14:paraId="7BC73704" w14:textId="77777777" w:rsidTr="00E34910">
        <w:trPr>
          <w:trHeight w:val="1685"/>
        </w:trPr>
        <w:tc>
          <w:tcPr>
            <w:tcW w:w="2977" w:type="dxa"/>
            <w:shd w:val="clear" w:color="auto" w:fill="auto"/>
            <w:vAlign w:val="center"/>
          </w:tcPr>
          <w:p w14:paraId="7FD4A880" w14:textId="335F3C9A" w:rsidR="00BC7578" w:rsidRPr="00505B0D" w:rsidRDefault="00BC7578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Ghazali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2016</w:t>
            </w:r>
          </w:p>
        </w:tc>
        <w:tc>
          <w:tcPr>
            <w:tcW w:w="3450" w:type="dxa"/>
            <w:shd w:val="clear" w:color="auto" w:fill="auto"/>
            <w:vAlign w:val="center"/>
          </w:tcPr>
          <w:p w14:paraId="1C513DE6" w14:textId="17E313F6" w:rsidR="00BC7578" w:rsidRPr="00505B0D" w:rsidRDefault="00BC7578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553B27F3" w14:textId="77777777" w:rsidR="002B00BD" w:rsidRPr="002B00BD" w:rsidRDefault="002B00BD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Evaluating Outcomes of Combination Pentoxifylline and Tocopherol in Preventing </w:t>
            </w:r>
            <w:proofErr w:type="spellStart"/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Osteradionecrosis</w:t>
            </w:r>
            <w:proofErr w:type="spellEnd"/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of the Jaws</w:t>
            </w:r>
          </w:p>
          <w:p w14:paraId="73C05CB8" w14:textId="77777777" w:rsidR="00BC7578" w:rsidRPr="00505B0D" w:rsidRDefault="00BC7578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14:paraId="35B1F994" w14:textId="06BC610F" w:rsidR="00BC7578" w:rsidRPr="00505B0D" w:rsidRDefault="00B20CC5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Publication Type</w:t>
            </w:r>
          </w:p>
        </w:tc>
        <w:tc>
          <w:tcPr>
            <w:tcW w:w="3452" w:type="dxa"/>
            <w:shd w:val="clear" w:color="auto" w:fill="auto"/>
            <w:vAlign w:val="center"/>
          </w:tcPr>
          <w:p w14:paraId="07C06AA0" w14:textId="16AEAA5E" w:rsidR="00BC7578" w:rsidRPr="00505B0D" w:rsidRDefault="00BC7578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https://doi.org/10.1016/j.joms.2016.06.072</w:t>
            </w:r>
          </w:p>
        </w:tc>
      </w:tr>
      <w:tr w:rsidR="003E4474" w:rsidRPr="00505B0D" w14:paraId="2B9CF4F3" w14:textId="77777777" w:rsidTr="00E34910">
        <w:trPr>
          <w:trHeight w:val="1663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4968BD1" w14:textId="0B0AEE80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Martos-Fernandez, 2016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</w:tcPr>
          <w:p w14:paraId="3E7E920A" w14:textId="493C25D4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center"/>
          </w:tcPr>
          <w:p w14:paraId="56C333BE" w14:textId="77777777" w:rsidR="003E4474" w:rsidRPr="002B00B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Management of Mandibular ORN: PENTO as Medical Treatment (PENTO)</w:t>
            </w:r>
          </w:p>
          <w:p w14:paraId="18B55D8E" w14:textId="77777777" w:rsidR="003E4474" w:rsidRPr="00505B0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F2F2F2" w:themeFill="background1" w:themeFillShade="F2"/>
            <w:vAlign w:val="center"/>
          </w:tcPr>
          <w:p w14:paraId="00D2D4DA" w14:textId="6E8640BE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Insufficient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data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available</w:t>
            </w:r>
            <w:proofErr w:type="spellEnd"/>
          </w:p>
        </w:tc>
        <w:tc>
          <w:tcPr>
            <w:tcW w:w="3452" w:type="dxa"/>
            <w:shd w:val="clear" w:color="auto" w:fill="F2F2F2" w:themeFill="background1" w:themeFillShade="F2"/>
            <w:vAlign w:val="center"/>
          </w:tcPr>
          <w:p w14:paraId="333C4E84" w14:textId="104B79DA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https://clinicaltrials.gov/study/NCT02368457</w:t>
            </w:r>
          </w:p>
        </w:tc>
      </w:tr>
      <w:tr w:rsidR="00BC7578" w:rsidRPr="00505B0D" w14:paraId="5DD5EB70" w14:textId="77777777" w:rsidTr="00E34910">
        <w:trPr>
          <w:trHeight w:val="1733"/>
        </w:trPr>
        <w:tc>
          <w:tcPr>
            <w:tcW w:w="2977" w:type="dxa"/>
            <w:shd w:val="clear" w:color="auto" w:fill="auto"/>
            <w:vAlign w:val="center"/>
          </w:tcPr>
          <w:p w14:paraId="3F6DC8D6" w14:textId="680E19BA" w:rsidR="00BC7578" w:rsidRPr="00505B0D" w:rsidRDefault="00BC7578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Owosho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2016</w:t>
            </w:r>
          </w:p>
        </w:tc>
        <w:tc>
          <w:tcPr>
            <w:tcW w:w="3450" w:type="dxa"/>
            <w:shd w:val="clear" w:color="auto" w:fill="auto"/>
            <w:vAlign w:val="center"/>
          </w:tcPr>
          <w:p w14:paraId="71BE7E90" w14:textId="0DFB98E8" w:rsidR="00BC7578" w:rsidRPr="00505B0D" w:rsidRDefault="00BC7578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33654FB4" w14:textId="77777777" w:rsidR="002B00BD" w:rsidRPr="002B00BD" w:rsidRDefault="002B00BD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Pentoxifylline and tocopherol in the management of cancer patients with medication-related osteonecrosis of the jaw: an observational retrospective study of initial case series</w:t>
            </w:r>
          </w:p>
          <w:p w14:paraId="340A411D" w14:textId="77777777" w:rsidR="00BC7578" w:rsidRPr="00505B0D" w:rsidRDefault="00BC7578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14:paraId="0870D778" w14:textId="0ECE210F" w:rsidR="00BC7578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publication type</w:t>
            </w:r>
          </w:p>
        </w:tc>
        <w:tc>
          <w:tcPr>
            <w:tcW w:w="3452" w:type="dxa"/>
            <w:shd w:val="clear" w:color="auto" w:fill="auto"/>
            <w:vAlign w:val="center"/>
          </w:tcPr>
          <w:p w14:paraId="6C06D994" w14:textId="04486C8A" w:rsidR="00BC7578" w:rsidRPr="00505B0D" w:rsidRDefault="00BC7578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https://doi.org/10.1016/j.oooo.2016.06.019</w:t>
            </w:r>
          </w:p>
        </w:tc>
      </w:tr>
      <w:tr w:rsidR="003E4474" w:rsidRPr="00505B0D" w14:paraId="33ED64DF" w14:textId="77777777" w:rsidTr="00E34910">
        <w:trPr>
          <w:trHeight w:val="2424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72B61E72" w14:textId="35233147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Dillon, 2017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</w:tcPr>
          <w:p w14:paraId="4FBAF7CB" w14:textId="481DAFFD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center"/>
          </w:tcPr>
          <w:p w14:paraId="19765EAB" w14:textId="77777777" w:rsidR="003E4474" w:rsidRPr="002B00B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Pentoxifylline and Tocopherol (PENTO) in the Treatment of Medication-related Osteonecrosis of the Jaw (MRONJ)</w:t>
            </w:r>
          </w:p>
          <w:p w14:paraId="52C114AA" w14:textId="77777777" w:rsidR="003E4474" w:rsidRPr="00505B0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F2F2F2" w:themeFill="background1" w:themeFillShade="F2"/>
            <w:vAlign w:val="center"/>
          </w:tcPr>
          <w:p w14:paraId="5442A981" w14:textId="1CC75F08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Insufficient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data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available</w:t>
            </w:r>
            <w:proofErr w:type="spellEnd"/>
          </w:p>
        </w:tc>
        <w:tc>
          <w:tcPr>
            <w:tcW w:w="3452" w:type="dxa"/>
            <w:shd w:val="clear" w:color="auto" w:fill="F2F2F2" w:themeFill="background1" w:themeFillShade="F2"/>
            <w:vAlign w:val="center"/>
          </w:tcPr>
          <w:p w14:paraId="1C6D9B59" w14:textId="08C09A52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https://clinicaltrials.gov/study/NCT03040778</w:t>
            </w:r>
          </w:p>
        </w:tc>
      </w:tr>
      <w:tr w:rsidR="003E4474" w:rsidRPr="00505B0D" w14:paraId="04072739" w14:textId="77777777" w:rsidTr="00E34910">
        <w:trPr>
          <w:trHeight w:val="1553"/>
        </w:trPr>
        <w:tc>
          <w:tcPr>
            <w:tcW w:w="2977" w:type="dxa"/>
            <w:shd w:val="clear" w:color="auto" w:fill="auto"/>
            <w:vAlign w:val="center"/>
          </w:tcPr>
          <w:p w14:paraId="35439A0D" w14:textId="2F1C6948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Bulsara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2018</w:t>
            </w:r>
          </w:p>
        </w:tc>
        <w:tc>
          <w:tcPr>
            <w:tcW w:w="3450" w:type="dxa"/>
            <w:shd w:val="clear" w:color="auto" w:fill="auto"/>
            <w:vAlign w:val="center"/>
          </w:tcPr>
          <w:p w14:paraId="7D79B2CB" w14:textId="2949ED72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43DF759C" w14:textId="77777777" w:rsidR="003E4474" w:rsidRPr="002B00B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Protocol for prospective </w:t>
            </w:r>
            <w:proofErr w:type="spellStart"/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randomised</w:t>
            </w:r>
            <w:proofErr w:type="spellEnd"/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assessor-blinded pilot study comparing hyperbaric oxygen therapy with </w:t>
            </w:r>
            <w:proofErr w:type="spellStart"/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PENtoxifylline+TOcopherol</w:t>
            </w:r>
            <w:proofErr w:type="spellEnd"/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± </w:t>
            </w:r>
            <w:proofErr w:type="spellStart"/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CLOdronate</w:t>
            </w:r>
            <w:proofErr w:type="spellEnd"/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for the management of early osteoradionecrosis of the mandible</w:t>
            </w:r>
          </w:p>
          <w:p w14:paraId="6EAFC626" w14:textId="77777777" w:rsidR="003E4474" w:rsidRPr="002B00B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</w:t>
            </w:r>
          </w:p>
          <w:p w14:paraId="40CD204A" w14:textId="77777777" w:rsidR="003E4474" w:rsidRPr="00505B0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14:paraId="185C8B2E" w14:textId="74A2F0F9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Outcome</w:t>
            </w:r>
          </w:p>
        </w:tc>
        <w:tc>
          <w:tcPr>
            <w:tcW w:w="3452" w:type="dxa"/>
            <w:shd w:val="clear" w:color="auto" w:fill="auto"/>
            <w:vAlign w:val="center"/>
          </w:tcPr>
          <w:p w14:paraId="31542473" w14:textId="634720BA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https://doi.org/10.1136/bmjopen-2018-026662</w:t>
            </w:r>
          </w:p>
        </w:tc>
      </w:tr>
      <w:tr w:rsidR="003E4474" w:rsidRPr="00505B0D" w14:paraId="06D473BD" w14:textId="77777777" w:rsidTr="00E34910">
        <w:trPr>
          <w:trHeight w:val="1847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1786836" w14:textId="66D2B937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Patel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2019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</w:tcPr>
          <w:p w14:paraId="2342A36E" w14:textId="11928F8C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bottom"/>
          </w:tcPr>
          <w:p w14:paraId="0EF0B23F" w14:textId="77777777" w:rsidR="003E4474" w:rsidRPr="002B00B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A clinic feasibility study to assess whether the use of two combined medicines (pentoxifylline and tocopherol) can prevent radiotherapy-related changes of the mouth and face compared to the current standard of care in the head and neck cancer population</w:t>
            </w:r>
          </w:p>
          <w:p w14:paraId="4E847532" w14:textId="42F2D0C3" w:rsidR="003E4474" w:rsidRPr="00505B0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hyperlink r:id="rId10" w:tooltip="Export as PDF" w:history="1">
              <w:r w:rsidRPr="00505B0D">
                <w:rPr>
                  <w:rStyle w:val="Hyperlink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val="en-US" w:eastAsia="pt-BR"/>
                  <w14:ligatures w14:val="none"/>
                </w:rPr>
                <w:br/>
              </w:r>
            </w:hyperlink>
          </w:p>
        </w:tc>
        <w:tc>
          <w:tcPr>
            <w:tcW w:w="2926" w:type="dxa"/>
            <w:shd w:val="clear" w:color="auto" w:fill="F2F2F2" w:themeFill="background1" w:themeFillShade="F2"/>
            <w:vAlign w:val="center"/>
          </w:tcPr>
          <w:p w14:paraId="4A90EEE2" w14:textId="312EFE6E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Insufficient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data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available</w:t>
            </w:r>
            <w:proofErr w:type="spellEnd"/>
          </w:p>
        </w:tc>
        <w:tc>
          <w:tcPr>
            <w:tcW w:w="3452" w:type="dxa"/>
            <w:shd w:val="clear" w:color="auto" w:fill="F2F2F2" w:themeFill="background1" w:themeFillShade="F2"/>
            <w:vAlign w:val="center"/>
          </w:tcPr>
          <w:p w14:paraId="35292746" w14:textId="4A198FB1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https://doi.org/10.1186/ISRCTN74484952</w:t>
            </w:r>
          </w:p>
        </w:tc>
      </w:tr>
      <w:tr w:rsidR="003E4474" w:rsidRPr="00505B0D" w14:paraId="648B3304" w14:textId="77777777" w:rsidTr="00E34910">
        <w:trPr>
          <w:trHeight w:val="1621"/>
        </w:trPr>
        <w:tc>
          <w:tcPr>
            <w:tcW w:w="2977" w:type="dxa"/>
            <w:shd w:val="clear" w:color="auto" w:fill="auto"/>
            <w:vAlign w:val="center"/>
          </w:tcPr>
          <w:p w14:paraId="1F68BBD4" w14:textId="14F2F1F2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Patel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202</w:t>
            </w:r>
            <w:r w:rsidR="009A67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3450" w:type="dxa"/>
            <w:shd w:val="clear" w:color="auto" w:fill="auto"/>
            <w:vAlign w:val="center"/>
          </w:tcPr>
          <w:p w14:paraId="0FFA8744" w14:textId="568F2E2B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3EAD8DAF" w14:textId="77777777" w:rsidR="003E4474" w:rsidRPr="002B00B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The use of pentoxifylline, tocopherol and clodronate in the management of osteoradionecrosis of the jaws</w:t>
            </w:r>
          </w:p>
          <w:p w14:paraId="1923E79D" w14:textId="77777777" w:rsidR="003E4474" w:rsidRPr="00505B0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14:paraId="11793673" w14:textId="00F21213" w:rsidR="003E447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Outcome</w:t>
            </w:r>
          </w:p>
        </w:tc>
        <w:tc>
          <w:tcPr>
            <w:tcW w:w="3452" w:type="dxa"/>
            <w:shd w:val="clear" w:color="auto" w:fill="auto"/>
            <w:vAlign w:val="center"/>
          </w:tcPr>
          <w:p w14:paraId="722A8708" w14:textId="1EF72B50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https://doi.org/10.1016/j.radonc.2020.12.027</w:t>
            </w:r>
          </w:p>
        </w:tc>
      </w:tr>
      <w:tr w:rsidR="003E4474" w:rsidRPr="00505B0D" w14:paraId="54D60507" w14:textId="77777777" w:rsidTr="00E34910">
        <w:trPr>
          <w:trHeight w:val="1701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B311D0F" w14:textId="40641CD9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Rawcliffe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2022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</w:tcPr>
          <w:p w14:paraId="3634A4E9" w14:textId="5D896907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center"/>
          </w:tcPr>
          <w:p w14:paraId="2B87EE03" w14:textId="77777777" w:rsidR="003E4474" w:rsidRPr="002B00B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Clinical trial of the non-surgical management of radiotherapy damage to the lower jaw</w:t>
            </w:r>
          </w:p>
          <w:p w14:paraId="1CA75E08" w14:textId="18C2A69C" w:rsidR="003E4474" w:rsidRPr="00505B0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hyperlink r:id="rId11" w:tooltip="Export as PDF" w:history="1">
              <w:r w:rsidRPr="00505B0D">
                <w:rPr>
                  <w:rStyle w:val="Hyperlink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val="en-US" w:eastAsia="pt-BR"/>
                  <w14:ligatures w14:val="none"/>
                </w:rPr>
                <w:br/>
              </w:r>
            </w:hyperlink>
          </w:p>
        </w:tc>
        <w:tc>
          <w:tcPr>
            <w:tcW w:w="2926" w:type="dxa"/>
            <w:shd w:val="clear" w:color="auto" w:fill="F2F2F2" w:themeFill="background1" w:themeFillShade="F2"/>
            <w:vAlign w:val="center"/>
          </w:tcPr>
          <w:p w14:paraId="5BCF1526" w14:textId="6AF71D62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Insufficient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data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available</w:t>
            </w:r>
            <w:proofErr w:type="spellEnd"/>
          </w:p>
        </w:tc>
        <w:tc>
          <w:tcPr>
            <w:tcW w:w="3452" w:type="dxa"/>
            <w:shd w:val="clear" w:color="auto" w:fill="F2F2F2" w:themeFill="background1" w:themeFillShade="F2"/>
            <w:vAlign w:val="center"/>
          </w:tcPr>
          <w:p w14:paraId="326B2E25" w14:textId="2FEEBC4C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https://doi.org/10.1186/ISRCTN34217298</w:t>
            </w:r>
          </w:p>
        </w:tc>
      </w:tr>
      <w:tr w:rsidR="003E4474" w:rsidRPr="00505B0D" w14:paraId="2C3B4468" w14:textId="77777777" w:rsidTr="00E34910">
        <w:trPr>
          <w:trHeight w:val="2424"/>
        </w:trPr>
        <w:tc>
          <w:tcPr>
            <w:tcW w:w="2977" w:type="dxa"/>
            <w:shd w:val="clear" w:color="auto" w:fill="auto"/>
            <w:vAlign w:val="center"/>
          </w:tcPr>
          <w:p w14:paraId="318BB13D" w14:textId="4E4331B2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Lombardi, 2022</w:t>
            </w:r>
          </w:p>
        </w:tc>
        <w:tc>
          <w:tcPr>
            <w:tcW w:w="3450" w:type="dxa"/>
            <w:shd w:val="clear" w:color="auto" w:fill="auto"/>
            <w:vAlign w:val="center"/>
          </w:tcPr>
          <w:p w14:paraId="571B46E1" w14:textId="13F322C4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2FDBADB4" w14:textId="77777777" w:rsidR="003E4474" w:rsidRPr="002B00B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Pentoxifylline and tocopherol for prevention of osteoradionecrosis in patients who underwent oral surgery: A clinical audit</w:t>
            </w:r>
          </w:p>
          <w:p w14:paraId="4C7AF7C9" w14:textId="77777777" w:rsidR="003E4474" w:rsidRPr="00505B0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14:paraId="2480AFE4" w14:textId="7F3A7C3D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Outcome</w:t>
            </w:r>
          </w:p>
        </w:tc>
        <w:tc>
          <w:tcPr>
            <w:tcW w:w="3452" w:type="dxa"/>
            <w:shd w:val="clear" w:color="auto" w:fill="auto"/>
            <w:vAlign w:val="center"/>
          </w:tcPr>
          <w:p w14:paraId="77E87772" w14:textId="6E9C7652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https://doi.org/10.1111/scd.12759</w:t>
            </w:r>
          </w:p>
        </w:tc>
      </w:tr>
      <w:tr w:rsidR="003E4474" w:rsidRPr="00505B0D" w14:paraId="21968EE8" w14:textId="77777777" w:rsidTr="00E34910">
        <w:trPr>
          <w:trHeight w:val="2120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78BC0426" w14:textId="55E80183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Colapinto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2023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</w:tcPr>
          <w:p w14:paraId="5FF812C0" w14:textId="4039DCF5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center"/>
          </w:tcPr>
          <w:p w14:paraId="683608F3" w14:textId="77777777" w:rsidR="003E4474" w:rsidRPr="002B00B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Outcomes of a Pharmacological Protocol with Pentoxifylline and Tocopherol for the Management of Medication-Related Osteonecrosis of the Jaws (MRONJ): A Randomized Study on 202 Osteoporosis Patients</w:t>
            </w:r>
          </w:p>
          <w:p w14:paraId="4AF42DC9" w14:textId="77777777" w:rsidR="003E4474" w:rsidRPr="00505B0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F2F2F2" w:themeFill="background1" w:themeFillShade="F2"/>
            <w:vAlign w:val="center"/>
          </w:tcPr>
          <w:p w14:paraId="148D504A" w14:textId="154DF80B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Outcome</w:t>
            </w:r>
          </w:p>
        </w:tc>
        <w:tc>
          <w:tcPr>
            <w:tcW w:w="3452" w:type="dxa"/>
            <w:shd w:val="clear" w:color="auto" w:fill="F2F2F2" w:themeFill="background1" w:themeFillShade="F2"/>
            <w:vAlign w:val="center"/>
          </w:tcPr>
          <w:p w14:paraId="0C4DD950" w14:textId="60A43316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https://doi.org/10.3390/jcm12144662</w:t>
            </w:r>
          </w:p>
        </w:tc>
      </w:tr>
      <w:tr w:rsidR="003E4474" w:rsidRPr="00505B0D" w14:paraId="354C7E54" w14:textId="77777777" w:rsidTr="00E34910">
        <w:trPr>
          <w:trHeight w:val="1567"/>
        </w:trPr>
        <w:tc>
          <w:tcPr>
            <w:tcW w:w="2977" w:type="dxa"/>
            <w:shd w:val="clear" w:color="auto" w:fill="auto"/>
            <w:vAlign w:val="center"/>
          </w:tcPr>
          <w:p w14:paraId="27F520A4" w14:textId="1B5FD489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Gul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2023</w:t>
            </w:r>
          </w:p>
        </w:tc>
        <w:tc>
          <w:tcPr>
            <w:tcW w:w="3450" w:type="dxa"/>
            <w:shd w:val="clear" w:color="auto" w:fill="auto"/>
            <w:vAlign w:val="center"/>
          </w:tcPr>
          <w:p w14:paraId="01F1FC90" w14:textId="0912092E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3B72D0A4" w14:textId="1EC69C93" w:rsidR="003E4474" w:rsidRPr="00505B0D" w:rsidRDefault="003E447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Effectiveness of Pentoxifylline and Tocopherol in patients with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br/>
              <w:t>Osteoradionecrosis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3EBB037D" w14:textId="29EB887D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Outcome</w:t>
            </w:r>
          </w:p>
        </w:tc>
        <w:tc>
          <w:tcPr>
            <w:tcW w:w="3452" w:type="dxa"/>
            <w:shd w:val="clear" w:color="auto" w:fill="auto"/>
            <w:vAlign w:val="center"/>
          </w:tcPr>
          <w:p w14:paraId="2781B013" w14:textId="4320F796" w:rsidR="003E4474" w:rsidRPr="00505B0D" w:rsidRDefault="003E447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https://doi.org/10.48047/</w:t>
            </w:r>
          </w:p>
        </w:tc>
      </w:tr>
      <w:tr w:rsidR="009A67F4" w:rsidRPr="00505B0D" w14:paraId="6FDA81BB" w14:textId="77777777" w:rsidTr="00E34910">
        <w:trPr>
          <w:trHeight w:val="1689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297238C" w14:textId="04766D82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Safa, 2023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</w:tcPr>
          <w:p w14:paraId="0B3B9332" w14:textId="65C96A92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center"/>
          </w:tcPr>
          <w:p w14:paraId="3415B814" w14:textId="77777777" w:rsidR="009A67F4" w:rsidRPr="002B00BD" w:rsidRDefault="009A67F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B00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Combination Therapy: Hyperbaric Oxygen and PENTOCLO for Treatment of Osteoradionecrosis of the Mandible</w:t>
            </w:r>
          </w:p>
          <w:p w14:paraId="078A96C5" w14:textId="77777777" w:rsidR="009A67F4" w:rsidRPr="00505B0D" w:rsidRDefault="009A67F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F2F2F2" w:themeFill="background1" w:themeFillShade="F2"/>
            <w:vAlign w:val="center"/>
          </w:tcPr>
          <w:p w14:paraId="6AC6C07B" w14:textId="2B143F76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Insufficient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data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available</w:t>
            </w:r>
            <w:proofErr w:type="spellEnd"/>
          </w:p>
        </w:tc>
        <w:tc>
          <w:tcPr>
            <w:tcW w:w="3452" w:type="dxa"/>
            <w:shd w:val="clear" w:color="auto" w:fill="F2F2F2" w:themeFill="background1" w:themeFillShade="F2"/>
            <w:vAlign w:val="center"/>
          </w:tcPr>
          <w:p w14:paraId="65D3225F" w14:textId="7DEC3274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https://clinicaltrials.gov/study/NCT06055257</w:t>
            </w:r>
          </w:p>
        </w:tc>
      </w:tr>
      <w:tr w:rsidR="009A67F4" w:rsidRPr="00505B0D" w14:paraId="1ED2A743" w14:textId="77777777" w:rsidTr="00E34910">
        <w:trPr>
          <w:trHeight w:val="1699"/>
        </w:trPr>
        <w:tc>
          <w:tcPr>
            <w:tcW w:w="2977" w:type="dxa"/>
            <w:shd w:val="clear" w:color="auto" w:fill="auto"/>
            <w:vAlign w:val="center"/>
          </w:tcPr>
          <w:p w14:paraId="2CAFE05D" w14:textId="52BF597C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Farajollah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2024</w:t>
            </w:r>
          </w:p>
        </w:tc>
        <w:tc>
          <w:tcPr>
            <w:tcW w:w="3450" w:type="dxa"/>
            <w:shd w:val="clear" w:color="auto" w:fill="auto"/>
            <w:vAlign w:val="center"/>
          </w:tcPr>
          <w:p w14:paraId="723F2C52" w14:textId="562E15FE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34111695" w14:textId="77777777" w:rsidR="009A67F4" w:rsidRPr="00505B0D" w:rsidRDefault="009A67F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The impact of purine derivatives therapy for patients with medication-related osteonecrosis of the jaw: preliminary results from a pilot study</w:t>
            </w:r>
          </w:p>
          <w:p w14:paraId="7C942C23" w14:textId="77777777" w:rsidR="009A67F4" w:rsidRPr="00505B0D" w:rsidRDefault="009A67F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14:paraId="5B6E3FB6" w14:textId="7706F105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Wrong Outcome </w:t>
            </w:r>
          </w:p>
        </w:tc>
        <w:tc>
          <w:tcPr>
            <w:tcW w:w="3452" w:type="dxa"/>
            <w:shd w:val="clear" w:color="auto" w:fill="auto"/>
            <w:vAlign w:val="center"/>
          </w:tcPr>
          <w:p w14:paraId="2F8F12D8" w14:textId="7BD0EDA0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https://doi.org/10.62610/rjor.2024.3.16.8</w:t>
            </w:r>
          </w:p>
        </w:tc>
      </w:tr>
      <w:tr w:rsidR="009A67F4" w:rsidRPr="00505B0D" w14:paraId="43103A34" w14:textId="77777777" w:rsidTr="00E34910">
        <w:trPr>
          <w:trHeight w:val="2424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2677110" w14:textId="04645261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Kanatas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2024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</w:tcPr>
          <w:p w14:paraId="25691D60" w14:textId="1A3D3920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center"/>
          </w:tcPr>
          <w:p w14:paraId="68D05845" w14:textId="77777777" w:rsidR="009A67F4" w:rsidRPr="00505B0D" w:rsidRDefault="009A67F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RAPTOR: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Randomised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Controlled Trial of PENTOCLO in Mandibular Osteoradionecrosis</w:t>
            </w:r>
          </w:p>
          <w:p w14:paraId="4C98A5F2" w14:textId="36F533AA" w:rsidR="009A67F4" w:rsidRPr="00505B0D" w:rsidRDefault="009A67F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F2F2F2" w:themeFill="background1" w:themeFillShade="F2"/>
            <w:vAlign w:val="center"/>
          </w:tcPr>
          <w:p w14:paraId="172305FD" w14:textId="5E36E0F9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Publication Type</w:t>
            </w:r>
          </w:p>
        </w:tc>
        <w:tc>
          <w:tcPr>
            <w:tcW w:w="3452" w:type="dxa"/>
            <w:shd w:val="clear" w:color="auto" w:fill="F2F2F2" w:themeFill="background1" w:themeFillShade="F2"/>
            <w:vAlign w:val="center"/>
          </w:tcPr>
          <w:p w14:paraId="35A982EB" w14:textId="52A8D897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https://doi.org/10.1016/j.ejso.2023.107194</w:t>
            </w:r>
          </w:p>
        </w:tc>
      </w:tr>
      <w:tr w:rsidR="009A67F4" w:rsidRPr="00505B0D" w14:paraId="6D2DDD74" w14:textId="77777777" w:rsidTr="00E34910">
        <w:trPr>
          <w:trHeight w:val="1553"/>
        </w:trPr>
        <w:tc>
          <w:tcPr>
            <w:tcW w:w="2977" w:type="dxa"/>
            <w:shd w:val="clear" w:color="auto" w:fill="auto"/>
            <w:vAlign w:val="center"/>
          </w:tcPr>
          <w:p w14:paraId="6095A5A5" w14:textId="5AD482AE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Mahendran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505B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2024</w:t>
            </w:r>
          </w:p>
        </w:tc>
        <w:tc>
          <w:tcPr>
            <w:tcW w:w="3450" w:type="dxa"/>
            <w:shd w:val="clear" w:color="auto" w:fill="auto"/>
            <w:vAlign w:val="center"/>
          </w:tcPr>
          <w:p w14:paraId="68009317" w14:textId="3D333D75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6F28F0CA" w14:textId="77777777" w:rsidR="009A67F4" w:rsidRPr="00505B0D" w:rsidRDefault="009A67F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Insights and a Retrospective Analysis from a Single Institution using Pentoxifylline, Vitamin E, and Sodium Clodronate in the Prevention and Management of ORN</w:t>
            </w:r>
          </w:p>
          <w:p w14:paraId="7917C5A0" w14:textId="77777777" w:rsidR="009A67F4" w:rsidRPr="00505B0D" w:rsidRDefault="009A67F4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14:paraId="20057706" w14:textId="2F1F88E3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Publication Type</w:t>
            </w:r>
          </w:p>
        </w:tc>
        <w:tc>
          <w:tcPr>
            <w:tcW w:w="3452" w:type="dxa"/>
            <w:shd w:val="clear" w:color="auto" w:fill="auto"/>
            <w:vAlign w:val="center"/>
          </w:tcPr>
          <w:p w14:paraId="0CB3EA3D" w14:textId="13E26C27" w:rsidR="009A67F4" w:rsidRPr="00505B0D" w:rsidRDefault="009A67F4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https://doi.org/10.1016/j.joms.2024.06.045</w:t>
            </w:r>
          </w:p>
        </w:tc>
      </w:tr>
      <w:tr w:rsidR="00E34910" w:rsidRPr="00505B0D" w14:paraId="1796B849" w14:textId="77777777" w:rsidTr="00E34910">
        <w:trPr>
          <w:trHeight w:val="2424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395AD4B" w14:textId="3D5BFA15" w:rsidR="00E34910" w:rsidRPr="00505B0D" w:rsidRDefault="00E34910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Arcoverde, 2024</w:t>
            </w:r>
          </w:p>
        </w:tc>
        <w:tc>
          <w:tcPr>
            <w:tcW w:w="3450" w:type="dxa"/>
            <w:shd w:val="clear" w:color="auto" w:fill="F2F2F2" w:themeFill="background1" w:themeFillShade="F2"/>
            <w:vAlign w:val="center"/>
          </w:tcPr>
          <w:p w14:paraId="7025DD5A" w14:textId="0C172984" w:rsidR="00E34910" w:rsidRPr="00505B0D" w:rsidRDefault="00E34910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F2F2F2" w:themeFill="background1" w:themeFillShade="F2"/>
            <w:vAlign w:val="center"/>
          </w:tcPr>
          <w:p w14:paraId="2758C086" w14:textId="7C066883" w:rsidR="00E34910" w:rsidRPr="002F4043" w:rsidRDefault="00E34910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F404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RBR-6tnqpjm Prevention of Bone Necrosis induced by Radiotherapy in the oral cavity region with the drug combination of </w:t>
            </w:r>
            <w:proofErr w:type="spellStart"/>
            <w:r w:rsidRPr="002F404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Pentoxifyllin</w:t>
            </w:r>
            <w:proofErr w:type="spellEnd"/>
          </w:p>
          <w:p w14:paraId="77A9ADFE" w14:textId="726C1F7B" w:rsidR="00E34910" w:rsidRPr="00505B0D" w:rsidRDefault="00E34910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F40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br/>
            </w:r>
          </w:p>
        </w:tc>
        <w:tc>
          <w:tcPr>
            <w:tcW w:w="2926" w:type="dxa"/>
            <w:shd w:val="clear" w:color="auto" w:fill="F2F2F2" w:themeFill="background1" w:themeFillShade="F2"/>
            <w:vAlign w:val="center"/>
          </w:tcPr>
          <w:p w14:paraId="4384E37B" w14:textId="035BF92F" w:rsidR="00E34910" w:rsidRPr="00505B0D" w:rsidRDefault="00E34910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Insufficient</w:t>
            </w:r>
            <w:proofErr w:type="spellEnd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data </w:t>
            </w:r>
            <w:proofErr w:type="spellStart"/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available</w:t>
            </w:r>
            <w:proofErr w:type="spellEnd"/>
          </w:p>
        </w:tc>
        <w:tc>
          <w:tcPr>
            <w:tcW w:w="3452" w:type="dxa"/>
            <w:shd w:val="clear" w:color="auto" w:fill="F2F2F2" w:themeFill="background1" w:themeFillShade="F2"/>
            <w:vAlign w:val="center"/>
          </w:tcPr>
          <w:p w14:paraId="5C17C969" w14:textId="598D05A1" w:rsidR="00E34910" w:rsidRPr="00505B0D" w:rsidRDefault="00E34910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https://ensaiosclinicos.gov.br/rg/RBR-6tnqpjm</w:t>
            </w:r>
          </w:p>
        </w:tc>
      </w:tr>
      <w:tr w:rsidR="00E34910" w:rsidRPr="00505B0D" w14:paraId="29126740" w14:textId="77777777" w:rsidTr="00E34910">
        <w:trPr>
          <w:trHeight w:val="2424"/>
        </w:trPr>
        <w:tc>
          <w:tcPr>
            <w:tcW w:w="2977" w:type="dxa"/>
            <w:shd w:val="clear" w:color="auto" w:fill="auto"/>
            <w:vAlign w:val="center"/>
          </w:tcPr>
          <w:p w14:paraId="39205A40" w14:textId="77777777" w:rsidR="00E34910" w:rsidRPr="00D96AD3" w:rsidRDefault="00E34910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D96A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Slowik</w:t>
            </w:r>
            <w:proofErr w:type="spellEnd"/>
            <w:r w:rsidRPr="00D96A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D96A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D96A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2025</w:t>
            </w:r>
          </w:p>
          <w:p w14:paraId="0C2874A8" w14:textId="77777777" w:rsidR="00E34910" w:rsidRPr="00505B0D" w:rsidRDefault="00E34910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50" w:type="dxa"/>
            <w:shd w:val="clear" w:color="auto" w:fill="auto"/>
            <w:vAlign w:val="center"/>
          </w:tcPr>
          <w:p w14:paraId="071003FC" w14:textId="5A6462C6" w:rsidR="00E34910" w:rsidRPr="00505B0D" w:rsidRDefault="00E34910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Data Base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3127719D" w14:textId="77777777" w:rsidR="00E34910" w:rsidRPr="00505B0D" w:rsidRDefault="00E34910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Pharmacological Treatment of Medication-Related Osteonecrosis of the Jaw (MRONJ) with Pentoxifylline and Tocopherol</w:t>
            </w:r>
          </w:p>
          <w:p w14:paraId="0C75A1CF" w14:textId="77777777" w:rsidR="00E34910" w:rsidRPr="00505B0D" w:rsidRDefault="00E34910" w:rsidP="00E349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14:paraId="17CD2BB6" w14:textId="33206A49" w:rsidR="00E34910" w:rsidRPr="00505B0D" w:rsidRDefault="00E34910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Wrong Outcome</w:t>
            </w:r>
          </w:p>
        </w:tc>
        <w:tc>
          <w:tcPr>
            <w:tcW w:w="3452" w:type="dxa"/>
            <w:shd w:val="clear" w:color="auto" w:fill="auto"/>
            <w:vAlign w:val="center"/>
          </w:tcPr>
          <w:p w14:paraId="3512B0B9" w14:textId="2847C654" w:rsidR="00E34910" w:rsidRPr="00505B0D" w:rsidRDefault="00E34910" w:rsidP="00E349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505B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https://doi.org/https://doi.org/10.3390/jcm14030974</w:t>
            </w:r>
          </w:p>
        </w:tc>
      </w:tr>
    </w:tbl>
    <w:p w14:paraId="343F017D" w14:textId="77777777" w:rsidR="00D20F07" w:rsidRPr="00BE06B9" w:rsidRDefault="00D20F07">
      <w:pPr>
        <w:rPr>
          <w:lang w:val="en-US"/>
        </w:rPr>
      </w:pPr>
    </w:p>
    <w:sectPr w:rsidR="00D20F07" w:rsidRPr="00BE06B9" w:rsidSect="0045511F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F9114" w14:textId="77777777" w:rsidR="002F0F87" w:rsidRDefault="002F0F87" w:rsidP="009327FD">
      <w:pPr>
        <w:spacing w:after="0" w:line="240" w:lineRule="auto"/>
      </w:pPr>
      <w:r>
        <w:separator/>
      </w:r>
    </w:p>
  </w:endnote>
  <w:endnote w:type="continuationSeparator" w:id="0">
    <w:p w14:paraId="7523DB24" w14:textId="77777777" w:rsidR="002F0F87" w:rsidRDefault="002F0F87" w:rsidP="00932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11AB8" w14:textId="77777777" w:rsidR="002F0F87" w:rsidRDefault="002F0F87" w:rsidP="009327FD">
      <w:pPr>
        <w:spacing w:after="0" w:line="240" w:lineRule="auto"/>
      </w:pPr>
      <w:r>
        <w:separator/>
      </w:r>
    </w:p>
  </w:footnote>
  <w:footnote w:type="continuationSeparator" w:id="0">
    <w:p w14:paraId="28872EA9" w14:textId="77777777" w:rsidR="002F0F87" w:rsidRDefault="002F0F87" w:rsidP="00932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23451"/>
    <w:multiLevelType w:val="multilevel"/>
    <w:tmpl w:val="A5A8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3B2D49"/>
    <w:multiLevelType w:val="multilevel"/>
    <w:tmpl w:val="2506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18015">
    <w:abstractNumId w:val="0"/>
  </w:num>
  <w:num w:numId="2" w16cid:durableId="18282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07"/>
    <w:rsid w:val="00066A69"/>
    <w:rsid w:val="002B00BD"/>
    <w:rsid w:val="002F0F87"/>
    <w:rsid w:val="002F4043"/>
    <w:rsid w:val="003308CB"/>
    <w:rsid w:val="00363CC2"/>
    <w:rsid w:val="003E4474"/>
    <w:rsid w:val="004248EA"/>
    <w:rsid w:val="0045511F"/>
    <w:rsid w:val="00505B0D"/>
    <w:rsid w:val="007C3C1D"/>
    <w:rsid w:val="007E4501"/>
    <w:rsid w:val="00880719"/>
    <w:rsid w:val="008D6B67"/>
    <w:rsid w:val="009327FD"/>
    <w:rsid w:val="00935665"/>
    <w:rsid w:val="009A67F4"/>
    <w:rsid w:val="00B20CC5"/>
    <w:rsid w:val="00BC7578"/>
    <w:rsid w:val="00BE06B9"/>
    <w:rsid w:val="00C758BB"/>
    <w:rsid w:val="00D20F07"/>
    <w:rsid w:val="00D96AD3"/>
    <w:rsid w:val="00DD5562"/>
    <w:rsid w:val="00DE7094"/>
    <w:rsid w:val="00E34910"/>
    <w:rsid w:val="00F9456B"/>
    <w:rsid w:val="00FB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EA667"/>
  <w15:chartTrackingRefBased/>
  <w15:docId w15:val="{6A030432-E81D-43F1-84E9-BB970832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0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20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0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0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20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20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20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20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20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20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D20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0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0F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20F0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20F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20F0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20F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20F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20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20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20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20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20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20F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20F0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20F0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20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20F0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20F07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E0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E709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E709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327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27FD"/>
  </w:style>
  <w:style w:type="paragraph" w:styleId="Rodap">
    <w:name w:val="footer"/>
    <w:basedOn w:val="Normal"/>
    <w:link w:val="RodapChar"/>
    <w:uiPriority w:val="99"/>
    <w:unhideWhenUsed/>
    <w:rsid w:val="009327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2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4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34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2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40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0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5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53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20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74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658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2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9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37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8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6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6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7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655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1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2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9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81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75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7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0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4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5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13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15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89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1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1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8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87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250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4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1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9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2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6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96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4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3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4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5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8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12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6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510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2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jcm1403097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srctn.com/pdf/3421729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srctn.com/pdf/744849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library.wiley.com/doi/10.1002/hed.2012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87ED1-7624-4EB1-B443-CA2F70EB6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12395</TotalTime>
  <Pages>7</Pages>
  <Words>1237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Túlio Ribeiro</dc:creator>
  <cp:keywords/>
  <dc:description/>
  <cp:lastModifiedBy>Leandro Menezes</cp:lastModifiedBy>
  <cp:revision>6</cp:revision>
  <dcterms:created xsi:type="dcterms:W3CDTF">2025-06-18T01:20:00Z</dcterms:created>
  <dcterms:modified xsi:type="dcterms:W3CDTF">2025-07-25T15:27:00Z</dcterms:modified>
</cp:coreProperties>
</file>