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1BA9C" w14:textId="77777777" w:rsidR="009F4B13" w:rsidRPr="002D7C87" w:rsidRDefault="009F4B13" w:rsidP="009F4B13">
      <w:pPr>
        <w:ind w:left="425" w:hanging="425"/>
        <w:jc w:val="center"/>
        <w:rPr>
          <w:rFonts w:cs="Calibri"/>
          <w:b/>
          <w:bCs/>
        </w:rPr>
      </w:pPr>
      <w:r w:rsidRPr="002D7C87">
        <w:rPr>
          <w:rFonts w:cs="Calibri"/>
          <w:b/>
          <w:bCs/>
        </w:rPr>
        <w:t>Supplementary Content</w:t>
      </w:r>
    </w:p>
    <w:p w14:paraId="520F4DF8" w14:textId="77777777" w:rsidR="009F4B13" w:rsidRPr="002D7C87" w:rsidRDefault="009F4B13" w:rsidP="009F4B13">
      <w:pPr>
        <w:ind w:left="425" w:hanging="425"/>
        <w:jc w:val="center"/>
        <w:rPr>
          <w:rFonts w:cs="Calibri"/>
          <w:b/>
          <w:bCs/>
        </w:rPr>
      </w:pPr>
    </w:p>
    <w:p w14:paraId="6E1CD65A" w14:textId="03E03CDC" w:rsidR="00CF17CC" w:rsidRPr="002D7C87" w:rsidRDefault="00CF17CC" w:rsidP="00CF17CC">
      <w:pPr>
        <w:rPr>
          <w:rFonts w:cs="Calibri"/>
        </w:rPr>
      </w:pPr>
      <w:r w:rsidRPr="002D7C87">
        <w:rPr>
          <w:rFonts w:cs="Calibri"/>
          <w:b/>
          <w:bCs/>
        </w:rPr>
        <w:t xml:space="preserve">Supplementary </w:t>
      </w:r>
      <w:r w:rsidR="009F4B13" w:rsidRPr="002D7C87">
        <w:rPr>
          <w:rFonts w:cs="Calibri"/>
          <w:b/>
          <w:bCs/>
        </w:rPr>
        <w:t>Methods</w:t>
      </w:r>
      <w:r w:rsidR="009F4B13" w:rsidRPr="002D7C87">
        <w:rPr>
          <w:rFonts w:cs="Calibri"/>
        </w:rPr>
        <w:t xml:space="preserve">: </w:t>
      </w:r>
      <w:r w:rsidRPr="002D7C87">
        <w:rPr>
          <w:rFonts w:cs="Calibri"/>
        </w:rPr>
        <w:t>Additional detail for study interventions; Additional detail for study outcomes</w:t>
      </w:r>
      <w:r w:rsidR="001F7FA6" w:rsidRPr="002D7C87">
        <w:rPr>
          <w:rFonts w:cs="Calibri"/>
        </w:rPr>
        <w:t>; Patient and public involvement (PPI) in study design</w:t>
      </w:r>
    </w:p>
    <w:p w14:paraId="06FB76B8" w14:textId="63582E88" w:rsidR="00CF17CC" w:rsidRPr="002D7C87" w:rsidRDefault="00CF17CC" w:rsidP="00CF17CC">
      <w:pPr>
        <w:rPr>
          <w:rFonts w:cs="Calibri"/>
          <w:u w:val="single"/>
        </w:rPr>
      </w:pPr>
    </w:p>
    <w:p w14:paraId="4C60CC63" w14:textId="668BF2EF" w:rsidR="00587D91" w:rsidRPr="002D7C87" w:rsidRDefault="00587D91" w:rsidP="00CF17CC">
      <w:pPr>
        <w:rPr>
          <w:rFonts w:cs="Calibri"/>
          <w:u w:val="single"/>
        </w:rPr>
      </w:pPr>
      <w:r w:rsidRPr="002D7C87">
        <w:rPr>
          <w:rFonts w:cs="Calibri"/>
          <w:b/>
          <w:bCs/>
          <w:u w:val="single"/>
        </w:rPr>
        <w:t>Supplementary Results:</w:t>
      </w:r>
      <w:r w:rsidRPr="002D7C87">
        <w:rPr>
          <w:rFonts w:cs="Calibri"/>
          <w:u w:val="single"/>
        </w:rPr>
        <w:t xml:space="preserve"> Full reports of independent translation assessments</w:t>
      </w:r>
    </w:p>
    <w:p w14:paraId="246BF020" w14:textId="77777777" w:rsidR="00587D91" w:rsidRPr="002D7C87" w:rsidRDefault="00587D91" w:rsidP="00CF17CC">
      <w:pPr>
        <w:rPr>
          <w:rFonts w:cs="Calibri"/>
          <w:u w:val="single"/>
        </w:rPr>
      </w:pPr>
    </w:p>
    <w:p w14:paraId="1991997D" w14:textId="69B86AC6" w:rsidR="005C170A" w:rsidRPr="002D7C87" w:rsidRDefault="005C170A" w:rsidP="00CF17CC">
      <w:pPr>
        <w:rPr>
          <w:rFonts w:cs="Calibri"/>
          <w:b/>
          <w:bCs/>
        </w:rPr>
      </w:pPr>
      <w:r w:rsidRPr="002D7C87">
        <w:rPr>
          <w:rFonts w:cs="Calibri"/>
          <w:b/>
          <w:bCs/>
        </w:rPr>
        <w:t>Supplementary References</w:t>
      </w:r>
    </w:p>
    <w:p w14:paraId="4EF30AF2" w14:textId="77777777" w:rsidR="00587D91" w:rsidRPr="002D7C87" w:rsidRDefault="00587D91" w:rsidP="00CF17CC">
      <w:pPr>
        <w:rPr>
          <w:rFonts w:cs="Calibri"/>
        </w:rPr>
      </w:pPr>
    </w:p>
    <w:p w14:paraId="64CEC105" w14:textId="6EAAE9D0" w:rsidR="005C170A" w:rsidRPr="002D7C87" w:rsidRDefault="005C170A" w:rsidP="00CF17CC">
      <w:pPr>
        <w:rPr>
          <w:rFonts w:cs="Calibri"/>
        </w:rPr>
      </w:pPr>
      <w:r w:rsidRPr="002D7C87">
        <w:rPr>
          <w:rFonts w:cs="Calibri"/>
          <w:b/>
          <w:bCs/>
        </w:rPr>
        <w:t>Supplementary Table 1</w:t>
      </w:r>
      <w:r w:rsidRPr="002D7C87">
        <w:rPr>
          <w:rFonts w:cs="Calibri"/>
        </w:rPr>
        <w:t>: Summary demographic information of included participants</w:t>
      </w:r>
    </w:p>
    <w:p w14:paraId="612D6854" w14:textId="77777777" w:rsidR="00067695" w:rsidRPr="002D7C87" w:rsidRDefault="00067695" w:rsidP="00CF17CC">
      <w:pPr>
        <w:rPr>
          <w:rFonts w:cs="Calibri"/>
        </w:rPr>
      </w:pPr>
    </w:p>
    <w:p w14:paraId="66FC02C6" w14:textId="77777777" w:rsidR="004B0ADA" w:rsidRPr="002D7C87" w:rsidRDefault="004B0ADA" w:rsidP="004B0ADA">
      <w:pPr>
        <w:rPr>
          <w:rFonts w:cs="Calibri"/>
        </w:rPr>
      </w:pPr>
      <w:r w:rsidRPr="002D7C87">
        <w:rPr>
          <w:rFonts w:cs="Calibri"/>
          <w:b/>
          <w:bCs/>
        </w:rPr>
        <w:t xml:space="preserve">Supplementary Table 2: </w:t>
      </w:r>
      <w:r w:rsidRPr="002D7C87">
        <w:rPr>
          <w:rFonts w:cs="Calibri"/>
        </w:rPr>
        <w:t>Summary of primary outcomes by randomisation status</w:t>
      </w:r>
    </w:p>
    <w:p w14:paraId="3E8AD219" w14:textId="77777777" w:rsidR="005C170A" w:rsidRPr="002D7C87" w:rsidRDefault="005C170A" w:rsidP="00CF17CC">
      <w:pPr>
        <w:rPr>
          <w:rFonts w:cs="Calibri"/>
        </w:rPr>
      </w:pPr>
    </w:p>
    <w:p w14:paraId="5D7DC7EC" w14:textId="32D31417" w:rsidR="005C170A" w:rsidRPr="002D7C87" w:rsidRDefault="005C170A" w:rsidP="005C170A">
      <w:pPr>
        <w:rPr>
          <w:rFonts w:cs="Calibri"/>
        </w:rPr>
      </w:pPr>
      <w:r w:rsidRPr="002D7C87">
        <w:rPr>
          <w:rFonts w:cs="Calibri"/>
          <w:b/>
          <w:bCs/>
        </w:rPr>
        <w:t>Supplementary Figure 1</w:t>
      </w:r>
      <w:r w:rsidRPr="002D7C87">
        <w:rPr>
          <w:rFonts w:cs="Calibri"/>
        </w:rPr>
        <w:t xml:space="preserve">: Booklet Component </w:t>
      </w:r>
      <w:r w:rsidR="00375CC3" w:rsidRPr="002D7C87">
        <w:rPr>
          <w:rFonts w:cs="Calibri"/>
        </w:rPr>
        <w:t>p</w:t>
      </w:r>
      <w:r w:rsidRPr="002D7C87">
        <w:rPr>
          <w:rFonts w:cs="Calibri"/>
        </w:rPr>
        <w:t xml:space="preserve">rimary </w:t>
      </w:r>
      <w:r w:rsidR="00375CC3" w:rsidRPr="002D7C87">
        <w:rPr>
          <w:rFonts w:cs="Calibri"/>
        </w:rPr>
        <w:t>o</w:t>
      </w:r>
      <w:r w:rsidRPr="002D7C87">
        <w:rPr>
          <w:rFonts w:cs="Calibri"/>
        </w:rPr>
        <w:t xml:space="preserve">utcome </w:t>
      </w:r>
      <w:r w:rsidR="00375CC3" w:rsidRPr="002D7C87">
        <w:rPr>
          <w:rFonts w:cs="Calibri"/>
        </w:rPr>
        <w:t>a</w:t>
      </w:r>
      <w:r w:rsidRPr="002D7C87">
        <w:rPr>
          <w:rFonts w:cs="Calibri"/>
        </w:rPr>
        <w:t xml:space="preserve">ssociations with </w:t>
      </w:r>
      <w:r w:rsidR="00375CC3" w:rsidRPr="002D7C87">
        <w:rPr>
          <w:rFonts w:cs="Calibri"/>
        </w:rPr>
        <w:t>d</w:t>
      </w:r>
      <w:r w:rsidRPr="002D7C87">
        <w:rPr>
          <w:rFonts w:cs="Calibri"/>
        </w:rPr>
        <w:t xml:space="preserve">emographic </w:t>
      </w:r>
      <w:r w:rsidR="00375CC3" w:rsidRPr="002D7C87">
        <w:rPr>
          <w:rFonts w:cs="Calibri"/>
        </w:rPr>
        <w:t>v</w:t>
      </w:r>
      <w:r w:rsidRPr="002D7C87">
        <w:rPr>
          <w:rFonts w:cs="Calibri"/>
        </w:rPr>
        <w:t xml:space="preserve">ariables and </w:t>
      </w:r>
      <w:r w:rsidR="00375CC3" w:rsidRPr="002D7C87">
        <w:rPr>
          <w:rFonts w:cs="Calibri"/>
        </w:rPr>
        <w:t>r</w:t>
      </w:r>
      <w:r w:rsidRPr="002D7C87">
        <w:rPr>
          <w:rFonts w:cs="Calibri"/>
        </w:rPr>
        <w:t xml:space="preserve">andomisation </w:t>
      </w:r>
      <w:r w:rsidR="00375CC3" w:rsidRPr="002D7C87">
        <w:rPr>
          <w:rFonts w:cs="Calibri"/>
        </w:rPr>
        <w:t>s</w:t>
      </w:r>
      <w:r w:rsidRPr="002D7C87">
        <w:rPr>
          <w:rFonts w:cs="Calibri"/>
        </w:rPr>
        <w:t>tatus</w:t>
      </w:r>
    </w:p>
    <w:p w14:paraId="0C5BA5FE" w14:textId="77777777" w:rsidR="004B0ADA" w:rsidRPr="002D7C87" w:rsidRDefault="004B0ADA" w:rsidP="005C170A">
      <w:pPr>
        <w:rPr>
          <w:rFonts w:cs="Calibri"/>
        </w:rPr>
      </w:pPr>
    </w:p>
    <w:p w14:paraId="629A0ED0" w14:textId="77777777" w:rsidR="002D7C87" w:rsidRPr="002D7C87" w:rsidRDefault="004B0ADA" w:rsidP="00CF17CC">
      <w:pPr>
        <w:rPr>
          <w:rFonts w:cs="Calibri"/>
        </w:rPr>
      </w:pPr>
      <w:r w:rsidRPr="002D7C87">
        <w:rPr>
          <w:rFonts w:cs="Calibri"/>
          <w:b/>
          <w:bCs/>
        </w:rPr>
        <w:t xml:space="preserve">Supplementary Figure 2: </w:t>
      </w:r>
      <w:r w:rsidRPr="002D7C87">
        <w:rPr>
          <w:rFonts w:cs="Calibri"/>
        </w:rPr>
        <w:t>Histogram</w:t>
      </w:r>
      <w:r w:rsidRPr="002D7C87">
        <w:rPr>
          <w:rFonts w:cs="Calibri"/>
          <w:b/>
          <w:bCs/>
        </w:rPr>
        <w:t xml:space="preserve"> </w:t>
      </w:r>
      <w:r w:rsidRPr="002D7C87">
        <w:rPr>
          <w:rFonts w:cs="Calibri"/>
        </w:rPr>
        <w:t>of Consent Component Total Comprehension Score</w:t>
      </w:r>
      <w:r w:rsidR="002D7C87" w:rsidRPr="002D7C87">
        <w:rPr>
          <w:rFonts w:cs="Calibri"/>
        </w:rPr>
        <w:t xml:space="preserve"> </w:t>
      </w:r>
    </w:p>
    <w:p w14:paraId="27C84B2C" w14:textId="1F256D6F" w:rsidR="009F4B13" w:rsidRPr="002D7C87" w:rsidRDefault="002D7C87" w:rsidP="002D7C87">
      <w:pPr>
        <w:rPr>
          <w:rFonts w:cs="Calibri"/>
        </w:rPr>
      </w:pPr>
      <w:r w:rsidRPr="002D7C87">
        <w:rPr>
          <w:rFonts w:cs="Calibri"/>
        </w:rPr>
        <w:t xml:space="preserve"> </w:t>
      </w:r>
    </w:p>
    <w:p w14:paraId="5E9841E9" w14:textId="77777777" w:rsidR="002D7C87" w:rsidRPr="002D7C87" w:rsidRDefault="002D7C87" w:rsidP="002D7C87">
      <w:pPr>
        <w:rPr>
          <w:rFonts w:cs="Calibri"/>
        </w:rPr>
      </w:pPr>
    </w:p>
    <w:p w14:paraId="5FB95601" w14:textId="77777777" w:rsidR="002D7C87" w:rsidRPr="002D7C87" w:rsidRDefault="002D7C87" w:rsidP="002D7C87">
      <w:pPr>
        <w:rPr>
          <w:rFonts w:cs="Calibri"/>
        </w:rPr>
      </w:pPr>
    </w:p>
    <w:p w14:paraId="157FE52E" w14:textId="77777777" w:rsidR="002D7C87" w:rsidRPr="002D7C87" w:rsidRDefault="002D7C87" w:rsidP="002D7C87">
      <w:pPr>
        <w:rPr>
          <w:rFonts w:cs="Calibri"/>
        </w:rPr>
      </w:pPr>
    </w:p>
    <w:p w14:paraId="0A05443F" w14:textId="77777777" w:rsidR="002D7C87" w:rsidRDefault="002D7C87" w:rsidP="002D7C87">
      <w:pPr>
        <w:rPr>
          <w:rFonts w:cs="Calibri"/>
        </w:rPr>
      </w:pPr>
    </w:p>
    <w:p w14:paraId="6D79C3D7" w14:textId="77777777" w:rsidR="00233AC9" w:rsidRPr="002D7C87" w:rsidRDefault="00233AC9" w:rsidP="002D7C87">
      <w:pPr>
        <w:rPr>
          <w:rFonts w:cs="Calibri"/>
        </w:rPr>
      </w:pPr>
    </w:p>
    <w:p w14:paraId="6A053517" w14:textId="77777777" w:rsidR="002D7C87" w:rsidRPr="002D7C87" w:rsidRDefault="002D7C87" w:rsidP="00CF17CC">
      <w:pPr>
        <w:rPr>
          <w:rFonts w:cs="Calibri"/>
        </w:rPr>
      </w:pPr>
    </w:p>
    <w:p w14:paraId="0625B5D0" w14:textId="56983223" w:rsidR="0081775B" w:rsidRDefault="002655FB" w:rsidP="00233AC9">
      <w:pPr>
        <w:pStyle w:val="Heading1"/>
      </w:pPr>
      <w:r w:rsidRPr="002D7C87">
        <w:lastRenderedPageBreak/>
        <w:t>Supplementary Methods</w:t>
      </w:r>
    </w:p>
    <w:p w14:paraId="6625C3AC" w14:textId="77777777" w:rsidR="00AC73F3" w:rsidRPr="00AC73F3" w:rsidRDefault="00AC73F3" w:rsidP="00AC73F3"/>
    <w:p w14:paraId="29D94545" w14:textId="0141193B" w:rsidR="002655FB" w:rsidRDefault="00BC1CB8" w:rsidP="002D7C87">
      <w:pPr>
        <w:pStyle w:val="Heading2"/>
        <w:rPr>
          <w:rFonts w:cs="Calibri"/>
        </w:rPr>
      </w:pPr>
      <w:r w:rsidRPr="002D7C87">
        <w:rPr>
          <w:rFonts w:cs="Calibri"/>
        </w:rPr>
        <w:t>Additional detail</w:t>
      </w:r>
      <w:r w:rsidR="006B7B90" w:rsidRPr="002D7C87">
        <w:rPr>
          <w:rFonts w:cs="Calibri"/>
        </w:rPr>
        <w:t xml:space="preserve"> for study</w:t>
      </w:r>
      <w:r w:rsidR="002655FB" w:rsidRPr="002D7C87">
        <w:rPr>
          <w:rFonts w:cs="Calibri"/>
        </w:rPr>
        <w:t xml:space="preserve"> interventions</w:t>
      </w:r>
    </w:p>
    <w:p w14:paraId="3C52969C" w14:textId="77777777" w:rsidR="00AC73F3" w:rsidRPr="00AC73F3" w:rsidRDefault="00AC73F3" w:rsidP="00AC73F3"/>
    <w:p w14:paraId="66A42F22" w14:textId="03774041" w:rsidR="00F53FCB" w:rsidRPr="002D7C87" w:rsidRDefault="00C30217" w:rsidP="00AC73F3">
      <w:pPr>
        <w:pStyle w:val="Heading4"/>
      </w:pPr>
      <w:r w:rsidRPr="002D7C87">
        <w:t>Booklet</w:t>
      </w:r>
      <w:r w:rsidR="00405CE7" w:rsidRPr="002D7C87">
        <w:t xml:space="preserve"> Component</w:t>
      </w:r>
      <w:r w:rsidR="002655FB" w:rsidRPr="002D7C87">
        <w:t>:</w:t>
      </w:r>
    </w:p>
    <w:p w14:paraId="093E82BD" w14:textId="0C7EA75A" w:rsidR="003D59FA" w:rsidRPr="002D7C87" w:rsidRDefault="003372AF" w:rsidP="003D59FA">
      <w:pPr>
        <w:rPr>
          <w:rFonts w:cs="Calibri"/>
        </w:rPr>
      </w:pPr>
      <w:r w:rsidRPr="002D7C87">
        <w:rPr>
          <w:rFonts w:cs="Calibri"/>
        </w:rPr>
        <w:t xml:space="preserve">The “Easy Read: How Is Myeloma Treated?” </w:t>
      </w:r>
      <w:r w:rsidR="00C30217" w:rsidRPr="002D7C87">
        <w:rPr>
          <w:rFonts w:cs="Calibri"/>
        </w:rPr>
        <w:t>booklet</w:t>
      </w:r>
      <w:r w:rsidRPr="002D7C87">
        <w:rPr>
          <w:rFonts w:cs="Calibri"/>
        </w:rPr>
        <w:t xml:space="preserve"> </w:t>
      </w:r>
      <w:r w:rsidR="006962CD" w:rsidRPr="002D7C87">
        <w:rPr>
          <w:rFonts w:cs="Calibri"/>
        </w:rPr>
        <w:t>was</w:t>
      </w:r>
      <w:r w:rsidRPr="002D7C87">
        <w:rPr>
          <w:rFonts w:cs="Calibri"/>
        </w:rPr>
        <w:t xml:space="preserve"> written by the patient charity Myeloma UK and is used in UK clinical contexts</w:t>
      </w:r>
      <w:r w:rsidRPr="000F5BEE">
        <w:rPr>
          <w:rFonts w:cs="Calibri"/>
          <w:color w:val="auto"/>
        </w:rPr>
        <w:t>.</w:t>
      </w:r>
      <w:r w:rsidR="007416B6" w:rsidRPr="000F5BEE">
        <w:rPr>
          <w:rFonts w:cs="Calibri"/>
          <w:color w:val="auto"/>
          <w:vertAlign w:val="superscript"/>
        </w:rPr>
        <w:t>1</w:t>
      </w:r>
      <w:r w:rsidR="009342F5">
        <w:rPr>
          <w:rFonts w:cs="Calibri"/>
        </w:rPr>
        <w:t xml:space="preserve"> </w:t>
      </w:r>
      <w:r w:rsidR="003D59FA" w:rsidRPr="002D7C87">
        <w:rPr>
          <w:rFonts w:cs="Calibri"/>
        </w:rPr>
        <w:t xml:space="preserve">The booklet is designed to provide accessible and easy-to-read </w:t>
      </w:r>
      <w:proofErr w:type="gramStart"/>
      <w:r w:rsidR="003D59FA" w:rsidRPr="002D7C87">
        <w:rPr>
          <w:rFonts w:cs="Calibri"/>
        </w:rPr>
        <w:t>information, and</w:t>
      </w:r>
      <w:proofErr w:type="gramEnd"/>
      <w:r w:rsidR="003D59FA" w:rsidRPr="002D7C87">
        <w:rPr>
          <w:rFonts w:cs="Calibri"/>
        </w:rPr>
        <w:t xml:space="preserve"> is written in accordance with the European Easy-to-Read standard. The aim of the standard is primarily to produce information that is accessible to people with learning disabilities, but documents produced to the standard may also be helpful to others, such as those with LEP. Like most patient information booklets, the “Easy Read: How Is Myeloma Treated?” booklet was not primarily designed as a resource to be translated</w:t>
      </w:r>
      <w:r w:rsidR="00AB7C9D" w:rsidRPr="002D7C87">
        <w:rPr>
          <w:rFonts w:cs="Calibri"/>
        </w:rPr>
        <w:t>, but during production</w:t>
      </w:r>
      <w:r w:rsidR="00311759" w:rsidRPr="002D7C87">
        <w:rPr>
          <w:rFonts w:cs="Calibri"/>
        </w:rPr>
        <w:t xml:space="preserve"> of patient information</w:t>
      </w:r>
      <w:r w:rsidR="00AB7C9D" w:rsidRPr="002D7C87">
        <w:rPr>
          <w:rFonts w:cs="Calibri"/>
        </w:rPr>
        <w:t xml:space="preserve">, </w:t>
      </w:r>
      <w:r w:rsidR="001507CD" w:rsidRPr="002D7C87">
        <w:rPr>
          <w:rFonts w:cs="Calibri"/>
        </w:rPr>
        <w:t xml:space="preserve">consideration </w:t>
      </w:r>
      <w:r w:rsidR="00357AD8" w:rsidRPr="002D7C87">
        <w:rPr>
          <w:rFonts w:cs="Calibri"/>
        </w:rPr>
        <w:t xml:space="preserve">is given to </w:t>
      </w:r>
      <w:r w:rsidR="00886173" w:rsidRPr="002D7C87">
        <w:rPr>
          <w:rFonts w:cs="Calibri"/>
        </w:rPr>
        <w:t>“translation-friendliness”, such as avoiding idioms</w:t>
      </w:r>
      <w:r w:rsidR="00673921" w:rsidRPr="002D7C87">
        <w:rPr>
          <w:rFonts w:cs="Calibri"/>
        </w:rPr>
        <w:t xml:space="preserve"> and complex tenses</w:t>
      </w:r>
      <w:r w:rsidR="003D59FA" w:rsidRPr="002D7C87">
        <w:rPr>
          <w:rFonts w:cs="Calibri"/>
        </w:rPr>
        <w:t>.</w:t>
      </w:r>
      <w:r w:rsidR="009E594E" w:rsidRPr="002D7C87">
        <w:rPr>
          <w:rFonts w:cs="Calibri"/>
        </w:rPr>
        <w:t xml:space="preserve"> </w:t>
      </w:r>
    </w:p>
    <w:p w14:paraId="586A5DE0" w14:textId="77777777" w:rsidR="003D59FA" w:rsidRPr="002D7C87" w:rsidRDefault="003D59FA" w:rsidP="003372AF">
      <w:pPr>
        <w:rPr>
          <w:rFonts w:cs="Calibri"/>
        </w:rPr>
      </w:pPr>
    </w:p>
    <w:p w14:paraId="1BA2F76F" w14:textId="702F0F49" w:rsidR="003372AF" w:rsidRPr="002D7C87" w:rsidRDefault="003372AF" w:rsidP="003372AF">
      <w:pPr>
        <w:rPr>
          <w:rFonts w:cs="Calibri"/>
        </w:rPr>
      </w:pPr>
      <w:r w:rsidRPr="002D7C87">
        <w:rPr>
          <w:rFonts w:cs="Calibri"/>
        </w:rPr>
        <w:t xml:space="preserve">We created two translations of this </w:t>
      </w:r>
      <w:r w:rsidR="00C30217" w:rsidRPr="002D7C87">
        <w:rPr>
          <w:rFonts w:cs="Calibri"/>
        </w:rPr>
        <w:t>booklet</w:t>
      </w:r>
      <w:r w:rsidRPr="002D7C87">
        <w:rPr>
          <w:rFonts w:cs="Calibri"/>
        </w:rPr>
        <w:t xml:space="preserve">. For the machine translation, we asked Bengali translators to recommend a suitable neural machine translation tool for the low-resource English into Bengali language combination, and chose Google Translate, which has been widely tested in healthcare settings. A research team member who cannot read Bengali used Google Translate to create the machine translation, preserving the original </w:t>
      </w:r>
      <w:r w:rsidR="00C30217" w:rsidRPr="002D7C87">
        <w:rPr>
          <w:rFonts w:cs="Calibri"/>
        </w:rPr>
        <w:t>booklet</w:t>
      </w:r>
      <w:r w:rsidRPr="002D7C87">
        <w:rPr>
          <w:rFonts w:cs="Calibri"/>
        </w:rPr>
        <w:t xml:space="preserve"> format as best possible. </w:t>
      </w:r>
    </w:p>
    <w:p w14:paraId="0D85870C" w14:textId="77777777" w:rsidR="00090BFB" w:rsidRPr="002D7C87" w:rsidRDefault="00090BFB" w:rsidP="00E56919">
      <w:pPr>
        <w:rPr>
          <w:rFonts w:cs="Calibri"/>
        </w:rPr>
      </w:pPr>
    </w:p>
    <w:p w14:paraId="3B01680D" w14:textId="32C5EBBA" w:rsidR="00E97929" w:rsidRPr="002D7C87" w:rsidRDefault="00E97929" w:rsidP="00E97929">
      <w:pPr>
        <w:rPr>
          <w:rFonts w:cs="Calibri"/>
        </w:rPr>
      </w:pPr>
      <w:r w:rsidRPr="002D7C87">
        <w:rPr>
          <w:rFonts w:cs="Calibri"/>
        </w:rPr>
        <w:t xml:space="preserve">The </w:t>
      </w:r>
      <w:r w:rsidR="006743AF" w:rsidRPr="002D7C87">
        <w:rPr>
          <w:rFonts w:cs="Calibri"/>
        </w:rPr>
        <w:t>professional</w:t>
      </w:r>
      <w:r w:rsidRPr="002D7C87">
        <w:rPr>
          <w:rFonts w:cs="Calibri"/>
        </w:rPr>
        <w:t xml:space="preserve"> translation was commissioned to professional translators and completed according to International Organization for Standardization (ISO) standards (ISO </w:t>
      </w:r>
      <w:r w:rsidRPr="002D7C87">
        <w:rPr>
          <w:rFonts w:cs="Calibri"/>
        </w:rPr>
        <w:lastRenderedPageBreak/>
        <w:t xml:space="preserve">17100:2015+A1:2017 </w:t>
      </w:r>
      <w:r w:rsidR="00587D91" w:rsidRPr="002D7C87">
        <w:rPr>
          <w:rFonts w:cs="Calibri"/>
        </w:rPr>
        <w:t>–</w:t>
      </w:r>
      <w:r w:rsidRPr="002D7C87">
        <w:rPr>
          <w:rFonts w:cs="Calibri"/>
        </w:rPr>
        <w:t xml:space="preserve"> </w:t>
      </w:r>
      <w:r w:rsidRPr="002D7C87">
        <w:rPr>
          <w:rFonts w:cs="Calibri"/>
          <w:i/>
          <w:iCs/>
        </w:rPr>
        <w:t xml:space="preserve">Translation services </w:t>
      </w:r>
      <w:r w:rsidR="00587D91" w:rsidRPr="002D7C87">
        <w:rPr>
          <w:rFonts w:cs="Calibri"/>
          <w:i/>
          <w:iCs/>
        </w:rPr>
        <w:t>–</w:t>
      </w:r>
      <w:r w:rsidRPr="002D7C87">
        <w:rPr>
          <w:rFonts w:cs="Calibri"/>
          <w:i/>
          <w:iCs/>
        </w:rPr>
        <w:t xml:space="preserve"> Requirements for translation services</w:t>
      </w:r>
      <w:r w:rsidRPr="002D7C87">
        <w:rPr>
          <w:rFonts w:cs="Calibri"/>
        </w:rPr>
        <w:t xml:space="preserve">). In this process, one translator completes the </w:t>
      </w:r>
      <w:proofErr w:type="gramStart"/>
      <w:r w:rsidRPr="002D7C87">
        <w:rPr>
          <w:rFonts w:cs="Calibri"/>
        </w:rPr>
        <w:t>translation</w:t>
      </w:r>
      <w:proofErr w:type="gramEnd"/>
      <w:r w:rsidRPr="002D7C87">
        <w:rPr>
          <w:rFonts w:cs="Calibri"/>
        </w:rPr>
        <w:t xml:space="preserve"> and their work is independently revised by another translator, who checks </w:t>
      </w:r>
      <w:r w:rsidRPr="002D7C87">
        <w:rPr>
          <w:rFonts w:cs="Calibri"/>
          <w:kern w:val="0"/>
        </w:rPr>
        <w:t>the Bengali translation alongside the English original</w:t>
      </w:r>
      <w:r w:rsidRPr="002D7C87">
        <w:rPr>
          <w:rFonts w:cs="Calibri"/>
        </w:rPr>
        <w:t>. Finally, a Bengali-speaking proofreader reads the translation as if it had been originally written in Bengali. Any use of machine translation renderings by the first translator was post-edited respecting the requirements of ISO 18587:2017 (</w:t>
      </w:r>
      <w:r w:rsidRPr="002D7C87">
        <w:rPr>
          <w:rFonts w:cs="Calibri"/>
          <w:i/>
          <w:iCs/>
        </w:rPr>
        <w:t>Translation services. Post-editing of machine translation output</w:t>
      </w:r>
      <w:r w:rsidRPr="002D7C87">
        <w:rPr>
          <w:rFonts w:cs="Calibri"/>
        </w:rPr>
        <w:t xml:space="preserve">). </w:t>
      </w:r>
    </w:p>
    <w:p w14:paraId="42FDA65A" w14:textId="7757B3FE" w:rsidR="00F53FCB" w:rsidRPr="002D7C87" w:rsidRDefault="00F53FCB" w:rsidP="002655FB">
      <w:pPr>
        <w:rPr>
          <w:rFonts w:cs="Calibri"/>
        </w:rPr>
      </w:pPr>
    </w:p>
    <w:p w14:paraId="4BE08C92" w14:textId="7FEBE081" w:rsidR="00AB1597" w:rsidRPr="002D7C87" w:rsidRDefault="00AB1597" w:rsidP="00AB1597">
      <w:pPr>
        <w:rPr>
          <w:rFonts w:cs="Calibri"/>
        </w:rPr>
      </w:pPr>
      <w:r w:rsidRPr="002D7C87">
        <w:rPr>
          <w:rFonts w:cs="Calibri"/>
        </w:rPr>
        <w:t>Participants were recruited from local Bengali and Sylheti speaking community groups and met in community venues in groups of between 12-40 participants across five sessions. Sessions were led by English and Bengali-speaking researchers, with an accredited Bengali and Sylheti interpreter present at each session. Participants first watched a</w:t>
      </w:r>
      <w:r w:rsidR="006962CD" w:rsidRPr="002D7C87">
        <w:rPr>
          <w:rFonts w:cs="Calibri"/>
        </w:rPr>
        <w:t xml:space="preserve">n introductory </w:t>
      </w:r>
      <w:r w:rsidRPr="002D7C87">
        <w:rPr>
          <w:rFonts w:cs="Calibri"/>
        </w:rPr>
        <w:t>video in Bengali, which explained that they would be asked to imagine that they were supporting an imaginary friend or family member who had just been diagnosed with myeloma, and who was now asking for their assistance</w:t>
      </w:r>
      <w:r w:rsidR="00D34339" w:rsidRPr="002D7C87">
        <w:rPr>
          <w:rFonts w:cs="Calibri"/>
        </w:rPr>
        <w:t xml:space="preserve"> in</w:t>
      </w:r>
      <w:r w:rsidRPr="002D7C87">
        <w:rPr>
          <w:rFonts w:cs="Calibri"/>
        </w:rPr>
        <w:t xml:space="preserve"> understanding an information </w:t>
      </w:r>
      <w:r w:rsidR="00C30217" w:rsidRPr="002D7C87">
        <w:rPr>
          <w:rFonts w:cs="Calibri"/>
        </w:rPr>
        <w:t>booklet</w:t>
      </w:r>
      <w:r w:rsidRPr="002D7C87">
        <w:rPr>
          <w:rFonts w:cs="Calibri"/>
        </w:rPr>
        <w:t xml:space="preserve"> they had been given.</w:t>
      </w:r>
    </w:p>
    <w:p w14:paraId="2277F0A1" w14:textId="77777777" w:rsidR="002655FB" w:rsidRPr="002D7C87" w:rsidRDefault="002655FB" w:rsidP="002655FB">
      <w:pPr>
        <w:rPr>
          <w:rFonts w:cs="Calibri"/>
        </w:rPr>
      </w:pPr>
    </w:p>
    <w:p w14:paraId="68871C62" w14:textId="2485CA34" w:rsidR="00863A91" w:rsidRPr="002D7C87" w:rsidRDefault="00863A91" w:rsidP="00863A91">
      <w:pPr>
        <w:rPr>
          <w:rFonts w:cs="Calibri"/>
        </w:rPr>
      </w:pPr>
      <w:r w:rsidRPr="002D7C87">
        <w:rPr>
          <w:rFonts w:cs="Calibri"/>
        </w:rPr>
        <w:t xml:space="preserve">After written consent was collected, participants were given a sealed envelope containing their allocated group (“circle” or “square” to maintain blinding), allocated </w:t>
      </w:r>
      <w:r w:rsidR="00C30217" w:rsidRPr="002D7C87">
        <w:rPr>
          <w:rFonts w:cs="Calibri"/>
        </w:rPr>
        <w:t>booklet</w:t>
      </w:r>
      <w:r w:rsidRPr="002D7C87">
        <w:rPr>
          <w:rFonts w:cs="Calibri"/>
        </w:rPr>
        <w:t xml:space="preserve"> translation, a Bengali form to collect demographic information, and </w:t>
      </w:r>
      <w:r w:rsidR="00296B4B" w:rsidRPr="002D7C87">
        <w:rPr>
          <w:rFonts w:cs="Calibri"/>
        </w:rPr>
        <w:t xml:space="preserve">Booklet </w:t>
      </w:r>
      <w:r w:rsidRPr="002D7C87">
        <w:rPr>
          <w:rFonts w:cs="Calibri"/>
        </w:rPr>
        <w:t xml:space="preserve">Comprehension Tool. The </w:t>
      </w:r>
      <w:r w:rsidR="006962CD" w:rsidRPr="002D7C87">
        <w:rPr>
          <w:rFonts w:cs="Calibri"/>
        </w:rPr>
        <w:t xml:space="preserve">two </w:t>
      </w:r>
      <w:r w:rsidRPr="002D7C87">
        <w:rPr>
          <w:rFonts w:cs="Calibri"/>
        </w:rPr>
        <w:t xml:space="preserve">groups were taken to </w:t>
      </w:r>
      <w:r w:rsidR="006962CD" w:rsidRPr="002D7C87">
        <w:rPr>
          <w:rFonts w:cs="Calibri"/>
        </w:rPr>
        <w:t xml:space="preserve">separate </w:t>
      </w:r>
      <w:r w:rsidRPr="002D7C87">
        <w:rPr>
          <w:rFonts w:cs="Calibri"/>
        </w:rPr>
        <w:t xml:space="preserve">physical spaces (different rooms or parts of a room). After completing their demographic information, participants were given 15 minutes to read the translated </w:t>
      </w:r>
      <w:r w:rsidR="00C30217" w:rsidRPr="002D7C87">
        <w:rPr>
          <w:rFonts w:cs="Calibri"/>
        </w:rPr>
        <w:t>booklet</w:t>
      </w:r>
      <w:r w:rsidRPr="002D7C87">
        <w:rPr>
          <w:rFonts w:cs="Calibri"/>
        </w:rPr>
        <w:t>.</w:t>
      </w:r>
    </w:p>
    <w:p w14:paraId="7CB976E3" w14:textId="77777777" w:rsidR="0014252A" w:rsidRPr="002D7C87" w:rsidRDefault="0014252A" w:rsidP="002655FB">
      <w:pPr>
        <w:rPr>
          <w:rFonts w:cs="Calibri"/>
        </w:rPr>
      </w:pPr>
    </w:p>
    <w:p w14:paraId="2F3BA0B5" w14:textId="4BE450A5" w:rsidR="002655FB" w:rsidRPr="002D7C87" w:rsidRDefault="0014252A" w:rsidP="002655FB">
      <w:pPr>
        <w:rPr>
          <w:rFonts w:cs="Calibri"/>
        </w:rPr>
      </w:pPr>
      <w:r w:rsidRPr="002D7C87">
        <w:rPr>
          <w:rFonts w:cs="Calibri"/>
        </w:rPr>
        <w:lastRenderedPageBreak/>
        <w:t xml:space="preserve">After </w:t>
      </w:r>
      <w:r w:rsidR="00225ADF" w:rsidRPr="002D7C87">
        <w:rPr>
          <w:rFonts w:cs="Calibri"/>
        </w:rPr>
        <w:t>the allocated reading</w:t>
      </w:r>
      <w:r w:rsidRPr="002D7C87">
        <w:rPr>
          <w:rFonts w:cs="Calibri"/>
        </w:rPr>
        <w:t xml:space="preserve"> time, research team members asked participants to put away their </w:t>
      </w:r>
      <w:proofErr w:type="gramStart"/>
      <w:r w:rsidR="00C30217" w:rsidRPr="002D7C87">
        <w:rPr>
          <w:rFonts w:cs="Calibri"/>
        </w:rPr>
        <w:t>booklets</w:t>
      </w:r>
      <w:r w:rsidRPr="002D7C87">
        <w:rPr>
          <w:rFonts w:cs="Calibri"/>
        </w:rPr>
        <w:t>, and</w:t>
      </w:r>
      <w:proofErr w:type="gramEnd"/>
      <w:r w:rsidRPr="002D7C87">
        <w:rPr>
          <w:rFonts w:cs="Calibri"/>
        </w:rPr>
        <w:t xml:space="preserve"> take out</w:t>
      </w:r>
      <w:r w:rsidR="00C10BB0" w:rsidRPr="002D7C87">
        <w:rPr>
          <w:rFonts w:cs="Calibri"/>
        </w:rPr>
        <w:t xml:space="preserve"> the</w:t>
      </w:r>
      <w:r w:rsidRPr="002D7C87">
        <w:rPr>
          <w:rFonts w:cs="Calibri"/>
        </w:rPr>
        <w:t xml:space="preserve"> </w:t>
      </w:r>
      <w:r w:rsidR="00C30217" w:rsidRPr="002D7C87">
        <w:rPr>
          <w:rFonts w:cs="Calibri"/>
        </w:rPr>
        <w:t>Booklet</w:t>
      </w:r>
      <w:r w:rsidR="00FB49D6" w:rsidRPr="002D7C87">
        <w:rPr>
          <w:rFonts w:cs="Calibri"/>
        </w:rPr>
        <w:t xml:space="preserve"> Comprehension Tool</w:t>
      </w:r>
      <w:r w:rsidRPr="002D7C87">
        <w:rPr>
          <w:rFonts w:cs="Calibri"/>
        </w:rPr>
        <w:t>.</w:t>
      </w:r>
      <w:r w:rsidR="0068118B" w:rsidRPr="002D7C87">
        <w:rPr>
          <w:rFonts w:cs="Calibri"/>
        </w:rPr>
        <w:t xml:space="preserve"> The interpreter read each question and </w:t>
      </w:r>
      <w:r w:rsidR="00225ADF" w:rsidRPr="002D7C87">
        <w:rPr>
          <w:rFonts w:cs="Calibri"/>
        </w:rPr>
        <w:t>each</w:t>
      </w:r>
      <w:r w:rsidR="0068118B" w:rsidRPr="002D7C87">
        <w:rPr>
          <w:rFonts w:cs="Calibri"/>
        </w:rPr>
        <w:t xml:space="preserve"> potential answer out loud. Any participant asking for help with an answer could have the question </w:t>
      </w:r>
      <w:proofErr w:type="gramStart"/>
      <w:r w:rsidR="00036B3A" w:rsidRPr="002D7C87">
        <w:rPr>
          <w:rFonts w:cs="Calibri"/>
        </w:rPr>
        <w:t>repeated, but</w:t>
      </w:r>
      <w:proofErr w:type="gramEnd"/>
      <w:r w:rsidR="00036B3A" w:rsidRPr="002D7C87">
        <w:rPr>
          <w:rFonts w:cs="Calibri"/>
        </w:rPr>
        <w:t xml:space="preserve"> </w:t>
      </w:r>
      <w:r w:rsidR="00225ADF" w:rsidRPr="002D7C87">
        <w:rPr>
          <w:rFonts w:cs="Calibri"/>
        </w:rPr>
        <w:t xml:space="preserve">was </w:t>
      </w:r>
      <w:r w:rsidR="00036B3A" w:rsidRPr="002D7C87">
        <w:rPr>
          <w:rFonts w:cs="Calibri"/>
        </w:rPr>
        <w:t xml:space="preserve">not given guidance to </w:t>
      </w:r>
      <w:r w:rsidR="00225ADF" w:rsidRPr="002D7C87">
        <w:rPr>
          <w:rFonts w:cs="Calibri"/>
        </w:rPr>
        <w:t>select a</w:t>
      </w:r>
      <w:r w:rsidR="008E7B4C" w:rsidRPr="002D7C87">
        <w:rPr>
          <w:rFonts w:cs="Calibri"/>
        </w:rPr>
        <w:t xml:space="preserve"> specific</w:t>
      </w:r>
      <w:r w:rsidR="00225ADF" w:rsidRPr="002D7C87">
        <w:rPr>
          <w:rFonts w:cs="Calibri"/>
        </w:rPr>
        <w:t xml:space="preserve"> </w:t>
      </w:r>
      <w:r w:rsidR="00036B3A" w:rsidRPr="002D7C87">
        <w:rPr>
          <w:rFonts w:cs="Calibri"/>
        </w:rPr>
        <w:t xml:space="preserve">answer. After collection of </w:t>
      </w:r>
      <w:r w:rsidR="00C10BB0" w:rsidRPr="002D7C87">
        <w:rPr>
          <w:rFonts w:cs="Calibri"/>
        </w:rPr>
        <w:t xml:space="preserve">the </w:t>
      </w:r>
      <w:r w:rsidR="00036B3A" w:rsidRPr="002D7C87">
        <w:rPr>
          <w:rFonts w:cs="Calibri"/>
        </w:rPr>
        <w:t>complete</w:t>
      </w:r>
      <w:r w:rsidR="00C10BB0" w:rsidRPr="002D7C87">
        <w:rPr>
          <w:rFonts w:cs="Calibri"/>
        </w:rPr>
        <w:t xml:space="preserve">d </w:t>
      </w:r>
      <w:r w:rsidR="00C30217" w:rsidRPr="002D7C87">
        <w:rPr>
          <w:rFonts w:cs="Calibri"/>
        </w:rPr>
        <w:t>Booklet</w:t>
      </w:r>
      <w:r w:rsidR="00036B3A" w:rsidRPr="002D7C87">
        <w:rPr>
          <w:rFonts w:cs="Calibri"/>
        </w:rPr>
        <w:t xml:space="preserve"> Comprehension Tool, </w:t>
      </w:r>
      <w:r w:rsidR="000D0C96" w:rsidRPr="002D7C87">
        <w:rPr>
          <w:rFonts w:cs="Calibri"/>
        </w:rPr>
        <w:t xml:space="preserve">participants were given </w:t>
      </w:r>
      <w:r w:rsidR="00994FF5" w:rsidRPr="002D7C87">
        <w:rPr>
          <w:rFonts w:cs="Calibri"/>
        </w:rPr>
        <w:t xml:space="preserve">the </w:t>
      </w:r>
      <w:r w:rsidR="000D0C96" w:rsidRPr="002D7C87">
        <w:rPr>
          <w:rFonts w:cs="Calibri"/>
        </w:rPr>
        <w:t>opportunity to ask any questions they had about myeloma and myeloma treatment. All participants were given a £20 gift voucher for participation</w:t>
      </w:r>
      <w:r w:rsidR="0083186D" w:rsidRPr="002D7C87">
        <w:rPr>
          <w:rFonts w:cs="Calibri"/>
        </w:rPr>
        <w:t xml:space="preserve"> in the Booklet Component</w:t>
      </w:r>
      <w:r w:rsidR="000D0C96" w:rsidRPr="002D7C87">
        <w:rPr>
          <w:rFonts w:cs="Calibri"/>
        </w:rPr>
        <w:t xml:space="preserve"> and invited to return for the </w:t>
      </w:r>
      <w:r w:rsidR="00405CE7" w:rsidRPr="002D7C87">
        <w:rPr>
          <w:rFonts w:cs="Calibri"/>
        </w:rPr>
        <w:t>Consent Component</w:t>
      </w:r>
      <w:r w:rsidR="000D0C96" w:rsidRPr="002D7C87">
        <w:rPr>
          <w:rFonts w:cs="Calibri"/>
        </w:rPr>
        <w:t>.</w:t>
      </w:r>
    </w:p>
    <w:p w14:paraId="52AE31F1" w14:textId="77777777" w:rsidR="0082619A" w:rsidRPr="002D7C87" w:rsidRDefault="0082619A" w:rsidP="002655FB">
      <w:pPr>
        <w:rPr>
          <w:rFonts w:cs="Calibri"/>
        </w:rPr>
      </w:pPr>
    </w:p>
    <w:p w14:paraId="5566F7A7" w14:textId="53702DF7" w:rsidR="0082619A" w:rsidRPr="002D7C87" w:rsidRDefault="00C51448" w:rsidP="002655FB">
      <w:pPr>
        <w:rPr>
          <w:rFonts w:cs="Calibri"/>
        </w:rPr>
      </w:pPr>
      <w:proofErr w:type="gramStart"/>
      <w:r w:rsidRPr="002D7C87">
        <w:rPr>
          <w:rFonts w:cs="Calibri"/>
        </w:rPr>
        <w:t>Otherwise</w:t>
      </w:r>
      <w:proofErr w:type="gramEnd"/>
      <w:r w:rsidRPr="002D7C87">
        <w:rPr>
          <w:rFonts w:cs="Calibri"/>
        </w:rPr>
        <w:t xml:space="preserve"> eligible f</w:t>
      </w:r>
      <w:r w:rsidR="00F319DF" w:rsidRPr="002D7C87">
        <w:rPr>
          <w:rFonts w:cs="Calibri"/>
        </w:rPr>
        <w:t>riends</w:t>
      </w:r>
      <w:r w:rsidR="0082619A" w:rsidRPr="002D7C87">
        <w:rPr>
          <w:rFonts w:cs="Calibri"/>
        </w:rPr>
        <w:t xml:space="preserve"> and contacts </w:t>
      </w:r>
      <w:r w:rsidR="00F319DF" w:rsidRPr="002D7C87">
        <w:rPr>
          <w:rFonts w:cs="Calibri"/>
        </w:rPr>
        <w:t xml:space="preserve">of participants, </w:t>
      </w:r>
      <w:r w:rsidR="0082619A" w:rsidRPr="002D7C87">
        <w:rPr>
          <w:rFonts w:cs="Calibri"/>
        </w:rPr>
        <w:t xml:space="preserve">who had been unable to attend </w:t>
      </w:r>
      <w:r w:rsidR="00F319DF" w:rsidRPr="002D7C87">
        <w:rPr>
          <w:rFonts w:cs="Calibri"/>
        </w:rPr>
        <w:t xml:space="preserve">the </w:t>
      </w:r>
      <w:r w:rsidR="00C30217" w:rsidRPr="002D7C87">
        <w:rPr>
          <w:rFonts w:cs="Calibri"/>
        </w:rPr>
        <w:t>Booklet</w:t>
      </w:r>
      <w:r w:rsidR="00405CE7" w:rsidRPr="002D7C87">
        <w:rPr>
          <w:rFonts w:cs="Calibri"/>
        </w:rPr>
        <w:t xml:space="preserve"> Component</w:t>
      </w:r>
      <w:r w:rsidR="00F319DF" w:rsidRPr="002D7C87">
        <w:rPr>
          <w:rFonts w:cs="Calibri"/>
        </w:rPr>
        <w:t xml:space="preserve">, </w:t>
      </w:r>
      <w:r w:rsidRPr="002D7C87">
        <w:rPr>
          <w:rFonts w:cs="Calibri"/>
        </w:rPr>
        <w:t>were allowed to</w:t>
      </w:r>
      <w:r w:rsidR="0082619A" w:rsidRPr="002D7C87">
        <w:rPr>
          <w:rFonts w:cs="Calibri"/>
        </w:rPr>
        <w:t xml:space="preserve"> attend the </w:t>
      </w:r>
      <w:r w:rsidR="00405CE7" w:rsidRPr="002D7C87">
        <w:rPr>
          <w:rFonts w:cs="Calibri"/>
        </w:rPr>
        <w:t>Consent Component</w:t>
      </w:r>
      <w:r w:rsidR="0082619A" w:rsidRPr="002D7C87">
        <w:rPr>
          <w:rFonts w:cs="Calibri"/>
        </w:rPr>
        <w:t xml:space="preserve">. </w:t>
      </w:r>
      <w:r w:rsidR="00F319DF" w:rsidRPr="002D7C87">
        <w:rPr>
          <w:rFonts w:cs="Calibri"/>
        </w:rPr>
        <w:t xml:space="preserve">To </w:t>
      </w:r>
      <w:r w:rsidRPr="002D7C87">
        <w:rPr>
          <w:rFonts w:cs="Calibri"/>
        </w:rPr>
        <w:t xml:space="preserve">reflect the difference in </w:t>
      </w:r>
      <w:r w:rsidR="00B32246" w:rsidRPr="002D7C87">
        <w:rPr>
          <w:rFonts w:cs="Calibri"/>
        </w:rPr>
        <w:t>this group</w:t>
      </w:r>
      <w:r w:rsidR="00F319DF" w:rsidRPr="002D7C87">
        <w:rPr>
          <w:rFonts w:cs="Calibri"/>
        </w:rPr>
        <w:t xml:space="preserve">, we </w:t>
      </w:r>
      <w:r w:rsidR="0082619A" w:rsidRPr="002D7C87">
        <w:rPr>
          <w:rFonts w:cs="Calibri"/>
        </w:rPr>
        <w:t xml:space="preserve">organised a separate randomisation </w:t>
      </w:r>
      <w:r w:rsidR="00F319DF" w:rsidRPr="002D7C87">
        <w:rPr>
          <w:rFonts w:cs="Calibri"/>
        </w:rPr>
        <w:t xml:space="preserve">sequence </w:t>
      </w:r>
      <w:r w:rsidR="0082619A" w:rsidRPr="002D7C87">
        <w:rPr>
          <w:rFonts w:cs="Calibri"/>
        </w:rPr>
        <w:t xml:space="preserve">for participants attending </w:t>
      </w:r>
      <w:r w:rsidR="00F319DF" w:rsidRPr="002D7C87">
        <w:rPr>
          <w:rFonts w:cs="Calibri"/>
        </w:rPr>
        <w:t xml:space="preserve">the </w:t>
      </w:r>
      <w:r w:rsidR="00405CE7" w:rsidRPr="002D7C87">
        <w:rPr>
          <w:rFonts w:cs="Calibri"/>
        </w:rPr>
        <w:t>Consent Component</w:t>
      </w:r>
      <w:r w:rsidR="00F319DF" w:rsidRPr="002D7C87">
        <w:rPr>
          <w:rFonts w:cs="Calibri"/>
        </w:rPr>
        <w:t xml:space="preserve"> </w:t>
      </w:r>
      <w:r w:rsidR="0082619A" w:rsidRPr="002D7C87">
        <w:rPr>
          <w:rFonts w:cs="Calibri"/>
        </w:rPr>
        <w:t xml:space="preserve">who had not participated in </w:t>
      </w:r>
      <w:r w:rsidR="00F319DF" w:rsidRPr="002D7C87">
        <w:rPr>
          <w:rFonts w:cs="Calibri"/>
        </w:rPr>
        <w:t xml:space="preserve">the </w:t>
      </w:r>
      <w:r w:rsidR="00C30217" w:rsidRPr="002D7C87">
        <w:rPr>
          <w:rFonts w:cs="Calibri"/>
        </w:rPr>
        <w:t>Booklet</w:t>
      </w:r>
      <w:r w:rsidR="00405CE7" w:rsidRPr="002D7C87">
        <w:rPr>
          <w:rFonts w:cs="Calibri"/>
        </w:rPr>
        <w:t xml:space="preserve"> Component</w:t>
      </w:r>
      <w:r w:rsidR="0082619A" w:rsidRPr="002D7C87">
        <w:rPr>
          <w:rFonts w:cs="Calibri"/>
        </w:rPr>
        <w:t xml:space="preserve">. </w:t>
      </w:r>
      <w:r w:rsidR="00F319DF" w:rsidRPr="002D7C87">
        <w:rPr>
          <w:rFonts w:cs="Calibri"/>
        </w:rPr>
        <w:t>However, t</w:t>
      </w:r>
      <w:r w:rsidR="0082619A" w:rsidRPr="002D7C87">
        <w:rPr>
          <w:rFonts w:cs="Calibri"/>
        </w:rPr>
        <w:t xml:space="preserve">his simulated consent-only cohort was small (n=29) and did not meet our pre-specified size for analysis (&gt;40); </w:t>
      </w:r>
      <w:r w:rsidR="00F319DF" w:rsidRPr="002D7C87">
        <w:rPr>
          <w:rFonts w:cs="Calibri"/>
        </w:rPr>
        <w:t>this cohort</w:t>
      </w:r>
      <w:r w:rsidR="0082619A" w:rsidRPr="002D7C87">
        <w:rPr>
          <w:rFonts w:cs="Calibri"/>
        </w:rPr>
        <w:t xml:space="preserve"> </w:t>
      </w:r>
      <w:r w:rsidR="00F319DF" w:rsidRPr="002D7C87">
        <w:rPr>
          <w:rFonts w:cs="Calibri"/>
        </w:rPr>
        <w:t xml:space="preserve">is </w:t>
      </w:r>
      <w:r w:rsidR="0082619A" w:rsidRPr="002D7C87">
        <w:rPr>
          <w:rFonts w:cs="Calibri"/>
        </w:rPr>
        <w:t xml:space="preserve">not </w:t>
      </w:r>
      <w:r w:rsidR="00F319DF" w:rsidRPr="002D7C87">
        <w:rPr>
          <w:rFonts w:cs="Calibri"/>
        </w:rPr>
        <w:t xml:space="preserve">described </w:t>
      </w:r>
      <w:r w:rsidR="0082619A" w:rsidRPr="002D7C87">
        <w:rPr>
          <w:rFonts w:cs="Calibri"/>
        </w:rPr>
        <w:t>further within this paper.</w:t>
      </w:r>
    </w:p>
    <w:p w14:paraId="30307157" w14:textId="77777777" w:rsidR="002655FB" w:rsidRPr="002D7C87" w:rsidRDefault="002655FB" w:rsidP="002655FB">
      <w:pPr>
        <w:rPr>
          <w:rFonts w:cs="Calibri"/>
        </w:rPr>
      </w:pPr>
    </w:p>
    <w:p w14:paraId="30D5C112" w14:textId="77777777" w:rsidR="00AC73F3" w:rsidRDefault="00405CE7" w:rsidP="00AC73F3">
      <w:pPr>
        <w:pStyle w:val="Heading4"/>
      </w:pPr>
      <w:r w:rsidRPr="002D7C87">
        <w:t>Consent Component</w:t>
      </w:r>
    </w:p>
    <w:p w14:paraId="18BB3001" w14:textId="319F636F" w:rsidR="00375423" w:rsidRPr="002D7C87" w:rsidRDefault="002655FB" w:rsidP="004F135A">
      <w:pPr>
        <w:rPr>
          <w:rFonts w:cs="Calibri"/>
        </w:rPr>
      </w:pPr>
      <w:r w:rsidRPr="002D7C87">
        <w:rPr>
          <w:rFonts w:cs="Calibri"/>
        </w:rPr>
        <w:t xml:space="preserve">Haemato-oncologists </w:t>
      </w:r>
      <w:r w:rsidR="0065690C" w:rsidRPr="002D7C87">
        <w:rPr>
          <w:rFonts w:cs="Calibri"/>
        </w:rPr>
        <w:t xml:space="preserve">(qualified doctors with at least five years of postgraduate training) </w:t>
      </w:r>
      <w:r w:rsidRPr="002D7C87">
        <w:rPr>
          <w:rFonts w:cs="Calibri"/>
        </w:rPr>
        <w:t>with experience in taking consent for SACT were randomly assigned to either the English</w:t>
      </w:r>
      <w:r w:rsidR="0065690C" w:rsidRPr="002D7C87">
        <w:rPr>
          <w:rFonts w:cs="Calibri"/>
        </w:rPr>
        <w:t>-only</w:t>
      </w:r>
      <w:r w:rsidRPr="002D7C87">
        <w:rPr>
          <w:rFonts w:cs="Calibri"/>
        </w:rPr>
        <w:t xml:space="preserve"> or </w:t>
      </w:r>
      <w:r w:rsidR="0065690C" w:rsidRPr="002D7C87">
        <w:rPr>
          <w:rFonts w:cs="Calibri"/>
        </w:rPr>
        <w:t xml:space="preserve">bilingual </w:t>
      </w:r>
      <w:r w:rsidRPr="002D7C87">
        <w:rPr>
          <w:rFonts w:cs="Calibri"/>
        </w:rPr>
        <w:t xml:space="preserve">consent form groups, taking place in different rooms. Each doctor was </w:t>
      </w:r>
      <w:r w:rsidR="000D0C96" w:rsidRPr="002D7C87">
        <w:rPr>
          <w:rFonts w:cs="Calibri"/>
        </w:rPr>
        <w:t xml:space="preserve">supported by </w:t>
      </w:r>
      <w:r w:rsidR="003D633E" w:rsidRPr="002D7C87">
        <w:rPr>
          <w:rFonts w:cs="Calibri"/>
        </w:rPr>
        <w:t>a</w:t>
      </w:r>
      <w:r w:rsidR="000D0C96" w:rsidRPr="002D7C87">
        <w:rPr>
          <w:rFonts w:cs="Calibri"/>
        </w:rPr>
        <w:t xml:space="preserve"> Bengali/Sylheti interpreter </w:t>
      </w:r>
      <w:r w:rsidR="008A0C06" w:rsidRPr="002D7C87">
        <w:rPr>
          <w:rFonts w:cs="Calibri"/>
        </w:rPr>
        <w:t xml:space="preserve">accredited as a member of </w:t>
      </w:r>
      <w:r w:rsidR="004F135A" w:rsidRPr="002D7C87">
        <w:rPr>
          <w:rFonts w:cs="Calibri"/>
        </w:rPr>
        <w:t>the National Register of Public Service Interpreters</w:t>
      </w:r>
      <w:r w:rsidR="00C753CA" w:rsidRPr="002D7C87">
        <w:rPr>
          <w:rFonts w:cs="Calibri"/>
        </w:rPr>
        <w:t xml:space="preserve"> (NRPSI)</w:t>
      </w:r>
      <w:r w:rsidR="004F135A" w:rsidRPr="002D7C87">
        <w:rPr>
          <w:rFonts w:cs="Calibri"/>
        </w:rPr>
        <w:t xml:space="preserve"> in the UK</w:t>
      </w:r>
      <w:r w:rsidR="008A0C06" w:rsidRPr="002D7C87">
        <w:rPr>
          <w:rFonts w:cs="Calibri"/>
        </w:rPr>
        <w:t xml:space="preserve">. </w:t>
      </w:r>
      <w:r w:rsidR="00D56F9F" w:rsidRPr="002D7C87">
        <w:rPr>
          <w:rFonts w:cs="Calibri"/>
        </w:rPr>
        <w:t xml:space="preserve">Full </w:t>
      </w:r>
      <w:r w:rsidR="00AE44E9" w:rsidRPr="002D7C87">
        <w:rPr>
          <w:rFonts w:cs="Calibri"/>
        </w:rPr>
        <w:t xml:space="preserve">NRPSI accreditation is awarded to interpreters who possess professional qualifications </w:t>
      </w:r>
      <w:r w:rsidR="00C01F07" w:rsidRPr="002D7C87">
        <w:rPr>
          <w:rFonts w:cs="Calibri"/>
        </w:rPr>
        <w:t xml:space="preserve">recognised by </w:t>
      </w:r>
      <w:r w:rsidR="00AE44E9" w:rsidRPr="002D7C87">
        <w:rPr>
          <w:rFonts w:cs="Calibri"/>
        </w:rPr>
        <w:t>the National Occupational Standards for Interpreting (</w:t>
      </w:r>
      <w:r w:rsidR="00C01F07" w:rsidRPr="002D7C87">
        <w:rPr>
          <w:rFonts w:cs="Calibri"/>
        </w:rPr>
        <w:t xml:space="preserve">e.g., the exam-based </w:t>
      </w:r>
      <w:r w:rsidR="00AE44E9" w:rsidRPr="002D7C87">
        <w:rPr>
          <w:rFonts w:cs="Calibri"/>
        </w:rPr>
        <w:t xml:space="preserve">Diploma in Public Service Interpreting (DPSI) from the </w:t>
      </w:r>
      <w:r w:rsidR="00AE44E9" w:rsidRPr="002D7C87">
        <w:rPr>
          <w:rFonts w:cs="Calibri"/>
        </w:rPr>
        <w:lastRenderedPageBreak/>
        <w:t>Chartered Institute of Linguists) and have completed over 400 hours of active interpreting practice.</w:t>
      </w:r>
    </w:p>
    <w:p w14:paraId="38B974BB" w14:textId="77777777" w:rsidR="00BA0CC7" w:rsidRPr="002D7C87" w:rsidRDefault="00BA0CC7" w:rsidP="002655FB">
      <w:pPr>
        <w:rPr>
          <w:rFonts w:cs="Calibri"/>
        </w:rPr>
      </w:pPr>
    </w:p>
    <w:p w14:paraId="0B9CA640" w14:textId="649F6F42" w:rsidR="00BA0CC7" w:rsidRPr="002D7C87" w:rsidRDefault="00BA0CC7" w:rsidP="002655FB">
      <w:pPr>
        <w:rPr>
          <w:rFonts w:cs="Calibri"/>
        </w:rPr>
      </w:pPr>
      <w:r w:rsidRPr="002D7C87">
        <w:rPr>
          <w:rFonts w:cs="Calibri"/>
        </w:rPr>
        <w:t xml:space="preserve">The UK Generic SACT Form is hosted by Cancer Research UK and </w:t>
      </w:r>
      <w:r w:rsidR="002C1470" w:rsidRPr="002D7C87">
        <w:rPr>
          <w:rFonts w:cs="Calibri"/>
        </w:rPr>
        <w:t>approved by the UK National SACT Board. It is approved for use in consent conversations in hospitals across the UK. The current form is available in English</w:t>
      </w:r>
      <w:r w:rsidR="00886DD2" w:rsidRPr="002D7C87">
        <w:rPr>
          <w:rFonts w:cs="Calibri"/>
        </w:rPr>
        <w:t xml:space="preserve"> and Welsh</w:t>
      </w:r>
      <w:r w:rsidR="002C1470" w:rsidRPr="002D7C87">
        <w:rPr>
          <w:rFonts w:cs="Calibri"/>
        </w:rPr>
        <w:t xml:space="preserve"> only.</w:t>
      </w:r>
      <w:r w:rsidR="009342F5" w:rsidRPr="009342F5">
        <w:rPr>
          <w:rFonts w:cs="Calibri"/>
          <w:vertAlign w:val="superscript"/>
        </w:rPr>
        <w:t>2</w:t>
      </w:r>
      <w:r w:rsidR="002C1470" w:rsidRPr="002D7C87">
        <w:rPr>
          <w:rFonts w:cs="Calibri"/>
        </w:rPr>
        <w:t xml:space="preserve"> We commissioned a gold-standard Bengali translation of this form</w:t>
      </w:r>
      <w:r w:rsidR="008A6541" w:rsidRPr="002D7C87">
        <w:rPr>
          <w:rFonts w:cs="Calibri"/>
        </w:rPr>
        <w:t xml:space="preserve"> meeting the requirements of both ISO 17100:2015+A1:2017. </w:t>
      </w:r>
      <w:r w:rsidR="008A6541" w:rsidRPr="002D7C87">
        <w:rPr>
          <w:rFonts w:cs="Calibri"/>
          <w:i/>
          <w:iCs/>
        </w:rPr>
        <w:t>Translation services</w:t>
      </w:r>
      <w:r w:rsidR="00D34339" w:rsidRPr="002D7C87">
        <w:rPr>
          <w:rFonts w:cs="Calibri"/>
          <w:i/>
          <w:iCs/>
        </w:rPr>
        <w:t xml:space="preserve"> </w:t>
      </w:r>
      <w:r w:rsidR="00587D91" w:rsidRPr="002D7C87">
        <w:rPr>
          <w:rFonts w:cs="Calibri"/>
          <w:i/>
          <w:iCs/>
        </w:rPr>
        <w:t>–</w:t>
      </w:r>
      <w:r w:rsidR="008A6541" w:rsidRPr="002D7C87">
        <w:rPr>
          <w:rFonts w:cs="Calibri"/>
          <w:i/>
          <w:iCs/>
        </w:rPr>
        <w:t xml:space="preserve"> Requirements for translation services </w:t>
      </w:r>
      <w:r w:rsidR="008A6541" w:rsidRPr="002D7C87">
        <w:rPr>
          <w:rFonts w:cs="Calibri"/>
        </w:rPr>
        <w:t xml:space="preserve">and 18587:2017. </w:t>
      </w:r>
      <w:r w:rsidR="008A6541" w:rsidRPr="002D7C87">
        <w:rPr>
          <w:rFonts w:cs="Calibri"/>
          <w:i/>
          <w:iCs/>
        </w:rPr>
        <w:t>Translation services. Post-editing of machine translation</w:t>
      </w:r>
      <w:r w:rsidR="008A6541" w:rsidRPr="002D7C87">
        <w:rPr>
          <w:rFonts w:cs="Calibri"/>
        </w:rPr>
        <w:t>. We</w:t>
      </w:r>
      <w:r w:rsidR="002C1470" w:rsidRPr="002D7C87">
        <w:rPr>
          <w:rFonts w:cs="Calibri"/>
        </w:rPr>
        <w:t xml:space="preserve"> edited this</w:t>
      </w:r>
      <w:r w:rsidR="00554C33" w:rsidRPr="002D7C87">
        <w:rPr>
          <w:rFonts w:cs="Calibri"/>
        </w:rPr>
        <w:t xml:space="preserve"> translation</w:t>
      </w:r>
      <w:r w:rsidR="002C1470" w:rsidRPr="002D7C87">
        <w:rPr>
          <w:rFonts w:cs="Calibri"/>
        </w:rPr>
        <w:t xml:space="preserve"> to preserve an interlinear format.</w:t>
      </w:r>
    </w:p>
    <w:p w14:paraId="4B800D9C" w14:textId="77777777" w:rsidR="000D0C96" w:rsidRPr="002D7C87" w:rsidRDefault="000D0C96" w:rsidP="002655FB">
      <w:pPr>
        <w:rPr>
          <w:rFonts w:cs="Calibri"/>
        </w:rPr>
      </w:pPr>
    </w:p>
    <w:p w14:paraId="5F3075EB" w14:textId="00DD3237" w:rsidR="000D0C96" w:rsidRPr="002D7C87" w:rsidRDefault="000D0C96" w:rsidP="002655FB">
      <w:pPr>
        <w:rPr>
          <w:rFonts w:cs="Calibri"/>
        </w:rPr>
      </w:pPr>
      <w:r w:rsidRPr="002D7C87">
        <w:rPr>
          <w:rFonts w:cs="Calibri"/>
        </w:rPr>
        <w:t xml:space="preserve">Individuals returning </w:t>
      </w:r>
      <w:r w:rsidR="0083186D" w:rsidRPr="002D7C87">
        <w:rPr>
          <w:rFonts w:cs="Calibri"/>
        </w:rPr>
        <w:t>for the Consent Component</w:t>
      </w:r>
      <w:r w:rsidRPr="002D7C87">
        <w:rPr>
          <w:rFonts w:cs="Calibri"/>
        </w:rPr>
        <w:t xml:space="preserve"> were given a second sealed envelope containing </w:t>
      </w:r>
      <w:r w:rsidR="00F250CA" w:rsidRPr="002D7C87">
        <w:rPr>
          <w:rFonts w:cs="Calibri"/>
        </w:rPr>
        <w:t>their allocated room (“red</w:t>
      </w:r>
      <w:r w:rsidR="00A12961" w:rsidRPr="002D7C87">
        <w:rPr>
          <w:rFonts w:cs="Calibri"/>
        </w:rPr>
        <w:t xml:space="preserve"> room</w:t>
      </w:r>
      <w:r w:rsidR="00F250CA" w:rsidRPr="002D7C87">
        <w:rPr>
          <w:rFonts w:cs="Calibri"/>
        </w:rPr>
        <w:t>” or “green</w:t>
      </w:r>
      <w:r w:rsidR="00A12961" w:rsidRPr="002D7C87">
        <w:rPr>
          <w:rFonts w:cs="Calibri"/>
        </w:rPr>
        <w:t xml:space="preserve"> room</w:t>
      </w:r>
      <w:r w:rsidR="00F250CA" w:rsidRPr="002D7C87">
        <w:rPr>
          <w:rFonts w:cs="Calibri"/>
        </w:rPr>
        <w:t>” to maintain blinding)</w:t>
      </w:r>
      <w:r w:rsidR="009E6582" w:rsidRPr="002D7C87">
        <w:rPr>
          <w:rFonts w:cs="Calibri"/>
        </w:rPr>
        <w:t>. Depending on the number of individuals attending at any given time, groups of 4-12 individuals were brought through at a time to the</w:t>
      </w:r>
      <w:r w:rsidR="00A12961" w:rsidRPr="002D7C87">
        <w:rPr>
          <w:rFonts w:cs="Calibri"/>
        </w:rPr>
        <w:t>ir</w:t>
      </w:r>
      <w:r w:rsidR="009E6582" w:rsidRPr="002D7C87">
        <w:rPr>
          <w:rFonts w:cs="Calibri"/>
        </w:rPr>
        <w:t xml:space="preserve"> </w:t>
      </w:r>
      <w:r w:rsidR="00F45220" w:rsidRPr="002D7C87">
        <w:rPr>
          <w:rFonts w:cs="Calibri"/>
        </w:rPr>
        <w:t xml:space="preserve">allocated room. They were again asked to imagine that </w:t>
      </w:r>
      <w:r w:rsidR="008E7B4C" w:rsidRPr="002D7C87">
        <w:rPr>
          <w:rFonts w:cs="Calibri"/>
        </w:rPr>
        <w:t>their</w:t>
      </w:r>
      <w:r w:rsidR="00F45220" w:rsidRPr="002D7C87">
        <w:rPr>
          <w:rFonts w:cs="Calibri"/>
        </w:rPr>
        <w:t xml:space="preserve"> imaginary friend or family member had asked them to </w:t>
      </w:r>
      <w:r w:rsidR="005B7449" w:rsidRPr="002D7C87">
        <w:rPr>
          <w:rFonts w:cs="Calibri"/>
        </w:rPr>
        <w:t>attend a hospital appointment where treatment would be discussed.</w:t>
      </w:r>
    </w:p>
    <w:p w14:paraId="603A5E58" w14:textId="77777777" w:rsidR="005B7449" w:rsidRPr="002D7C87" w:rsidRDefault="005B7449" w:rsidP="002655FB">
      <w:pPr>
        <w:rPr>
          <w:rFonts w:cs="Calibri"/>
        </w:rPr>
      </w:pPr>
    </w:p>
    <w:p w14:paraId="1C4FDA69" w14:textId="00F9A30D" w:rsidR="005B7449" w:rsidRPr="002D7C87" w:rsidRDefault="0014252A" w:rsidP="002655FB">
      <w:pPr>
        <w:rPr>
          <w:rFonts w:cs="Calibri"/>
        </w:rPr>
      </w:pPr>
      <w:r w:rsidRPr="002D7C87">
        <w:rPr>
          <w:rFonts w:cs="Calibri"/>
        </w:rPr>
        <w:t xml:space="preserve">Using the SACT consent form for structure, the doctor </w:t>
      </w:r>
      <w:r w:rsidR="00A12961" w:rsidRPr="002D7C87">
        <w:rPr>
          <w:rFonts w:cs="Calibri"/>
        </w:rPr>
        <w:t xml:space="preserve">conducted </w:t>
      </w:r>
      <w:r w:rsidR="0083186D" w:rsidRPr="002D7C87">
        <w:rPr>
          <w:rFonts w:cs="Calibri"/>
        </w:rPr>
        <w:t xml:space="preserve">a SACT consent consultation to </w:t>
      </w:r>
      <w:r w:rsidRPr="002D7C87">
        <w:rPr>
          <w:rFonts w:cs="Calibri"/>
        </w:rPr>
        <w:t xml:space="preserve">talk through </w:t>
      </w:r>
      <w:r w:rsidR="00994FF5" w:rsidRPr="002D7C87">
        <w:rPr>
          <w:rFonts w:cs="Calibri"/>
        </w:rPr>
        <w:t xml:space="preserve">the benefits, practicalities and risks of daratumumab, </w:t>
      </w:r>
      <w:r w:rsidR="002E4A7A" w:rsidRPr="002D7C87">
        <w:rPr>
          <w:rFonts w:cs="Calibri"/>
        </w:rPr>
        <w:t>bortezomib</w:t>
      </w:r>
      <w:r w:rsidR="00994FF5" w:rsidRPr="002D7C87">
        <w:rPr>
          <w:rFonts w:cs="Calibri"/>
        </w:rPr>
        <w:t xml:space="preserve">, thalidomide and dexamethasone </w:t>
      </w:r>
      <w:r w:rsidRPr="002D7C87">
        <w:rPr>
          <w:rFonts w:cs="Calibri"/>
        </w:rPr>
        <w:t xml:space="preserve">with </w:t>
      </w:r>
      <w:r w:rsidR="00994FF5" w:rsidRPr="002D7C87">
        <w:rPr>
          <w:rFonts w:cs="Calibri"/>
        </w:rPr>
        <w:t xml:space="preserve">the aid of the </w:t>
      </w:r>
      <w:r w:rsidRPr="002D7C87">
        <w:rPr>
          <w:rFonts w:cs="Calibri"/>
        </w:rPr>
        <w:t>interpreter</w:t>
      </w:r>
      <w:r w:rsidR="00994FF5" w:rsidRPr="002D7C87">
        <w:rPr>
          <w:rFonts w:cs="Calibri"/>
        </w:rPr>
        <w:t>.</w:t>
      </w:r>
      <w:r w:rsidR="006D690C" w:rsidRPr="002D7C87">
        <w:rPr>
          <w:rFonts w:cs="Calibri"/>
        </w:rPr>
        <w:t xml:space="preserve"> Following this explanation, the doctor and interpreter left the room, and a Bengali/Sylheti-speaking researcher read out each question in </w:t>
      </w:r>
      <w:r w:rsidR="00FB49D6" w:rsidRPr="002D7C87">
        <w:rPr>
          <w:rFonts w:cs="Calibri"/>
        </w:rPr>
        <w:t>the Consent Comprehension Tool</w:t>
      </w:r>
      <w:r w:rsidR="006D690C" w:rsidRPr="002D7C87">
        <w:rPr>
          <w:rFonts w:cs="Calibri"/>
        </w:rPr>
        <w:t xml:space="preserve"> and invited participants to complete this. Any participant asking for help with an answer could have the </w:t>
      </w:r>
      <w:r w:rsidR="006D690C" w:rsidRPr="002D7C87">
        <w:rPr>
          <w:rFonts w:cs="Calibri"/>
        </w:rPr>
        <w:lastRenderedPageBreak/>
        <w:t xml:space="preserve">question </w:t>
      </w:r>
      <w:proofErr w:type="gramStart"/>
      <w:r w:rsidR="006D690C" w:rsidRPr="002D7C87">
        <w:rPr>
          <w:rFonts w:cs="Calibri"/>
        </w:rPr>
        <w:t>repeated, but</w:t>
      </w:r>
      <w:proofErr w:type="gramEnd"/>
      <w:r w:rsidR="006D690C" w:rsidRPr="002D7C87">
        <w:rPr>
          <w:rFonts w:cs="Calibri"/>
        </w:rPr>
        <w:t xml:space="preserve"> </w:t>
      </w:r>
      <w:r w:rsidR="0083186D" w:rsidRPr="002D7C87">
        <w:rPr>
          <w:rFonts w:cs="Calibri"/>
        </w:rPr>
        <w:t>was</w:t>
      </w:r>
      <w:r w:rsidR="006D690C" w:rsidRPr="002D7C87">
        <w:rPr>
          <w:rFonts w:cs="Calibri"/>
        </w:rPr>
        <w:t xml:space="preserve"> not given guidance to </w:t>
      </w:r>
      <w:r w:rsidR="0083186D" w:rsidRPr="002D7C87">
        <w:rPr>
          <w:rFonts w:cs="Calibri"/>
        </w:rPr>
        <w:t xml:space="preserve">select a specific </w:t>
      </w:r>
      <w:r w:rsidR="006D690C" w:rsidRPr="002D7C87">
        <w:rPr>
          <w:rFonts w:cs="Calibri"/>
        </w:rPr>
        <w:t>answer. All participants were given a £20 gift voucher for participation</w:t>
      </w:r>
      <w:r w:rsidR="0083186D" w:rsidRPr="002D7C87">
        <w:rPr>
          <w:rFonts w:cs="Calibri"/>
        </w:rPr>
        <w:t xml:space="preserve"> in the Consent Component</w:t>
      </w:r>
      <w:r w:rsidR="006D690C" w:rsidRPr="002D7C87">
        <w:rPr>
          <w:rFonts w:cs="Calibri"/>
        </w:rPr>
        <w:t>.</w:t>
      </w:r>
    </w:p>
    <w:p w14:paraId="20742421" w14:textId="77777777" w:rsidR="006D1861" w:rsidRPr="002D7C87" w:rsidRDefault="006D1861" w:rsidP="002655FB">
      <w:pPr>
        <w:rPr>
          <w:rFonts w:cs="Calibri"/>
        </w:rPr>
      </w:pPr>
    </w:p>
    <w:p w14:paraId="317B1E71" w14:textId="397199B1" w:rsidR="006B7B90" w:rsidRDefault="006B7B90" w:rsidP="00FE171E">
      <w:pPr>
        <w:pStyle w:val="Heading2"/>
      </w:pPr>
      <w:r w:rsidRPr="002D7C87">
        <w:t>Additional detail for study outcomes</w:t>
      </w:r>
    </w:p>
    <w:p w14:paraId="717CD388" w14:textId="77777777" w:rsidR="00AC73F3" w:rsidRPr="00AC73F3" w:rsidRDefault="00AC73F3" w:rsidP="00AC73F3"/>
    <w:p w14:paraId="5C3C01F0" w14:textId="74DEE8D8" w:rsidR="00B00672" w:rsidRPr="002D7C87" w:rsidRDefault="002141FA" w:rsidP="002141FA">
      <w:pPr>
        <w:rPr>
          <w:rFonts w:cs="Calibri"/>
        </w:rPr>
      </w:pPr>
      <w:r w:rsidRPr="002D7C87">
        <w:rPr>
          <w:rFonts w:cs="Calibri"/>
        </w:rPr>
        <w:t xml:space="preserve">Comprehension assessments were devised through several stages. Firstly, research team members decided on the primary outcome of </w:t>
      </w:r>
      <w:r w:rsidR="00980861" w:rsidRPr="002D7C87">
        <w:rPr>
          <w:rFonts w:cs="Calibri"/>
        </w:rPr>
        <w:t xml:space="preserve">understanding treatment </w:t>
      </w:r>
      <w:proofErr w:type="gramStart"/>
      <w:r w:rsidR="00980861" w:rsidRPr="002D7C87">
        <w:rPr>
          <w:rFonts w:cs="Calibri"/>
        </w:rPr>
        <w:t>intent, and</w:t>
      </w:r>
      <w:proofErr w:type="gramEnd"/>
      <w:r w:rsidR="00980861" w:rsidRPr="002D7C87">
        <w:rPr>
          <w:rFonts w:cs="Calibri"/>
        </w:rPr>
        <w:t xml:space="preserve"> sought consensus for other points of information that should be included </w:t>
      </w:r>
      <w:r w:rsidR="00B00672" w:rsidRPr="002D7C87">
        <w:rPr>
          <w:rFonts w:cs="Calibri"/>
        </w:rPr>
        <w:t>as critical for valid consent for a patient commencing myeloma therapy.</w:t>
      </w:r>
    </w:p>
    <w:p w14:paraId="32D1A6E5" w14:textId="77777777" w:rsidR="00B00672" w:rsidRPr="002D7C87" w:rsidRDefault="00B00672" w:rsidP="002141FA">
      <w:pPr>
        <w:rPr>
          <w:rFonts w:cs="Calibri"/>
        </w:rPr>
      </w:pPr>
    </w:p>
    <w:p w14:paraId="4DC056E8" w14:textId="561654B0" w:rsidR="002141FA" w:rsidRPr="002D7C87" w:rsidRDefault="002210DB" w:rsidP="002141FA">
      <w:pPr>
        <w:rPr>
          <w:rFonts w:cs="Calibri"/>
        </w:rPr>
      </w:pPr>
      <w:r w:rsidRPr="002D7C87">
        <w:rPr>
          <w:rFonts w:cs="Calibri"/>
        </w:rPr>
        <w:t>To identify these, w</w:t>
      </w:r>
      <w:r w:rsidR="00B00672" w:rsidRPr="002D7C87">
        <w:rPr>
          <w:rFonts w:cs="Calibri"/>
        </w:rPr>
        <w:t xml:space="preserve">e undertook a prioritisation exercise through the UK Myeloma Research </w:t>
      </w:r>
      <w:r w:rsidR="004D7375" w:rsidRPr="002D7C87">
        <w:rPr>
          <w:rFonts w:cs="Calibri"/>
        </w:rPr>
        <w:t>Alliance</w:t>
      </w:r>
      <w:r w:rsidR="00B00672" w:rsidRPr="002D7C87">
        <w:rPr>
          <w:rFonts w:cs="Calibri"/>
        </w:rPr>
        <w:t xml:space="preserve">. </w:t>
      </w:r>
      <w:r w:rsidR="00BB1BAC" w:rsidRPr="002D7C87">
        <w:rPr>
          <w:rFonts w:cs="Calibri"/>
        </w:rPr>
        <w:t xml:space="preserve">Between April and June 2024, we received </w:t>
      </w:r>
      <w:r w:rsidR="00B00672" w:rsidRPr="002D7C87">
        <w:rPr>
          <w:rFonts w:cs="Calibri"/>
        </w:rPr>
        <w:t>responses from seven haemato-oncology consultants and five cancer nurse specialists.</w:t>
      </w:r>
      <w:r w:rsidR="007E23DC" w:rsidRPr="002D7C87">
        <w:rPr>
          <w:rFonts w:cs="Calibri"/>
        </w:rPr>
        <w:t xml:space="preserve"> We also met with three Bengali- or Sylheti- speaking myeloma patients and family members to ask their experience of providing informed consent.</w:t>
      </w:r>
    </w:p>
    <w:p w14:paraId="42B486F1" w14:textId="77777777" w:rsidR="007E23DC" w:rsidRPr="002D7C87" w:rsidRDefault="007E23DC" w:rsidP="002141FA">
      <w:pPr>
        <w:rPr>
          <w:rFonts w:cs="Calibri"/>
        </w:rPr>
      </w:pPr>
    </w:p>
    <w:p w14:paraId="5F607456" w14:textId="098C170E" w:rsidR="007E23DC" w:rsidRPr="002D7C87" w:rsidRDefault="007E23DC" w:rsidP="002141FA">
      <w:pPr>
        <w:rPr>
          <w:rFonts w:cs="Calibri"/>
        </w:rPr>
      </w:pPr>
      <w:r w:rsidRPr="002D7C87">
        <w:rPr>
          <w:rFonts w:cs="Calibri"/>
        </w:rPr>
        <w:t xml:space="preserve">Using these responses, we designed </w:t>
      </w:r>
      <w:r w:rsidR="002137B4" w:rsidRPr="002D7C87">
        <w:rPr>
          <w:rFonts w:cs="Calibri"/>
        </w:rPr>
        <w:t>two</w:t>
      </w:r>
      <w:r w:rsidRPr="002D7C87">
        <w:rPr>
          <w:rFonts w:cs="Calibri"/>
        </w:rPr>
        <w:t xml:space="preserve"> comprehension tool</w:t>
      </w:r>
      <w:r w:rsidR="002137B4" w:rsidRPr="002D7C87">
        <w:rPr>
          <w:rFonts w:cs="Calibri"/>
        </w:rPr>
        <w:t>s (</w:t>
      </w:r>
      <w:r w:rsidR="00C30217" w:rsidRPr="002D7C87">
        <w:rPr>
          <w:rFonts w:cs="Calibri"/>
        </w:rPr>
        <w:t>Booklet</w:t>
      </w:r>
      <w:r w:rsidR="002137B4" w:rsidRPr="002D7C87">
        <w:rPr>
          <w:rFonts w:cs="Calibri"/>
        </w:rPr>
        <w:t xml:space="preserve"> Comprehension Tool and Consent Comprehension Tool)</w:t>
      </w:r>
      <w:r w:rsidRPr="002D7C87">
        <w:rPr>
          <w:rFonts w:cs="Calibri"/>
        </w:rPr>
        <w:t xml:space="preserve">, designed to </w:t>
      </w:r>
      <w:r w:rsidR="002A5363" w:rsidRPr="002D7C87">
        <w:rPr>
          <w:rFonts w:cs="Calibri"/>
        </w:rPr>
        <w:t xml:space="preserve">assess both the primary outcome and a </w:t>
      </w:r>
      <w:r w:rsidR="00404EFF" w:rsidRPr="002D7C87">
        <w:rPr>
          <w:rFonts w:cs="Calibri"/>
        </w:rPr>
        <w:t>Total</w:t>
      </w:r>
      <w:r w:rsidR="002A5363" w:rsidRPr="002D7C87">
        <w:rPr>
          <w:rFonts w:cs="Calibri"/>
        </w:rPr>
        <w:t xml:space="preserve"> </w:t>
      </w:r>
      <w:r w:rsidR="00404EFF" w:rsidRPr="002D7C87">
        <w:rPr>
          <w:rFonts w:cs="Calibri"/>
        </w:rPr>
        <w:t>C</w:t>
      </w:r>
      <w:r w:rsidR="002A5363" w:rsidRPr="002D7C87">
        <w:rPr>
          <w:rFonts w:cs="Calibri"/>
        </w:rPr>
        <w:t xml:space="preserve">omprehension </w:t>
      </w:r>
      <w:r w:rsidR="00404EFF" w:rsidRPr="002D7C87">
        <w:rPr>
          <w:rFonts w:cs="Calibri"/>
        </w:rPr>
        <w:t>S</w:t>
      </w:r>
      <w:r w:rsidR="002A5363" w:rsidRPr="002D7C87">
        <w:rPr>
          <w:rFonts w:cs="Calibri"/>
        </w:rPr>
        <w:t>core (comprised of other pieces of information deemed critical for consent)</w:t>
      </w:r>
      <w:r w:rsidR="0028625E" w:rsidRPr="002D7C87">
        <w:rPr>
          <w:rFonts w:cs="Calibri"/>
        </w:rPr>
        <w:t>, after completion of each component</w:t>
      </w:r>
      <w:r w:rsidR="002A5363" w:rsidRPr="002D7C87">
        <w:rPr>
          <w:rFonts w:cs="Calibri"/>
        </w:rPr>
        <w:t>.</w:t>
      </w:r>
      <w:r w:rsidR="00564421" w:rsidRPr="002D7C87">
        <w:rPr>
          <w:rFonts w:cs="Calibri"/>
        </w:rPr>
        <w:t xml:space="preserve"> We prompted </w:t>
      </w:r>
      <w:r w:rsidR="00D07908" w:rsidRPr="002D7C87">
        <w:rPr>
          <w:rFonts w:cs="Calibri"/>
        </w:rPr>
        <w:t xml:space="preserve">the large language model </w:t>
      </w:r>
      <w:r w:rsidR="00FF7503" w:rsidRPr="002D7C87">
        <w:rPr>
          <w:rFonts w:cs="Calibri"/>
        </w:rPr>
        <w:t>Microsoft 365 Copilot Version 2407 (Build 17830.20128)</w:t>
      </w:r>
      <w:r w:rsidR="0092034E" w:rsidRPr="002D7C87">
        <w:rPr>
          <w:rFonts w:cs="Calibri"/>
        </w:rPr>
        <w:t>, based on GPT-4</w:t>
      </w:r>
      <w:r w:rsidR="00F93B85" w:rsidRPr="002D7C87">
        <w:rPr>
          <w:rFonts w:cs="Calibri"/>
        </w:rPr>
        <w:t xml:space="preserve"> (Open-AI)</w:t>
      </w:r>
      <w:r w:rsidR="0092034E" w:rsidRPr="002D7C87">
        <w:rPr>
          <w:rFonts w:cs="Calibri"/>
        </w:rPr>
        <w:t>,</w:t>
      </w:r>
      <w:r w:rsidR="00564421" w:rsidRPr="002D7C87">
        <w:rPr>
          <w:rFonts w:cs="Calibri"/>
        </w:rPr>
        <w:t xml:space="preserve"> </w:t>
      </w:r>
      <w:r w:rsidR="00554C33" w:rsidRPr="002D7C87">
        <w:rPr>
          <w:rFonts w:cs="Calibri"/>
        </w:rPr>
        <w:t xml:space="preserve">asking </w:t>
      </w:r>
      <w:r w:rsidR="00564421" w:rsidRPr="002D7C87">
        <w:rPr>
          <w:rFonts w:cs="Calibri"/>
        </w:rPr>
        <w:t xml:space="preserve">for </w:t>
      </w:r>
      <w:r w:rsidR="00D07908" w:rsidRPr="002D7C87">
        <w:rPr>
          <w:rFonts w:cs="Calibri"/>
        </w:rPr>
        <w:t xml:space="preserve">suggested </w:t>
      </w:r>
      <w:r w:rsidR="00564421" w:rsidRPr="002D7C87">
        <w:rPr>
          <w:rFonts w:cs="Calibri"/>
        </w:rPr>
        <w:t>simplification of the language used</w:t>
      </w:r>
      <w:r w:rsidR="00D07908" w:rsidRPr="002D7C87">
        <w:rPr>
          <w:rFonts w:cs="Calibri"/>
        </w:rPr>
        <w:t xml:space="preserve"> in these draft questions, and edited the outputs.</w:t>
      </w:r>
      <w:r w:rsidR="001178F9" w:rsidRPr="002D7C87">
        <w:rPr>
          <w:rFonts w:cs="Calibri"/>
        </w:rPr>
        <w:t xml:space="preserve"> </w:t>
      </w:r>
      <w:r w:rsidR="00670816" w:rsidRPr="002D7C87">
        <w:rPr>
          <w:rFonts w:cs="Calibri"/>
        </w:rPr>
        <w:t>C</w:t>
      </w:r>
      <w:r w:rsidR="001178F9" w:rsidRPr="002D7C87">
        <w:rPr>
          <w:rFonts w:cs="Calibri"/>
        </w:rPr>
        <w:t xml:space="preserve">linicians in the </w:t>
      </w:r>
      <w:r w:rsidR="005951CD" w:rsidRPr="002D7C87">
        <w:rPr>
          <w:rFonts w:cs="Calibri"/>
        </w:rPr>
        <w:t xml:space="preserve">research </w:t>
      </w:r>
      <w:r w:rsidR="001178F9" w:rsidRPr="002D7C87">
        <w:rPr>
          <w:rFonts w:cs="Calibri"/>
        </w:rPr>
        <w:t xml:space="preserve">team evaluated the questions in English for clarity </w:t>
      </w:r>
      <w:r w:rsidR="00365B1A" w:rsidRPr="002D7C87">
        <w:rPr>
          <w:rFonts w:cs="Calibri"/>
        </w:rPr>
        <w:t xml:space="preserve">of formulation </w:t>
      </w:r>
      <w:r w:rsidR="001178F9" w:rsidRPr="002D7C87">
        <w:rPr>
          <w:rFonts w:cs="Calibri"/>
        </w:rPr>
        <w:t xml:space="preserve">and </w:t>
      </w:r>
      <w:r w:rsidR="00365B1A" w:rsidRPr="002D7C87">
        <w:rPr>
          <w:rFonts w:cs="Calibri"/>
        </w:rPr>
        <w:t>accuracy</w:t>
      </w:r>
      <w:r w:rsidR="001178F9" w:rsidRPr="002D7C87">
        <w:rPr>
          <w:rFonts w:cs="Calibri"/>
        </w:rPr>
        <w:t xml:space="preserve">. </w:t>
      </w:r>
    </w:p>
    <w:p w14:paraId="2F802510" w14:textId="77777777" w:rsidR="00BA0CC7" w:rsidRPr="002D7C87" w:rsidRDefault="00BA0CC7" w:rsidP="002141FA">
      <w:pPr>
        <w:rPr>
          <w:rFonts w:cs="Calibri"/>
        </w:rPr>
      </w:pPr>
    </w:p>
    <w:p w14:paraId="0DC10C67" w14:textId="32D713BC" w:rsidR="00BA0CC7" w:rsidRPr="002D7C87" w:rsidRDefault="00BA0CC7" w:rsidP="002141FA">
      <w:pPr>
        <w:rPr>
          <w:rFonts w:cs="Calibri"/>
        </w:rPr>
      </w:pPr>
      <w:r w:rsidRPr="002D7C87">
        <w:rPr>
          <w:rFonts w:cs="Calibri"/>
        </w:rPr>
        <w:t xml:space="preserve">Next, we </w:t>
      </w:r>
      <w:r w:rsidR="003E5237" w:rsidRPr="002D7C87">
        <w:rPr>
          <w:rFonts w:cs="Calibri"/>
        </w:rPr>
        <w:t xml:space="preserve">shared </w:t>
      </w:r>
      <w:r w:rsidRPr="002D7C87">
        <w:rPr>
          <w:rFonts w:cs="Calibri"/>
        </w:rPr>
        <w:t xml:space="preserve">the </w:t>
      </w:r>
      <w:r w:rsidR="003E5237" w:rsidRPr="002D7C87">
        <w:rPr>
          <w:rFonts w:cs="Calibri"/>
        </w:rPr>
        <w:t xml:space="preserve">edited simplified questions </w:t>
      </w:r>
      <w:r w:rsidR="00256BF0" w:rsidRPr="002D7C87">
        <w:rPr>
          <w:rFonts w:cs="Calibri"/>
        </w:rPr>
        <w:t>with</w:t>
      </w:r>
      <w:r w:rsidR="003E5237" w:rsidRPr="002D7C87">
        <w:rPr>
          <w:rFonts w:cs="Calibri"/>
        </w:rPr>
        <w:t xml:space="preserve"> a patient and public involvement sounding board, which included an individual with experience of myeloma</w:t>
      </w:r>
      <w:r w:rsidR="00256BF0" w:rsidRPr="002D7C87">
        <w:rPr>
          <w:rFonts w:cs="Calibri"/>
        </w:rPr>
        <w:t xml:space="preserve">. With </w:t>
      </w:r>
      <w:r w:rsidR="003F7493" w:rsidRPr="002D7C87">
        <w:rPr>
          <w:rFonts w:cs="Calibri"/>
        </w:rPr>
        <w:t xml:space="preserve">this group, </w:t>
      </w:r>
      <w:r w:rsidR="00256BF0" w:rsidRPr="002D7C87">
        <w:rPr>
          <w:rFonts w:cs="Calibri"/>
        </w:rPr>
        <w:t xml:space="preserve">we </w:t>
      </w:r>
      <w:r w:rsidR="003F7493" w:rsidRPr="002D7C87">
        <w:rPr>
          <w:rFonts w:cs="Calibri"/>
        </w:rPr>
        <w:t xml:space="preserve">conducted </w:t>
      </w:r>
      <w:r w:rsidR="00256BF0" w:rsidRPr="002D7C87">
        <w:rPr>
          <w:rFonts w:cs="Calibri"/>
        </w:rPr>
        <w:t xml:space="preserve">a comprehension validation session </w:t>
      </w:r>
      <w:r w:rsidR="00E36411">
        <w:rPr>
          <w:rFonts w:cs="Calibri"/>
        </w:rPr>
        <w:t xml:space="preserve">of the Comprehension Tools in English, with native speakers of English. Validation </w:t>
      </w:r>
      <w:r w:rsidR="003F7493" w:rsidRPr="002D7C87">
        <w:rPr>
          <w:rFonts w:cs="Calibri"/>
        </w:rPr>
        <w:t xml:space="preserve">participants </w:t>
      </w:r>
      <w:r w:rsidR="003E5237" w:rsidRPr="002D7C87">
        <w:rPr>
          <w:rFonts w:cs="Calibri"/>
        </w:rPr>
        <w:t>suggested refinements and clarifications</w:t>
      </w:r>
      <w:r w:rsidR="00E36411">
        <w:rPr>
          <w:rFonts w:cs="Calibri"/>
        </w:rPr>
        <w:t xml:space="preserve">. </w:t>
      </w:r>
      <w:r w:rsidR="003E5237" w:rsidRPr="002D7C87">
        <w:rPr>
          <w:rFonts w:cs="Calibri"/>
        </w:rPr>
        <w:t xml:space="preserve"> </w:t>
      </w:r>
      <w:r w:rsidR="00E36411">
        <w:rPr>
          <w:rFonts w:cs="Calibri"/>
        </w:rPr>
        <w:t>W</w:t>
      </w:r>
      <w:r w:rsidR="003E5237" w:rsidRPr="002D7C87">
        <w:rPr>
          <w:rFonts w:cs="Calibri"/>
        </w:rPr>
        <w:t>e incorporated</w:t>
      </w:r>
      <w:r w:rsidR="00CC17F0" w:rsidRPr="002D7C87">
        <w:rPr>
          <w:rFonts w:cs="Calibri"/>
        </w:rPr>
        <w:t xml:space="preserve"> </w:t>
      </w:r>
      <w:r w:rsidR="00E36411">
        <w:rPr>
          <w:rFonts w:cs="Calibri"/>
        </w:rPr>
        <w:t xml:space="preserve">these </w:t>
      </w:r>
      <w:r w:rsidR="003F7493" w:rsidRPr="002D7C87">
        <w:rPr>
          <w:rFonts w:cs="Calibri"/>
        </w:rPr>
        <w:t>for</w:t>
      </w:r>
      <w:r w:rsidR="00CC17F0" w:rsidRPr="002D7C87">
        <w:rPr>
          <w:rFonts w:cs="Calibri"/>
        </w:rPr>
        <w:t xml:space="preserve"> the </w:t>
      </w:r>
      <w:r w:rsidR="003F7493" w:rsidRPr="002D7C87">
        <w:rPr>
          <w:rFonts w:cs="Calibri"/>
        </w:rPr>
        <w:t xml:space="preserve">final </w:t>
      </w:r>
      <w:r w:rsidR="00CC17F0" w:rsidRPr="002D7C87">
        <w:rPr>
          <w:rFonts w:cs="Calibri"/>
        </w:rPr>
        <w:t>comprehension tools in English</w:t>
      </w:r>
      <w:r w:rsidR="003E5237" w:rsidRPr="002D7C87">
        <w:rPr>
          <w:rFonts w:cs="Calibri"/>
        </w:rPr>
        <w:t>.</w:t>
      </w:r>
      <w:r w:rsidR="002D5359" w:rsidRPr="002D7C87">
        <w:rPr>
          <w:rFonts w:cs="Calibri"/>
        </w:rPr>
        <w:t xml:space="preserve"> </w:t>
      </w:r>
      <w:r w:rsidR="00E36411">
        <w:rPr>
          <w:rFonts w:cs="Calibri"/>
        </w:rPr>
        <w:t>Then, w</w:t>
      </w:r>
      <w:r w:rsidRPr="002D7C87">
        <w:rPr>
          <w:rFonts w:cs="Calibri"/>
        </w:rPr>
        <w:t xml:space="preserve">e commissioned professional translations of these </w:t>
      </w:r>
      <w:r w:rsidR="00EF76A7" w:rsidRPr="002D7C87">
        <w:rPr>
          <w:rFonts w:cs="Calibri"/>
        </w:rPr>
        <w:t xml:space="preserve">refined </w:t>
      </w:r>
      <w:r w:rsidR="00A86B1D" w:rsidRPr="002D7C87">
        <w:rPr>
          <w:rFonts w:cs="Calibri"/>
        </w:rPr>
        <w:t>comprehension tools</w:t>
      </w:r>
      <w:r w:rsidR="00EF76A7" w:rsidRPr="002D7C87">
        <w:rPr>
          <w:rFonts w:cs="Calibri"/>
        </w:rPr>
        <w:t xml:space="preserve"> into Bengali</w:t>
      </w:r>
      <w:r w:rsidR="00E36411">
        <w:rPr>
          <w:rFonts w:cs="Calibri"/>
        </w:rPr>
        <w:t xml:space="preserve">, which </w:t>
      </w:r>
      <w:r w:rsidR="00515210">
        <w:rPr>
          <w:rFonts w:cs="Calibri"/>
        </w:rPr>
        <w:t>were scru</w:t>
      </w:r>
      <w:r w:rsidR="006C0A58">
        <w:rPr>
          <w:rFonts w:cs="Calibri"/>
        </w:rPr>
        <w:t>tin</w:t>
      </w:r>
      <w:r w:rsidR="00515210">
        <w:rPr>
          <w:rFonts w:cs="Calibri"/>
        </w:rPr>
        <w:t xml:space="preserve">ised for accuracy and suitability by the </w:t>
      </w:r>
      <w:r w:rsidR="00E36411">
        <w:rPr>
          <w:rFonts w:cs="Calibri"/>
        </w:rPr>
        <w:t xml:space="preserve">Bengali-speaking clinicians in the </w:t>
      </w:r>
      <w:r w:rsidR="00515210">
        <w:rPr>
          <w:rFonts w:cs="Calibri"/>
        </w:rPr>
        <w:t xml:space="preserve">research </w:t>
      </w:r>
      <w:r w:rsidR="00E36411">
        <w:rPr>
          <w:rFonts w:cs="Calibri"/>
        </w:rPr>
        <w:t>team</w:t>
      </w:r>
      <w:r w:rsidR="002D5359" w:rsidRPr="002D7C87">
        <w:rPr>
          <w:rFonts w:cs="Calibri"/>
        </w:rPr>
        <w:t>.</w:t>
      </w:r>
    </w:p>
    <w:p w14:paraId="6D1C06EC" w14:textId="77777777" w:rsidR="002A5363" w:rsidRPr="002D7C87" w:rsidRDefault="002A5363" w:rsidP="002141FA">
      <w:pPr>
        <w:rPr>
          <w:rFonts w:cs="Calibri"/>
        </w:rPr>
      </w:pPr>
    </w:p>
    <w:p w14:paraId="38F26990" w14:textId="072074F7" w:rsidR="00516CED" w:rsidRPr="002D7C87" w:rsidRDefault="00F74337" w:rsidP="00FE171E">
      <w:pPr>
        <w:pStyle w:val="Heading3"/>
      </w:pPr>
      <w:r w:rsidRPr="002D7C87">
        <w:t xml:space="preserve">Definition of primary outcome for </w:t>
      </w:r>
      <w:r w:rsidR="00AD6D05" w:rsidRPr="002D7C87">
        <w:t>Booklet</w:t>
      </w:r>
      <w:r w:rsidR="00405CE7" w:rsidRPr="002D7C87">
        <w:t xml:space="preserve"> Component</w:t>
      </w:r>
    </w:p>
    <w:p w14:paraId="6D74E54D" w14:textId="65DD9C5D" w:rsidR="00093EA8" w:rsidRPr="002D7C87" w:rsidRDefault="005050CA" w:rsidP="002655FB">
      <w:pPr>
        <w:rPr>
          <w:rFonts w:cs="Calibri"/>
        </w:rPr>
      </w:pPr>
      <w:r w:rsidRPr="002D7C87">
        <w:rPr>
          <w:rFonts w:cs="Calibri"/>
        </w:rPr>
        <w:t xml:space="preserve">A participant was classified as correctly understanding treatment </w:t>
      </w:r>
      <w:r w:rsidR="00F74337" w:rsidRPr="002D7C87">
        <w:rPr>
          <w:rFonts w:cs="Calibri"/>
        </w:rPr>
        <w:t xml:space="preserve">intent if they provided correct answers to </w:t>
      </w:r>
      <w:r w:rsidR="00F74337" w:rsidRPr="002D7C87">
        <w:rPr>
          <w:rFonts w:cs="Calibri"/>
          <w:b/>
          <w:bCs/>
        </w:rPr>
        <w:t xml:space="preserve">both </w:t>
      </w:r>
      <w:r w:rsidR="00F74337" w:rsidRPr="002D7C87">
        <w:rPr>
          <w:rFonts w:cs="Calibri"/>
        </w:rPr>
        <w:t xml:space="preserve">of the following questions in </w:t>
      </w:r>
      <w:r w:rsidR="00C10BB0" w:rsidRPr="002D7C87">
        <w:rPr>
          <w:rFonts w:cs="Calibri"/>
        </w:rPr>
        <w:t xml:space="preserve">the </w:t>
      </w:r>
      <w:r w:rsidR="00AD6D05" w:rsidRPr="002D7C87">
        <w:rPr>
          <w:rFonts w:cs="Calibri"/>
        </w:rPr>
        <w:t>Book</w:t>
      </w:r>
      <w:r w:rsidR="00FB49D6" w:rsidRPr="002D7C87">
        <w:rPr>
          <w:rFonts w:cs="Calibri"/>
        </w:rPr>
        <w:t>let Comprehension Tool</w:t>
      </w:r>
      <w:r w:rsidR="00F74337" w:rsidRPr="002D7C87">
        <w:rPr>
          <w:rFonts w:cs="Calibri"/>
        </w:rPr>
        <w:t xml:space="preserve"> (correct answers identified in bold):</w:t>
      </w:r>
    </w:p>
    <w:p w14:paraId="0AB4E20B" w14:textId="77777777" w:rsidR="00F74337" w:rsidRPr="002D7C87" w:rsidRDefault="00F74337" w:rsidP="002655FB">
      <w:pPr>
        <w:rPr>
          <w:rFonts w:cs="Calibri"/>
        </w:rPr>
      </w:pPr>
    </w:p>
    <w:p w14:paraId="2CED826F" w14:textId="77777777" w:rsidR="00F74337" w:rsidRPr="002D7C87" w:rsidRDefault="00F74337" w:rsidP="00F74337">
      <w:pPr>
        <w:rPr>
          <w:rFonts w:cs="Calibri"/>
        </w:rPr>
      </w:pPr>
      <w:r w:rsidRPr="002D7C87">
        <w:rPr>
          <w:rFonts w:cs="Calibri"/>
        </w:rPr>
        <w:t>What is the main goal of the treatment given to treat myeloma?</w:t>
      </w:r>
    </w:p>
    <w:p w14:paraId="2EB1ACB9" w14:textId="713FC60F" w:rsidR="00F74337" w:rsidRPr="002D7C87" w:rsidRDefault="00F74337" w:rsidP="00F74337">
      <w:pPr>
        <w:pStyle w:val="ListParagraph"/>
        <w:numPr>
          <w:ilvl w:val="0"/>
          <w:numId w:val="12"/>
        </w:numPr>
        <w:rPr>
          <w:rFonts w:cs="Calibri"/>
        </w:rPr>
      </w:pPr>
      <w:r w:rsidRPr="002D7C87">
        <w:rPr>
          <w:rFonts w:cs="Calibri"/>
        </w:rPr>
        <w:t>Cure myeloma completely for everyone.</w:t>
      </w:r>
    </w:p>
    <w:p w14:paraId="713C0B39" w14:textId="7935224F" w:rsidR="00F74337" w:rsidRPr="002D7C87" w:rsidRDefault="00F74337" w:rsidP="00F74337">
      <w:pPr>
        <w:pStyle w:val="ListParagraph"/>
        <w:numPr>
          <w:ilvl w:val="0"/>
          <w:numId w:val="12"/>
        </w:numPr>
        <w:rPr>
          <w:rFonts w:cs="Calibri"/>
        </w:rPr>
      </w:pPr>
      <w:r w:rsidRPr="002D7C87">
        <w:rPr>
          <w:rFonts w:cs="Calibri"/>
        </w:rPr>
        <w:t>Cure myeloma in most patients, but not everyone will be cured.</w:t>
      </w:r>
    </w:p>
    <w:p w14:paraId="278777A1" w14:textId="0FEAFE1D" w:rsidR="00F74337" w:rsidRPr="002D7C87" w:rsidRDefault="00F74337" w:rsidP="00F74337">
      <w:pPr>
        <w:pStyle w:val="ListParagraph"/>
        <w:numPr>
          <w:ilvl w:val="0"/>
          <w:numId w:val="12"/>
        </w:numPr>
        <w:rPr>
          <w:rFonts w:cs="Calibri"/>
          <w:b/>
          <w:bCs/>
        </w:rPr>
      </w:pPr>
      <w:r w:rsidRPr="002D7C87">
        <w:rPr>
          <w:rFonts w:cs="Calibri"/>
          <w:b/>
          <w:bCs/>
        </w:rPr>
        <w:t xml:space="preserve">Make the myeloma go away for a while to help people live longer and feel </w:t>
      </w:r>
      <w:proofErr w:type="gramStart"/>
      <w:r w:rsidRPr="002D7C87">
        <w:rPr>
          <w:rFonts w:cs="Calibri"/>
          <w:b/>
          <w:bCs/>
        </w:rPr>
        <w:t>better, but</w:t>
      </w:r>
      <w:proofErr w:type="gramEnd"/>
      <w:r w:rsidRPr="002D7C87">
        <w:rPr>
          <w:rFonts w:cs="Calibri"/>
          <w:b/>
          <w:bCs/>
        </w:rPr>
        <w:t xml:space="preserve"> not cure it.</w:t>
      </w:r>
    </w:p>
    <w:p w14:paraId="130520F3" w14:textId="389418F0" w:rsidR="00F74337" w:rsidRPr="002D7C87" w:rsidRDefault="00F74337" w:rsidP="00F74337">
      <w:pPr>
        <w:pStyle w:val="ListParagraph"/>
        <w:numPr>
          <w:ilvl w:val="0"/>
          <w:numId w:val="12"/>
        </w:numPr>
        <w:rPr>
          <w:rFonts w:cs="Calibri"/>
        </w:rPr>
      </w:pPr>
      <w:r w:rsidRPr="002D7C87">
        <w:rPr>
          <w:rFonts w:cs="Calibri"/>
        </w:rPr>
        <w:t>None of the above.</w:t>
      </w:r>
    </w:p>
    <w:p w14:paraId="46CDCC5D" w14:textId="77777777" w:rsidR="00F74337" w:rsidRPr="002D7C87" w:rsidRDefault="00F74337" w:rsidP="00F74337">
      <w:pPr>
        <w:rPr>
          <w:rFonts w:cs="Calibri"/>
        </w:rPr>
      </w:pPr>
    </w:p>
    <w:p w14:paraId="6025ED91" w14:textId="77777777" w:rsidR="00F74337" w:rsidRPr="002D7C87" w:rsidRDefault="00F74337" w:rsidP="00F74337">
      <w:pPr>
        <w:rPr>
          <w:rFonts w:cs="Calibri"/>
        </w:rPr>
      </w:pPr>
      <w:r w:rsidRPr="002D7C87">
        <w:rPr>
          <w:rFonts w:cs="Calibri"/>
        </w:rPr>
        <w:t>The medicines for myeloma can cure the disease completely.</w:t>
      </w:r>
    </w:p>
    <w:p w14:paraId="2A17AF17" w14:textId="4E8001E0" w:rsidR="00F74337" w:rsidRPr="002D7C87" w:rsidRDefault="00F74337" w:rsidP="00F74337">
      <w:pPr>
        <w:pStyle w:val="ListParagraph"/>
        <w:numPr>
          <w:ilvl w:val="0"/>
          <w:numId w:val="12"/>
        </w:numPr>
        <w:rPr>
          <w:rFonts w:cs="Calibri"/>
        </w:rPr>
      </w:pPr>
      <w:r w:rsidRPr="002D7C87">
        <w:rPr>
          <w:rFonts w:cs="Calibri"/>
        </w:rPr>
        <w:t xml:space="preserve">True </w:t>
      </w:r>
    </w:p>
    <w:p w14:paraId="69A4CFE8" w14:textId="61C6594F" w:rsidR="00F74337" w:rsidRPr="002D7C87" w:rsidRDefault="00F74337" w:rsidP="00F74337">
      <w:pPr>
        <w:pStyle w:val="ListParagraph"/>
        <w:numPr>
          <w:ilvl w:val="0"/>
          <w:numId w:val="12"/>
        </w:numPr>
        <w:rPr>
          <w:rFonts w:cs="Calibri"/>
          <w:b/>
          <w:bCs/>
        </w:rPr>
      </w:pPr>
      <w:r w:rsidRPr="002D7C87">
        <w:rPr>
          <w:rFonts w:cs="Calibri"/>
          <w:b/>
          <w:bCs/>
        </w:rPr>
        <w:lastRenderedPageBreak/>
        <w:t xml:space="preserve">False </w:t>
      </w:r>
    </w:p>
    <w:p w14:paraId="23FCFD04" w14:textId="77777777" w:rsidR="00F74337" w:rsidRPr="002D7C87" w:rsidRDefault="00F74337" w:rsidP="002655FB">
      <w:pPr>
        <w:rPr>
          <w:rFonts w:cs="Calibri"/>
        </w:rPr>
      </w:pPr>
    </w:p>
    <w:p w14:paraId="2E1E8A88" w14:textId="274DD513" w:rsidR="00DF1E55" w:rsidRPr="00233AC9" w:rsidRDefault="006900AF" w:rsidP="00233AC9">
      <w:pPr>
        <w:pStyle w:val="Heading3"/>
      </w:pPr>
      <w:r w:rsidRPr="00233AC9">
        <w:t>Definition</w:t>
      </w:r>
      <w:r w:rsidR="00DF1E55" w:rsidRPr="00233AC9">
        <w:t>s</w:t>
      </w:r>
      <w:r w:rsidRPr="00233AC9">
        <w:t xml:space="preserve"> of secondary outcome</w:t>
      </w:r>
      <w:r w:rsidR="00046EF1" w:rsidRPr="00233AC9">
        <w:t>s</w:t>
      </w:r>
      <w:r w:rsidRPr="00233AC9">
        <w:t xml:space="preserve"> for </w:t>
      </w:r>
      <w:r w:rsidR="00AD6D05" w:rsidRPr="00233AC9">
        <w:t>Bookl</w:t>
      </w:r>
      <w:r w:rsidR="00405CE7" w:rsidRPr="00233AC9">
        <w:t>et Component</w:t>
      </w:r>
    </w:p>
    <w:p w14:paraId="0F2E0356" w14:textId="75706C87" w:rsidR="00046EF1" w:rsidRPr="002D7C87" w:rsidRDefault="009D7FB8" w:rsidP="002655FB">
      <w:pPr>
        <w:rPr>
          <w:rFonts w:cs="Calibri"/>
          <w:i/>
          <w:iCs/>
        </w:rPr>
      </w:pPr>
      <w:r w:rsidRPr="002D7C87">
        <w:rPr>
          <w:rFonts w:cs="Calibri"/>
          <w:i/>
          <w:iCs/>
        </w:rPr>
        <w:t xml:space="preserve">Definition of Booklet Component </w:t>
      </w:r>
      <w:r w:rsidR="00046EF1" w:rsidRPr="002D7C87">
        <w:rPr>
          <w:rFonts w:cs="Calibri"/>
          <w:i/>
          <w:iCs/>
        </w:rPr>
        <w:t>Total Comprehension Score</w:t>
      </w:r>
    </w:p>
    <w:p w14:paraId="1BFA1F96" w14:textId="6082A62D" w:rsidR="006900AF" w:rsidRPr="002D7C87" w:rsidRDefault="006900AF" w:rsidP="002655FB">
      <w:pPr>
        <w:rPr>
          <w:rFonts w:cs="Calibri"/>
        </w:rPr>
      </w:pPr>
      <w:r w:rsidRPr="002D7C87">
        <w:rPr>
          <w:rFonts w:cs="Calibri"/>
        </w:rPr>
        <w:t xml:space="preserve">A participant received </w:t>
      </w:r>
      <w:r w:rsidR="00A0734C" w:rsidRPr="002D7C87">
        <w:rPr>
          <w:rFonts w:cs="Calibri"/>
        </w:rPr>
        <w:t>one</w:t>
      </w:r>
      <w:r w:rsidRPr="002D7C87">
        <w:rPr>
          <w:rFonts w:cs="Calibri"/>
        </w:rPr>
        <w:t xml:space="preserve"> mark for each correct answer to </w:t>
      </w:r>
      <w:r w:rsidR="00A0734C" w:rsidRPr="002D7C87">
        <w:rPr>
          <w:rFonts w:cs="Calibri"/>
        </w:rPr>
        <w:t>each of the questions comprising the primary outcome (above) in addition to one mark for each correct answer to the questions below</w:t>
      </w:r>
      <w:r w:rsidR="00AC1E2F" w:rsidRPr="002D7C87">
        <w:rPr>
          <w:rFonts w:cs="Calibri"/>
        </w:rPr>
        <w:t xml:space="preserve"> (correct answer designated in bold)</w:t>
      </w:r>
      <w:r w:rsidR="009E45B3" w:rsidRPr="002D7C87">
        <w:rPr>
          <w:rFonts w:cs="Calibri"/>
        </w:rPr>
        <w:t>. The maximum possible score is 5.</w:t>
      </w:r>
    </w:p>
    <w:p w14:paraId="4036BB9A" w14:textId="77777777" w:rsidR="00A0734C" w:rsidRPr="002D7C87" w:rsidRDefault="00A0734C" w:rsidP="002655FB">
      <w:pPr>
        <w:rPr>
          <w:rFonts w:cs="Calibri"/>
        </w:rPr>
      </w:pPr>
    </w:p>
    <w:p w14:paraId="75CC62ED" w14:textId="77777777" w:rsidR="009E45B3" w:rsidRPr="002D7C87" w:rsidRDefault="009E45B3" w:rsidP="009E45B3">
      <w:pPr>
        <w:rPr>
          <w:rFonts w:cs="Calibri"/>
        </w:rPr>
      </w:pPr>
      <w:r w:rsidRPr="002D7C87">
        <w:rPr>
          <w:rFonts w:cs="Calibri"/>
        </w:rPr>
        <w:t>What does “remission” mean in the context of myeloma treatment?</w:t>
      </w:r>
    </w:p>
    <w:p w14:paraId="3CFC1AC7" w14:textId="47F55736" w:rsidR="009E45B3" w:rsidRPr="002D7C87" w:rsidRDefault="009E45B3" w:rsidP="00670816">
      <w:pPr>
        <w:pStyle w:val="ListParagraph"/>
        <w:numPr>
          <w:ilvl w:val="0"/>
          <w:numId w:val="12"/>
        </w:numPr>
        <w:rPr>
          <w:rFonts w:cs="Calibri"/>
        </w:rPr>
      </w:pPr>
      <w:r w:rsidRPr="002D7C87">
        <w:rPr>
          <w:rFonts w:cs="Calibri"/>
        </w:rPr>
        <w:t>When myeloma is completely cured.</w:t>
      </w:r>
    </w:p>
    <w:p w14:paraId="2E9C27B9" w14:textId="4CE52B5E" w:rsidR="009E45B3" w:rsidRPr="002D7C87" w:rsidRDefault="009E45B3" w:rsidP="00670816">
      <w:pPr>
        <w:pStyle w:val="ListParagraph"/>
        <w:numPr>
          <w:ilvl w:val="0"/>
          <w:numId w:val="12"/>
        </w:numPr>
        <w:rPr>
          <w:rFonts w:cs="Calibri"/>
          <w:b/>
          <w:bCs/>
        </w:rPr>
      </w:pPr>
      <w:r w:rsidRPr="002D7C87">
        <w:rPr>
          <w:rFonts w:cs="Calibri"/>
          <w:b/>
          <w:bCs/>
        </w:rPr>
        <w:t>When myeloma goes away for a time after treatment, but it will come back in future.</w:t>
      </w:r>
    </w:p>
    <w:p w14:paraId="37ACBF78" w14:textId="4532864C" w:rsidR="009E45B3" w:rsidRPr="002D7C87" w:rsidRDefault="009E45B3" w:rsidP="00670816">
      <w:pPr>
        <w:pStyle w:val="ListParagraph"/>
        <w:numPr>
          <w:ilvl w:val="0"/>
          <w:numId w:val="12"/>
        </w:numPr>
        <w:rPr>
          <w:rFonts w:cs="Calibri"/>
        </w:rPr>
      </w:pPr>
      <w:r w:rsidRPr="002D7C87">
        <w:rPr>
          <w:rFonts w:cs="Calibri"/>
        </w:rPr>
        <w:t>When myeloma treatment does not work.</w:t>
      </w:r>
    </w:p>
    <w:p w14:paraId="793A4192" w14:textId="35142412" w:rsidR="009E45B3" w:rsidRPr="002D7C87" w:rsidRDefault="009E45B3" w:rsidP="00670816">
      <w:pPr>
        <w:pStyle w:val="ListParagraph"/>
        <w:numPr>
          <w:ilvl w:val="0"/>
          <w:numId w:val="12"/>
        </w:numPr>
        <w:rPr>
          <w:rFonts w:cs="Calibri"/>
        </w:rPr>
      </w:pPr>
      <w:r w:rsidRPr="002D7C87">
        <w:rPr>
          <w:rFonts w:cs="Calibri"/>
        </w:rPr>
        <w:t>When myeloma comes back after treatment.</w:t>
      </w:r>
    </w:p>
    <w:p w14:paraId="76BC4FCF" w14:textId="77777777" w:rsidR="009E45B3" w:rsidRPr="002D7C87" w:rsidRDefault="009E45B3" w:rsidP="009E45B3">
      <w:pPr>
        <w:rPr>
          <w:rFonts w:cs="Calibri"/>
        </w:rPr>
      </w:pPr>
    </w:p>
    <w:p w14:paraId="314EB8B4" w14:textId="77777777" w:rsidR="009E45B3" w:rsidRPr="002D7C87" w:rsidRDefault="009E45B3" w:rsidP="009E45B3">
      <w:pPr>
        <w:rPr>
          <w:rFonts w:cs="Calibri"/>
        </w:rPr>
      </w:pPr>
      <w:r w:rsidRPr="002D7C87">
        <w:rPr>
          <w:rFonts w:cs="Calibri"/>
        </w:rPr>
        <w:t>What should a patient do if they are unsure about when to take their medicines?</w:t>
      </w:r>
    </w:p>
    <w:p w14:paraId="341098A6" w14:textId="2983029B" w:rsidR="009E45B3" w:rsidRPr="002D7C87" w:rsidRDefault="009E45B3" w:rsidP="00670816">
      <w:pPr>
        <w:pStyle w:val="ListParagraph"/>
        <w:numPr>
          <w:ilvl w:val="0"/>
          <w:numId w:val="12"/>
        </w:numPr>
        <w:rPr>
          <w:rFonts w:cs="Calibri"/>
        </w:rPr>
      </w:pPr>
      <w:r w:rsidRPr="002D7C87">
        <w:rPr>
          <w:rFonts w:cs="Calibri"/>
        </w:rPr>
        <w:t>Wait until their next hospital visit.</w:t>
      </w:r>
    </w:p>
    <w:p w14:paraId="7BBCE82D" w14:textId="00B3D3F7" w:rsidR="009E45B3" w:rsidRPr="002D7C87" w:rsidRDefault="009E45B3" w:rsidP="00670816">
      <w:pPr>
        <w:pStyle w:val="ListParagraph"/>
        <w:numPr>
          <w:ilvl w:val="0"/>
          <w:numId w:val="12"/>
        </w:numPr>
        <w:rPr>
          <w:rFonts w:cs="Calibri"/>
        </w:rPr>
      </w:pPr>
      <w:r w:rsidRPr="002D7C87">
        <w:rPr>
          <w:rFonts w:cs="Calibri"/>
        </w:rPr>
        <w:t>Ask a friend.</w:t>
      </w:r>
    </w:p>
    <w:p w14:paraId="1923F851" w14:textId="1FD7B7D9" w:rsidR="009E45B3" w:rsidRPr="002D7C87" w:rsidRDefault="009E45B3" w:rsidP="00670816">
      <w:pPr>
        <w:pStyle w:val="ListParagraph"/>
        <w:numPr>
          <w:ilvl w:val="0"/>
          <w:numId w:val="12"/>
        </w:numPr>
        <w:rPr>
          <w:rFonts w:cs="Calibri"/>
          <w:b/>
          <w:bCs/>
        </w:rPr>
      </w:pPr>
      <w:r w:rsidRPr="002D7C87">
        <w:rPr>
          <w:rFonts w:cs="Calibri"/>
          <w:b/>
          <w:bCs/>
        </w:rPr>
        <w:t>Speak to their doctor or nurse.</w:t>
      </w:r>
    </w:p>
    <w:p w14:paraId="13F9F98B" w14:textId="628DA30E" w:rsidR="009E45B3" w:rsidRPr="002D7C87" w:rsidRDefault="009E45B3" w:rsidP="00670816">
      <w:pPr>
        <w:pStyle w:val="ListParagraph"/>
        <w:numPr>
          <w:ilvl w:val="0"/>
          <w:numId w:val="12"/>
        </w:numPr>
        <w:rPr>
          <w:rFonts w:cs="Calibri"/>
        </w:rPr>
      </w:pPr>
      <w:r w:rsidRPr="002D7C87">
        <w:rPr>
          <w:rFonts w:cs="Calibri"/>
        </w:rPr>
        <w:t>Look it up online.</w:t>
      </w:r>
    </w:p>
    <w:p w14:paraId="77E71339" w14:textId="77777777" w:rsidR="009E45B3" w:rsidRPr="002D7C87" w:rsidRDefault="009E45B3" w:rsidP="009E45B3">
      <w:pPr>
        <w:rPr>
          <w:rFonts w:cs="Calibri"/>
        </w:rPr>
      </w:pPr>
    </w:p>
    <w:p w14:paraId="76D967B7" w14:textId="77777777" w:rsidR="009E45B3" w:rsidRPr="002D7C87" w:rsidRDefault="009E45B3" w:rsidP="009E45B3">
      <w:pPr>
        <w:rPr>
          <w:rFonts w:cs="Calibri"/>
        </w:rPr>
      </w:pPr>
      <w:r w:rsidRPr="002D7C87">
        <w:rPr>
          <w:rFonts w:cs="Calibri"/>
        </w:rPr>
        <w:t>Remission means that myeloma has been cured forever.</w:t>
      </w:r>
    </w:p>
    <w:p w14:paraId="0D6CDAFC" w14:textId="51A4DCF5" w:rsidR="009E45B3" w:rsidRPr="002D7C87" w:rsidRDefault="009E45B3" w:rsidP="00670816">
      <w:pPr>
        <w:pStyle w:val="ListParagraph"/>
        <w:numPr>
          <w:ilvl w:val="0"/>
          <w:numId w:val="12"/>
        </w:numPr>
        <w:rPr>
          <w:rFonts w:cs="Calibri"/>
        </w:rPr>
      </w:pPr>
      <w:r w:rsidRPr="002D7C87">
        <w:rPr>
          <w:rFonts w:cs="Calibri"/>
        </w:rPr>
        <w:t>True</w:t>
      </w:r>
    </w:p>
    <w:p w14:paraId="2419A0A2" w14:textId="2D08F256" w:rsidR="009E45B3" w:rsidRPr="002D7C87" w:rsidRDefault="009E45B3" w:rsidP="00670816">
      <w:pPr>
        <w:pStyle w:val="ListParagraph"/>
        <w:numPr>
          <w:ilvl w:val="0"/>
          <w:numId w:val="12"/>
        </w:numPr>
        <w:rPr>
          <w:rFonts w:cs="Calibri"/>
          <w:b/>
          <w:bCs/>
        </w:rPr>
      </w:pPr>
      <w:r w:rsidRPr="002D7C87">
        <w:rPr>
          <w:rFonts w:cs="Calibri"/>
          <w:b/>
          <w:bCs/>
        </w:rPr>
        <w:t>False</w:t>
      </w:r>
    </w:p>
    <w:p w14:paraId="24373F27" w14:textId="77777777" w:rsidR="00A0734C" w:rsidRPr="002D7C87" w:rsidRDefault="00A0734C" w:rsidP="002655FB">
      <w:pPr>
        <w:rPr>
          <w:rFonts w:cs="Calibri"/>
        </w:rPr>
      </w:pPr>
    </w:p>
    <w:p w14:paraId="28DF4B27" w14:textId="124FB4E8" w:rsidR="00D0295E" w:rsidRPr="00233AC9" w:rsidRDefault="009D7FB8" w:rsidP="00233AC9">
      <w:pPr>
        <w:pStyle w:val="Heading4"/>
      </w:pPr>
      <w:r w:rsidRPr="00233AC9">
        <w:t xml:space="preserve">Definition of </w:t>
      </w:r>
      <w:r w:rsidR="0045300E" w:rsidRPr="00233AC9">
        <w:t>Confidence in explaining myeloma to a family member</w:t>
      </w:r>
    </w:p>
    <w:p w14:paraId="629EA007" w14:textId="78A279DD" w:rsidR="00046EF1" w:rsidRPr="002D7C87" w:rsidRDefault="00361037" w:rsidP="002655FB">
      <w:pPr>
        <w:rPr>
          <w:rFonts w:cs="Calibri"/>
        </w:rPr>
      </w:pPr>
      <w:r w:rsidRPr="002D7C87">
        <w:rPr>
          <w:rFonts w:cs="Calibri"/>
        </w:rPr>
        <w:t>After answering</w:t>
      </w:r>
      <w:r w:rsidR="006D5D32" w:rsidRPr="002D7C87">
        <w:rPr>
          <w:rFonts w:cs="Calibri"/>
        </w:rPr>
        <w:t xml:space="preserve"> the comprehension questions in the </w:t>
      </w:r>
      <w:r w:rsidR="00AD6D05" w:rsidRPr="002D7C87">
        <w:rPr>
          <w:rFonts w:cs="Calibri"/>
        </w:rPr>
        <w:t>Booklet</w:t>
      </w:r>
      <w:r w:rsidR="00847F06" w:rsidRPr="002D7C87">
        <w:rPr>
          <w:rFonts w:cs="Calibri"/>
        </w:rPr>
        <w:t xml:space="preserve"> Comprehension Tool</w:t>
      </w:r>
      <w:r w:rsidR="006D5D32" w:rsidRPr="002D7C87">
        <w:rPr>
          <w:rFonts w:cs="Calibri"/>
        </w:rPr>
        <w:t xml:space="preserve"> (as detailed above)</w:t>
      </w:r>
      <w:r w:rsidR="00847F06" w:rsidRPr="002D7C87">
        <w:rPr>
          <w:rFonts w:cs="Calibri"/>
        </w:rPr>
        <w:t xml:space="preserve">, participants were asked </w:t>
      </w:r>
      <w:r w:rsidR="0051686F" w:rsidRPr="002D7C87">
        <w:rPr>
          <w:rFonts w:cs="Calibri"/>
        </w:rPr>
        <w:t xml:space="preserve">the question “How confident would you feel to explain information in this </w:t>
      </w:r>
      <w:r w:rsidR="000D4C63" w:rsidRPr="002D7C87">
        <w:rPr>
          <w:rFonts w:cs="Calibri"/>
        </w:rPr>
        <w:t>booklet</w:t>
      </w:r>
      <w:r w:rsidR="0051686F" w:rsidRPr="002D7C87">
        <w:rPr>
          <w:rFonts w:cs="Calibri"/>
        </w:rPr>
        <w:t xml:space="preserve"> to your imaginary friend or family member?”, and could choose one of five discrete responses:</w:t>
      </w:r>
      <w:r w:rsidR="00920368" w:rsidRPr="002D7C87">
        <w:rPr>
          <w:rFonts w:cs="Calibri"/>
        </w:rPr>
        <w:t xml:space="preserve"> </w:t>
      </w:r>
      <w:r w:rsidRPr="002D7C87">
        <w:rPr>
          <w:rFonts w:cs="Calibri"/>
        </w:rPr>
        <w:t>“</w:t>
      </w:r>
      <w:r w:rsidR="00920368" w:rsidRPr="002D7C87">
        <w:rPr>
          <w:rFonts w:cs="Calibri"/>
        </w:rPr>
        <w:t>Not Confident at All</w:t>
      </w:r>
      <w:r w:rsidRPr="002D7C87">
        <w:rPr>
          <w:rFonts w:cs="Calibri"/>
        </w:rPr>
        <w:t>”</w:t>
      </w:r>
      <w:r w:rsidR="00920368" w:rsidRPr="002D7C87">
        <w:rPr>
          <w:rFonts w:cs="Calibri"/>
        </w:rPr>
        <w:t xml:space="preserve">, </w:t>
      </w:r>
      <w:r w:rsidRPr="002D7C87">
        <w:rPr>
          <w:rFonts w:cs="Calibri"/>
        </w:rPr>
        <w:t>“</w:t>
      </w:r>
      <w:r w:rsidR="00920368" w:rsidRPr="002D7C87">
        <w:rPr>
          <w:rFonts w:cs="Calibri"/>
        </w:rPr>
        <w:t>Slightly Confident</w:t>
      </w:r>
      <w:r w:rsidRPr="002D7C87">
        <w:rPr>
          <w:rFonts w:cs="Calibri"/>
        </w:rPr>
        <w:t>”</w:t>
      </w:r>
      <w:r w:rsidR="00920368" w:rsidRPr="002D7C87">
        <w:rPr>
          <w:rFonts w:cs="Calibri"/>
        </w:rPr>
        <w:t>,</w:t>
      </w:r>
      <w:r w:rsidR="008707DC" w:rsidRPr="002D7C87">
        <w:rPr>
          <w:rFonts w:cs="Calibri"/>
        </w:rPr>
        <w:t xml:space="preserve"> </w:t>
      </w:r>
      <w:r w:rsidRPr="002D7C87">
        <w:rPr>
          <w:rFonts w:cs="Calibri"/>
        </w:rPr>
        <w:t>“</w:t>
      </w:r>
      <w:r w:rsidR="008707DC" w:rsidRPr="002D7C87">
        <w:rPr>
          <w:rFonts w:cs="Calibri"/>
        </w:rPr>
        <w:t>Moderately Confident</w:t>
      </w:r>
      <w:r w:rsidRPr="002D7C87">
        <w:rPr>
          <w:rFonts w:cs="Calibri"/>
        </w:rPr>
        <w:t>”</w:t>
      </w:r>
      <w:r w:rsidR="008707DC" w:rsidRPr="002D7C87">
        <w:rPr>
          <w:rFonts w:cs="Calibri"/>
        </w:rPr>
        <w:t xml:space="preserve">, </w:t>
      </w:r>
      <w:r w:rsidRPr="002D7C87">
        <w:rPr>
          <w:rFonts w:cs="Calibri"/>
        </w:rPr>
        <w:t>“</w:t>
      </w:r>
      <w:r w:rsidR="00C57C04" w:rsidRPr="002D7C87">
        <w:rPr>
          <w:rFonts w:cs="Calibri"/>
        </w:rPr>
        <w:t>Very Confident</w:t>
      </w:r>
      <w:r w:rsidRPr="002D7C87">
        <w:rPr>
          <w:rFonts w:cs="Calibri"/>
        </w:rPr>
        <w:t>”</w:t>
      </w:r>
      <w:r w:rsidR="00C57C04" w:rsidRPr="002D7C87">
        <w:rPr>
          <w:rFonts w:cs="Calibri"/>
        </w:rPr>
        <w:t xml:space="preserve"> or </w:t>
      </w:r>
      <w:r w:rsidRPr="002D7C87">
        <w:rPr>
          <w:rFonts w:cs="Calibri"/>
        </w:rPr>
        <w:t>“</w:t>
      </w:r>
      <w:r w:rsidR="00C57C04" w:rsidRPr="002D7C87">
        <w:rPr>
          <w:rFonts w:cs="Calibri"/>
        </w:rPr>
        <w:t>Extremely Confident</w:t>
      </w:r>
      <w:r w:rsidRPr="002D7C87">
        <w:rPr>
          <w:rFonts w:cs="Calibri"/>
        </w:rPr>
        <w:t>”</w:t>
      </w:r>
      <w:r w:rsidR="00C57C04" w:rsidRPr="002D7C87">
        <w:rPr>
          <w:rFonts w:cs="Calibri"/>
        </w:rPr>
        <w:t>.</w:t>
      </w:r>
    </w:p>
    <w:p w14:paraId="4DC61E6F" w14:textId="77777777" w:rsidR="0045300E" w:rsidRPr="002D7C87" w:rsidRDefault="0045300E" w:rsidP="002655FB">
      <w:pPr>
        <w:rPr>
          <w:rFonts w:cs="Calibri"/>
        </w:rPr>
      </w:pPr>
    </w:p>
    <w:p w14:paraId="0A9745EF" w14:textId="53473E77" w:rsidR="0045300E" w:rsidRPr="002D7C87" w:rsidRDefault="00685A53" w:rsidP="00233AC9">
      <w:pPr>
        <w:pStyle w:val="Heading4"/>
      </w:pPr>
      <w:r w:rsidRPr="002D7C87">
        <w:t xml:space="preserve">Definition of </w:t>
      </w:r>
      <w:r w:rsidR="00B236D4" w:rsidRPr="002D7C87">
        <w:t xml:space="preserve">Perceived clarity of language </w:t>
      </w:r>
    </w:p>
    <w:p w14:paraId="1C8C892D" w14:textId="7D321A78" w:rsidR="006D5D32" w:rsidRPr="002D7C87" w:rsidRDefault="006D5D32" w:rsidP="005A5D5A">
      <w:pPr>
        <w:rPr>
          <w:rFonts w:cs="Calibri"/>
          <w:i/>
          <w:iCs/>
        </w:rPr>
      </w:pPr>
      <w:r w:rsidRPr="002D7C87">
        <w:rPr>
          <w:rFonts w:cs="Calibri"/>
        </w:rPr>
        <w:t xml:space="preserve">Following the </w:t>
      </w:r>
      <w:r w:rsidR="005A5D5A" w:rsidRPr="002D7C87">
        <w:rPr>
          <w:rFonts w:cs="Calibri"/>
        </w:rPr>
        <w:t>“</w:t>
      </w:r>
      <w:r w:rsidR="005A5D5A" w:rsidRPr="002D7C87">
        <w:rPr>
          <w:rFonts w:cs="Calibri"/>
          <w:i/>
          <w:iCs/>
        </w:rPr>
        <w:t>Confidence in explaining myeloma to a family member</w:t>
      </w:r>
      <w:r w:rsidR="005A5D5A" w:rsidRPr="002D7C87">
        <w:rPr>
          <w:rFonts w:cs="Calibri"/>
        </w:rPr>
        <w:t>” question, participants were asked to choose a response to “</w:t>
      </w:r>
      <w:r w:rsidRPr="002D7C87">
        <w:rPr>
          <w:rFonts w:cs="Calibri"/>
        </w:rPr>
        <w:t xml:space="preserve">How clear was the language in the </w:t>
      </w:r>
      <w:r w:rsidR="000D4C63" w:rsidRPr="002D7C87">
        <w:rPr>
          <w:rFonts w:cs="Calibri"/>
        </w:rPr>
        <w:t>booklet</w:t>
      </w:r>
      <w:r w:rsidRPr="002D7C87">
        <w:rPr>
          <w:rFonts w:cs="Calibri"/>
        </w:rPr>
        <w:t>?</w:t>
      </w:r>
      <w:r w:rsidR="005A5D5A" w:rsidRPr="002D7C87">
        <w:rPr>
          <w:rFonts w:cs="Calibri"/>
        </w:rPr>
        <w:t>”. Discrete options provided were “Not Clear at All”, “Slightly Clear”,</w:t>
      </w:r>
      <w:r w:rsidR="00507F84" w:rsidRPr="002D7C87">
        <w:rPr>
          <w:rFonts w:cs="Calibri"/>
        </w:rPr>
        <w:t xml:space="preserve"> “Moderately Clear”,</w:t>
      </w:r>
      <w:r w:rsidR="00911CE4" w:rsidRPr="002D7C87">
        <w:rPr>
          <w:rFonts w:cs="Calibri"/>
        </w:rPr>
        <w:t xml:space="preserve"> “Very Clear” or “Extremely Clear”.</w:t>
      </w:r>
    </w:p>
    <w:p w14:paraId="2B9B9EE7" w14:textId="77777777" w:rsidR="0045300E" w:rsidRPr="002D7C87" w:rsidRDefault="0045300E" w:rsidP="002655FB">
      <w:pPr>
        <w:rPr>
          <w:rFonts w:cs="Calibri"/>
        </w:rPr>
      </w:pPr>
    </w:p>
    <w:p w14:paraId="7B8BF4FB" w14:textId="77BDD819" w:rsidR="006B7B90" w:rsidRPr="002D7C87" w:rsidRDefault="006B7B90" w:rsidP="00233AC9">
      <w:pPr>
        <w:pStyle w:val="Heading3"/>
      </w:pPr>
      <w:r w:rsidRPr="002D7C87">
        <w:t xml:space="preserve">Definition of primary outcome for </w:t>
      </w:r>
      <w:r w:rsidR="00405CE7" w:rsidRPr="002D7C87">
        <w:t>Consent Component</w:t>
      </w:r>
    </w:p>
    <w:p w14:paraId="434233AD" w14:textId="7C3752A9" w:rsidR="006B7B90" w:rsidRPr="002D7C87" w:rsidRDefault="006B7B90" w:rsidP="006B7B90">
      <w:pPr>
        <w:rPr>
          <w:rFonts w:cs="Calibri"/>
        </w:rPr>
      </w:pPr>
      <w:r w:rsidRPr="002D7C87">
        <w:rPr>
          <w:rFonts w:cs="Calibri"/>
        </w:rPr>
        <w:t xml:space="preserve">A participant was classified as correctly understanding treatment intent if they provided correct answers to </w:t>
      </w:r>
      <w:r w:rsidRPr="002D7C87">
        <w:rPr>
          <w:rFonts w:cs="Calibri"/>
          <w:b/>
          <w:bCs/>
        </w:rPr>
        <w:t xml:space="preserve">both </w:t>
      </w:r>
      <w:r w:rsidRPr="002D7C87">
        <w:rPr>
          <w:rFonts w:cs="Calibri"/>
        </w:rPr>
        <w:t xml:space="preserve">of the following questions in </w:t>
      </w:r>
      <w:r w:rsidR="00C10BB0" w:rsidRPr="002D7C87">
        <w:rPr>
          <w:rFonts w:cs="Calibri"/>
        </w:rPr>
        <w:t xml:space="preserve">the </w:t>
      </w:r>
      <w:r w:rsidR="00FB49D6" w:rsidRPr="002D7C87">
        <w:rPr>
          <w:rFonts w:cs="Calibri"/>
        </w:rPr>
        <w:t>Consent Comprehension Tool</w:t>
      </w:r>
      <w:r w:rsidRPr="002D7C87">
        <w:rPr>
          <w:rFonts w:cs="Calibri"/>
        </w:rPr>
        <w:t xml:space="preserve"> (correct answers identified in bold):</w:t>
      </w:r>
    </w:p>
    <w:p w14:paraId="5DC53C4D" w14:textId="77777777" w:rsidR="006B7B90" w:rsidRPr="002D7C87" w:rsidRDefault="006B7B90" w:rsidP="006B7B90">
      <w:pPr>
        <w:rPr>
          <w:rFonts w:cs="Calibri"/>
        </w:rPr>
      </w:pPr>
    </w:p>
    <w:p w14:paraId="72A7489C" w14:textId="77777777" w:rsidR="006B7B90" w:rsidRPr="002D7C87" w:rsidRDefault="006B7B90" w:rsidP="006B7B90">
      <w:pPr>
        <w:rPr>
          <w:rFonts w:cs="Calibri"/>
        </w:rPr>
      </w:pPr>
      <w:r w:rsidRPr="002D7C87">
        <w:rPr>
          <w:rFonts w:cs="Calibri"/>
        </w:rPr>
        <w:t xml:space="preserve">What is the main goal of the treatment given to treat myeloma? </w:t>
      </w:r>
    </w:p>
    <w:p w14:paraId="1699856E" w14:textId="77777777" w:rsidR="006B7B90" w:rsidRPr="002D7C87" w:rsidRDefault="006B7B90" w:rsidP="006B7B90">
      <w:pPr>
        <w:pStyle w:val="ListParagraph"/>
        <w:numPr>
          <w:ilvl w:val="0"/>
          <w:numId w:val="12"/>
        </w:numPr>
        <w:rPr>
          <w:rFonts w:cs="Calibri"/>
        </w:rPr>
      </w:pPr>
      <w:r w:rsidRPr="002D7C87">
        <w:rPr>
          <w:rFonts w:cs="Calibri"/>
        </w:rPr>
        <w:t>Cure myeloma completely for everyone.</w:t>
      </w:r>
    </w:p>
    <w:p w14:paraId="1AA09113" w14:textId="77777777" w:rsidR="006B7B90" w:rsidRPr="002D7C87" w:rsidRDefault="006B7B90" w:rsidP="006B7B90">
      <w:pPr>
        <w:pStyle w:val="ListParagraph"/>
        <w:numPr>
          <w:ilvl w:val="0"/>
          <w:numId w:val="12"/>
        </w:numPr>
        <w:rPr>
          <w:rFonts w:cs="Calibri"/>
        </w:rPr>
      </w:pPr>
      <w:r w:rsidRPr="002D7C87">
        <w:rPr>
          <w:rFonts w:cs="Calibri"/>
        </w:rPr>
        <w:t>Cure myeloma in most patients, but not everyone will be cured.</w:t>
      </w:r>
    </w:p>
    <w:p w14:paraId="1CEA3DA7" w14:textId="77777777" w:rsidR="006B7B90" w:rsidRPr="002D7C87" w:rsidRDefault="006B7B90" w:rsidP="006B7B90">
      <w:pPr>
        <w:pStyle w:val="ListParagraph"/>
        <w:numPr>
          <w:ilvl w:val="0"/>
          <w:numId w:val="12"/>
        </w:numPr>
        <w:rPr>
          <w:rFonts w:cs="Calibri"/>
          <w:b/>
          <w:bCs/>
        </w:rPr>
      </w:pPr>
      <w:r w:rsidRPr="002D7C87">
        <w:rPr>
          <w:rFonts w:cs="Calibri"/>
          <w:b/>
          <w:bCs/>
        </w:rPr>
        <w:t xml:space="preserve">Make the myeloma go away for a while to help people live longer and feel </w:t>
      </w:r>
      <w:proofErr w:type="gramStart"/>
      <w:r w:rsidRPr="002D7C87">
        <w:rPr>
          <w:rFonts w:cs="Calibri"/>
          <w:b/>
          <w:bCs/>
        </w:rPr>
        <w:t>better, but</w:t>
      </w:r>
      <w:proofErr w:type="gramEnd"/>
      <w:r w:rsidRPr="002D7C87">
        <w:rPr>
          <w:rFonts w:cs="Calibri"/>
          <w:b/>
          <w:bCs/>
        </w:rPr>
        <w:t xml:space="preserve"> not cure it.</w:t>
      </w:r>
    </w:p>
    <w:p w14:paraId="614BE889" w14:textId="77777777" w:rsidR="006B7B90" w:rsidRPr="002D7C87" w:rsidRDefault="006B7B90" w:rsidP="006B7B90">
      <w:pPr>
        <w:pStyle w:val="ListParagraph"/>
        <w:numPr>
          <w:ilvl w:val="0"/>
          <w:numId w:val="12"/>
        </w:numPr>
        <w:rPr>
          <w:rFonts w:cs="Calibri"/>
        </w:rPr>
      </w:pPr>
      <w:r w:rsidRPr="002D7C87">
        <w:rPr>
          <w:rFonts w:cs="Calibri"/>
        </w:rPr>
        <w:lastRenderedPageBreak/>
        <w:t>None of the above.</w:t>
      </w:r>
    </w:p>
    <w:p w14:paraId="3824CACD" w14:textId="77777777" w:rsidR="006B7B90" w:rsidRPr="002D7C87" w:rsidRDefault="006B7B90" w:rsidP="006B7B90">
      <w:pPr>
        <w:rPr>
          <w:rFonts w:cs="Calibri"/>
        </w:rPr>
      </w:pPr>
    </w:p>
    <w:p w14:paraId="7684FE0D" w14:textId="77777777" w:rsidR="006B7B90" w:rsidRPr="002D7C87" w:rsidRDefault="006B7B90" w:rsidP="006B7B90">
      <w:pPr>
        <w:rPr>
          <w:rFonts w:cs="Calibri"/>
        </w:rPr>
      </w:pPr>
      <w:r w:rsidRPr="002D7C87">
        <w:rPr>
          <w:rFonts w:cs="Calibri"/>
        </w:rPr>
        <w:t xml:space="preserve">Will this type of myeloma treatment cure them? </w:t>
      </w:r>
    </w:p>
    <w:p w14:paraId="671321EB" w14:textId="77777777" w:rsidR="006B7B90" w:rsidRPr="002D7C87" w:rsidRDefault="006B7B90" w:rsidP="006B7B90">
      <w:pPr>
        <w:pStyle w:val="ListParagraph"/>
        <w:numPr>
          <w:ilvl w:val="0"/>
          <w:numId w:val="12"/>
        </w:numPr>
        <w:rPr>
          <w:rFonts w:cs="Calibri"/>
        </w:rPr>
      </w:pPr>
      <w:r w:rsidRPr="002D7C87">
        <w:rPr>
          <w:rFonts w:cs="Calibri"/>
        </w:rPr>
        <w:t>Everyone is cured by this treatment.</w:t>
      </w:r>
    </w:p>
    <w:p w14:paraId="64093578" w14:textId="77777777" w:rsidR="006B7B90" w:rsidRPr="002D7C87" w:rsidRDefault="006B7B90" w:rsidP="006B7B90">
      <w:pPr>
        <w:pStyle w:val="ListParagraph"/>
        <w:numPr>
          <w:ilvl w:val="0"/>
          <w:numId w:val="12"/>
        </w:numPr>
        <w:rPr>
          <w:rFonts w:cs="Calibri"/>
        </w:rPr>
      </w:pPr>
      <w:r w:rsidRPr="002D7C87">
        <w:rPr>
          <w:rFonts w:cs="Calibri"/>
        </w:rPr>
        <w:t>Most people are cured by this treatment.</w:t>
      </w:r>
    </w:p>
    <w:p w14:paraId="50553B86" w14:textId="77777777" w:rsidR="006B7B90" w:rsidRPr="002D7C87" w:rsidRDefault="006B7B90" w:rsidP="006B7B90">
      <w:pPr>
        <w:pStyle w:val="ListParagraph"/>
        <w:numPr>
          <w:ilvl w:val="0"/>
          <w:numId w:val="12"/>
        </w:numPr>
        <w:rPr>
          <w:rFonts w:cs="Calibri"/>
        </w:rPr>
      </w:pPr>
      <w:r w:rsidRPr="002D7C87">
        <w:rPr>
          <w:rFonts w:cs="Calibri"/>
        </w:rPr>
        <w:t>Some people are cured by this treatment.</w:t>
      </w:r>
    </w:p>
    <w:p w14:paraId="70D951FA" w14:textId="77777777" w:rsidR="006B7B90" w:rsidRPr="002D7C87" w:rsidRDefault="006B7B90" w:rsidP="006B7B90">
      <w:pPr>
        <w:pStyle w:val="ListParagraph"/>
        <w:numPr>
          <w:ilvl w:val="0"/>
          <w:numId w:val="12"/>
        </w:numPr>
        <w:rPr>
          <w:rFonts w:cs="Calibri"/>
          <w:b/>
          <w:bCs/>
        </w:rPr>
      </w:pPr>
      <w:r w:rsidRPr="002D7C87">
        <w:rPr>
          <w:rFonts w:cs="Calibri"/>
          <w:b/>
          <w:bCs/>
        </w:rPr>
        <w:t>Nobody is cured by this treatment, but it can make the myeloma go away for a while to help people live longer and feel better.</w:t>
      </w:r>
    </w:p>
    <w:p w14:paraId="32521FE6" w14:textId="77777777" w:rsidR="006B7B90" w:rsidRPr="002D7C87" w:rsidRDefault="006B7B90" w:rsidP="002655FB">
      <w:pPr>
        <w:rPr>
          <w:rFonts w:cs="Calibri"/>
        </w:rPr>
      </w:pPr>
    </w:p>
    <w:p w14:paraId="51B6936D" w14:textId="39F892D9" w:rsidR="00A5794B" w:rsidRPr="002D7C87" w:rsidRDefault="00A5794B" w:rsidP="00233AC9">
      <w:pPr>
        <w:pStyle w:val="Heading3"/>
      </w:pPr>
      <w:r w:rsidRPr="002D7C87">
        <w:t>Definition</w:t>
      </w:r>
      <w:r w:rsidR="00DF1E55" w:rsidRPr="002D7C87">
        <w:t>s</w:t>
      </w:r>
      <w:r w:rsidRPr="002D7C87">
        <w:t xml:space="preserve"> of secondary outcome</w:t>
      </w:r>
      <w:r w:rsidR="00B236D4" w:rsidRPr="002D7C87">
        <w:t>s</w:t>
      </w:r>
      <w:r w:rsidRPr="002D7C87">
        <w:t xml:space="preserve"> for </w:t>
      </w:r>
      <w:r w:rsidR="00405CE7" w:rsidRPr="002D7C87">
        <w:t>Consent Component</w:t>
      </w:r>
    </w:p>
    <w:p w14:paraId="6DE22134" w14:textId="12A27A33" w:rsidR="00685A53" w:rsidRPr="002D7C87" w:rsidRDefault="00685A53" w:rsidP="00FE171E">
      <w:pPr>
        <w:pStyle w:val="Heading4"/>
      </w:pPr>
      <w:r w:rsidRPr="002D7C87">
        <w:t>Definition of Consent Component Total Comprehension Score</w:t>
      </w:r>
    </w:p>
    <w:p w14:paraId="23AB7E9F" w14:textId="35CAA191" w:rsidR="006B7B90" w:rsidRPr="002D7C87" w:rsidRDefault="006B7B90" w:rsidP="006B7B90">
      <w:pPr>
        <w:rPr>
          <w:rFonts w:cs="Calibri"/>
        </w:rPr>
      </w:pPr>
      <w:r w:rsidRPr="002D7C87">
        <w:rPr>
          <w:rFonts w:cs="Calibri"/>
        </w:rPr>
        <w:t xml:space="preserve">A participant received one mark for each correct answer to each of the questions comprising the primary outcome (above) in addition to one mark for each correct answer to the questions below (correct answer designated in bold). The maximum possible score is </w:t>
      </w:r>
      <w:r w:rsidR="001F2CDA" w:rsidRPr="002D7C87">
        <w:rPr>
          <w:rFonts w:cs="Calibri"/>
        </w:rPr>
        <w:t>6</w:t>
      </w:r>
      <w:r w:rsidRPr="002D7C87">
        <w:rPr>
          <w:rFonts w:cs="Calibri"/>
        </w:rPr>
        <w:t>.</w:t>
      </w:r>
    </w:p>
    <w:p w14:paraId="5DE93344" w14:textId="77777777" w:rsidR="00A5794B" w:rsidRPr="002D7C87" w:rsidRDefault="00A5794B" w:rsidP="002655FB">
      <w:pPr>
        <w:rPr>
          <w:rFonts w:cs="Calibri"/>
        </w:rPr>
      </w:pPr>
    </w:p>
    <w:p w14:paraId="4A495E10" w14:textId="3334A4D0" w:rsidR="009D5C06" w:rsidRPr="002D7C87" w:rsidRDefault="009D5C06" w:rsidP="009D5C06">
      <w:pPr>
        <w:rPr>
          <w:rFonts w:cs="Calibri"/>
        </w:rPr>
      </w:pPr>
      <w:r w:rsidRPr="002D7C87">
        <w:rPr>
          <w:rFonts w:cs="Calibri"/>
        </w:rPr>
        <w:t>How is myeloma treatment given?</w:t>
      </w:r>
    </w:p>
    <w:p w14:paraId="7BAA5D1B" w14:textId="51DB9C0A" w:rsidR="009D5C06" w:rsidRPr="002D7C87" w:rsidRDefault="009D5C06" w:rsidP="009D5C06">
      <w:pPr>
        <w:pStyle w:val="ListParagraph"/>
        <w:numPr>
          <w:ilvl w:val="0"/>
          <w:numId w:val="12"/>
        </w:numPr>
        <w:rPr>
          <w:rFonts w:cs="Calibri"/>
        </w:rPr>
      </w:pPr>
      <w:r w:rsidRPr="002D7C87">
        <w:rPr>
          <w:rFonts w:cs="Calibri"/>
        </w:rPr>
        <w:t>The patient stays in the hospital for one week each month and gets medicine every day.</w:t>
      </w:r>
    </w:p>
    <w:p w14:paraId="51C2D815" w14:textId="619A0643" w:rsidR="009D5C06" w:rsidRPr="002D7C87" w:rsidRDefault="009D5C06" w:rsidP="009D5C06">
      <w:pPr>
        <w:pStyle w:val="ListParagraph"/>
        <w:numPr>
          <w:ilvl w:val="0"/>
          <w:numId w:val="12"/>
        </w:numPr>
        <w:rPr>
          <w:rFonts w:cs="Calibri"/>
        </w:rPr>
      </w:pPr>
      <w:r w:rsidRPr="002D7C87">
        <w:rPr>
          <w:rFonts w:cs="Calibri"/>
        </w:rPr>
        <w:t>The patient takes all their medicine as tablets at home.</w:t>
      </w:r>
    </w:p>
    <w:p w14:paraId="3AE88076" w14:textId="6B6276BD" w:rsidR="009D5C06" w:rsidRPr="002D7C87" w:rsidRDefault="009D5C06" w:rsidP="009D5C06">
      <w:pPr>
        <w:pStyle w:val="ListParagraph"/>
        <w:numPr>
          <w:ilvl w:val="0"/>
          <w:numId w:val="12"/>
        </w:numPr>
        <w:rPr>
          <w:rFonts w:cs="Calibri"/>
          <w:b/>
          <w:bCs/>
        </w:rPr>
      </w:pPr>
      <w:r w:rsidRPr="002D7C87">
        <w:rPr>
          <w:rFonts w:cs="Calibri"/>
          <w:b/>
          <w:bCs/>
        </w:rPr>
        <w:t>The patient visits the hospital each week for some medicine and takes other medicine as tablets at home.</w:t>
      </w:r>
    </w:p>
    <w:p w14:paraId="0494F8C0" w14:textId="383D60A3" w:rsidR="009D5C06" w:rsidRPr="002D7C87" w:rsidRDefault="009D5C06" w:rsidP="009D5C06">
      <w:pPr>
        <w:pStyle w:val="ListParagraph"/>
        <w:numPr>
          <w:ilvl w:val="0"/>
          <w:numId w:val="12"/>
        </w:numPr>
        <w:rPr>
          <w:rFonts w:cs="Calibri"/>
        </w:rPr>
      </w:pPr>
      <w:r w:rsidRPr="002D7C87">
        <w:rPr>
          <w:rFonts w:cs="Calibri"/>
        </w:rPr>
        <w:t>None of the above.</w:t>
      </w:r>
    </w:p>
    <w:p w14:paraId="176E8DA6" w14:textId="1817689E" w:rsidR="00DA0021" w:rsidRPr="002D7C87" w:rsidRDefault="009D5C06" w:rsidP="009D5C06">
      <w:pPr>
        <w:pStyle w:val="ListParagraph"/>
        <w:numPr>
          <w:ilvl w:val="0"/>
          <w:numId w:val="12"/>
        </w:numPr>
        <w:rPr>
          <w:rFonts w:cs="Calibri"/>
        </w:rPr>
      </w:pPr>
      <w:r w:rsidRPr="002D7C87">
        <w:rPr>
          <w:rFonts w:cs="Calibri"/>
        </w:rPr>
        <w:t>I cannot remember.</w:t>
      </w:r>
    </w:p>
    <w:p w14:paraId="4648FB22" w14:textId="77777777" w:rsidR="00DA0021" w:rsidRPr="002D7C87" w:rsidRDefault="00DA0021" w:rsidP="002655FB">
      <w:pPr>
        <w:rPr>
          <w:rFonts w:cs="Calibri"/>
        </w:rPr>
      </w:pPr>
    </w:p>
    <w:p w14:paraId="254C93CD" w14:textId="77777777" w:rsidR="00451AEA" w:rsidRPr="002D7C87" w:rsidRDefault="00451AEA" w:rsidP="001F2CDA">
      <w:pPr>
        <w:rPr>
          <w:rFonts w:cs="Calibri"/>
        </w:rPr>
      </w:pPr>
      <w:r w:rsidRPr="002D7C87">
        <w:rPr>
          <w:rFonts w:cs="Calibri"/>
        </w:rPr>
        <w:lastRenderedPageBreak/>
        <w:t xml:space="preserve">Which of these statements are true about pregnancy while on myeloma treatment? </w:t>
      </w:r>
    </w:p>
    <w:p w14:paraId="05CEE9CE" w14:textId="100D8AC5" w:rsidR="00451AEA" w:rsidRPr="002D7C87" w:rsidRDefault="00451AEA" w:rsidP="001F2CDA">
      <w:pPr>
        <w:pStyle w:val="ListParagraph"/>
        <w:numPr>
          <w:ilvl w:val="0"/>
          <w:numId w:val="12"/>
        </w:numPr>
        <w:rPr>
          <w:rFonts w:cs="Calibri"/>
        </w:rPr>
      </w:pPr>
      <w:r w:rsidRPr="002D7C87">
        <w:rPr>
          <w:rFonts w:cs="Calibri"/>
        </w:rPr>
        <w:t>Both women and men can safely conceive a pregnancy while on myeloma treatment.</w:t>
      </w:r>
    </w:p>
    <w:p w14:paraId="6DEC3E81" w14:textId="3B96B46F" w:rsidR="00451AEA" w:rsidRPr="002D7C87" w:rsidRDefault="00451AEA" w:rsidP="001F2CDA">
      <w:pPr>
        <w:pStyle w:val="ListParagraph"/>
        <w:numPr>
          <w:ilvl w:val="0"/>
          <w:numId w:val="12"/>
        </w:numPr>
        <w:rPr>
          <w:rFonts w:cs="Calibri"/>
        </w:rPr>
      </w:pPr>
      <w:r w:rsidRPr="002D7C87">
        <w:rPr>
          <w:rFonts w:cs="Calibri"/>
        </w:rPr>
        <w:t>Women should not get pregnant, but men can safely get their partner pregnant while on treatment.</w:t>
      </w:r>
    </w:p>
    <w:p w14:paraId="1B26BD52" w14:textId="1260463F" w:rsidR="00451AEA" w:rsidRPr="002D7C87" w:rsidRDefault="00451AEA" w:rsidP="001F2CDA">
      <w:pPr>
        <w:pStyle w:val="ListParagraph"/>
        <w:numPr>
          <w:ilvl w:val="0"/>
          <w:numId w:val="12"/>
        </w:numPr>
        <w:rPr>
          <w:rFonts w:cs="Calibri"/>
        </w:rPr>
      </w:pPr>
      <w:r w:rsidRPr="002D7C87">
        <w:rPr>
          <w:rFonts w:cs="Calibri"/>
        </w:rPr>
        <w:t>People on myeloma treatment cannot have babies because they will be infertile.</w:t>
      </w:r>
    </w:p>
    <w:p w14:paraId="3839C031" w14:textId="7F156702" w:rsidR="00451AEA" w:rsidRPr="002D7C87" w:rsidRDefault="00451AEA" w:rsidP="001F2CDA">
      <w:pPr>
        <w:pStyle w:val="ListParagraph"/>
        <w:numPr>
          <w:ilvl w:val="0"/>
          <w:numId w:val="12"/>
        </w:numPr>
        <w:rPr>
          <w:rFonts w:cs="Calibri"/>
          <w:b/>
          <w:bCs/>
        </w:rPr>
      </w:pPr>
      <w:r w:rsidRPr="002D7C87">
        <w:rPr>
          <w:rFonts w:cs="Calibri"/>
          <w:b/>
          <w:bCs/>
        </w:rPr>
        <w:t>It’s unsafe to conceive a pregnancy for anyone on myeloma treatment.</w:t>
      </w:r>
    </w:p>
    <w:p w14:paraId="1D1C7C94" w14:textId="77777777" w:rsidR="006B7B90" w:rsidRPr="002D7C87" w:rsidRDefault="006B7B90" w:rsidP="001F2CDA">
      <w:pPr>
        <w:rPr>
          <w:rFonts w:cs="Calibri"/>
        </w:rPr>
      </w:pPr>
    </w:p>
    <w:p w14:paraId="74D4D760" w14:textId="77777777" w:rsidR="001F2CDA" w:rsidRPr="002D7C87" w:rsidRDefault="001F2CDA" w:rsidP="001F2CDA">
      <w:pPr>
        <w:rPr>
          <w:rFonts w:cs="Calibri"/>
        </w:rPr>
      </w:pPr>
      <w:r w:rsidRPr="002D7C87">
        <w:rPr>
          <w:rFonts w:cs="Calibri"/>
        </w:rPr>
        <w:t>Which statement is TRUE?</w:t>
      </w:r>
    </w:p>
    <w:p w14:paraId="24577A8F" w14:textId="523017F2" w:rsidR="001F2CDA" w:rsidRPr="002D7C87" w:rsidRDefault="001F2CDA" w:rsidP="001F2CDA">
      <w:pPr>
        <w:pStyle w:val="ListParagraph"/>
        <w:numPr>
          <w:ilvl w:val="0"/>
          <w:numId w:val="12"/>
        </w:numPr>
        <w:rPr>
          <w:rFonts w:cs="Calibri"/>
        </w:rPr>
      </w:pPr>
      <w:r w:rsidRPr="002D7C87">
        <w:rPr>
          <w:rFonts w:cs="Calibri"/>
        </w:rPr>
        <w:t>People with myeloma cannot safely have a blood transfusion.</w:t>
      </w:r>
    </w:p>
    <w:p w14:paraId="4B057D04" w14:textId="7ABAD52D" w:rsidR="001F2CDA" w:rsidRPr="002D7C87" w:rsidRDefault="001F2CDA" w:rsidP="001827E4">
      <w:pPr>
        <w:pStyle w:val="ListParagraph"/>
        <w:numPr>
          <w:ilvl w:val="0"/>
          <w:numId w:val="12"/>
        </w:numPr>
        <w:rPr>
          <w:rFonts w:cs="Calibri"/>
          <w:b/>
          <w:bCs/>
        </w:rPr>
      </w:pPr>
      <w:r w:rsidRPr="002D7C87">
        <w:rPr>
          <w:rFonts w:cs="Calibri"/>
          <w:b/>
          <w:bCs/>
        </w:rPr>
        <w:t xml:space="preserve">Some patients receiving myeloma treatment need blood transfusions to help with anaemia (low red blood cell levels). </w:t>
      </w:r>
    </w:p>
    <w:p w14:paraId="2C99DDB8" w14:textId="441C57B8" w:rsidR="001F2CDA" w:rsidRPr="002D7C87" w:rsidRDefault="001F2CDA" w:rsidP="001827E4">
      <w:pPr>
        <w:pStyle w:val="ListParagraph"/>
        <w:numPr>
          <w:ilvl w:val="0"/>
          <w:numId w:val="12"/>
        </w:numPr>
        <w:rPr>
          <w:rFonts w:cs="Calibri"/>
        </w:rPr>
      </w:pPr>
      <w:r w:rsidRPr="002D7C87">
        <w:rPr>
          <w:rFonts w:cs="Calibri"/>
        </w:rPr>
        <w:t>The information is not provided.</w:t>
      </w:r>
    </w:p>
    <w:p w14:paraId="25DB9876" w14:textId="77777777" w:rsidR="001F2CDA" w:rsidRPr="002D7C87" w:rsidRDefault="001F2CDA" w:rsidP="001F2CDA">
      <w:pPr>
        <w:rPr>
          <w:rFonts w:cs="Calibri"/>
        </w:rPr>
      </w:pPr>
    </w:p>
    <w:p w14:paraId="7474BEAE" w14:textId="77777777" w:rsidR="001F2CDA" w:rsidRPr="002D7C87" w:rsidRDefault="001F2CDA" w:rsidP="001F2CDA">
      <w:pPr>
        <w:rPr>
          <w:rFonts w:cs="Calibri"/>
        </w:rPr>
      </w:pPr>
      <w:r w:rsidRPr="002D7C87">
        <w:rPr>
          <w:rFonts w:cs="Calibri"/>
        </w:rPr>
        <w:t xml:space="preserve">What should they do if they develop a fever? </w:t>
      </w:r>
    </w:p>
    <w:p w14:paraId="3DC414EB" w14:textId="15EF9500" w:rsidR="001F2CDA" w:rsidRPr="002D7C87" w:rsidRDefault="001F2CDA" w:rsidP="001827E4">
      <w:pPr>
        <w:pStyle w:val="ListParagraph"/>
        <w:numPr>
          <w:ilvl w:val="0"/>
          <w:numId w:val="12"/>
        </w:numPr>
        <w:rPr>
          <w:rFonts w:cs="Calibri"/>
        </w:rPr>
      </w:pPr>
      <w:r w:rsidRPr="002D7C87">
        <w:rPr>
          <w:rFonts w:cs="Calibri"/>
        </w:rPr>
        <w:t>This is normal with the treatment, and they should take paracetamol.</w:t>
      </w:r>
    </w:p>
    <w:p w14:paraId="26635104" w14:textId="4A42480C" w:rsidR="001F2CDA" w:rsidRPr="002D7C87" w:rsidRDefault="001F2CDA" w:rsidP="001827E4">
      <w:pPr>
        <w:pStyle w:val="ListParagraph"/>
        <w:numPr>
          <w:ilvl w:val="0"/>
          <w:numId w:val="12"/>
        </w:numPr>
        <w:rPr>
          <w:rFonts w:cs="Calibri"/>
        </w:rPr>
      </w:pPr>
      <w:r w:rsidRPr="002D7C87">
        <w:rPr>
          <w:rFonts w:cs="Calibri"/>
        </w:rPr>
        <w:t>They should talk to their general practitioner when they can.</w:t>
      </w:r>
    </w:p>
    <w:p w14:paraId="4B27D188" w14:textId="4BAF1DFD" w:rsidR="001F2CDA" w:rsidRPr="002D7C87" w:rsidRDefault="001F2CDA" w:rsidP="001827E4">
      <w:pPr>
        <w:pStyle w:val="ListParagraph"/>
        <w:numPr>
          <w:ilvl w:val="0"/>
          <w:numId w:val="12"/>
        </w:numPr>
        <w:rPr>
          <w:rFonts w:cs="Calibri"/>
        </w:rPr>
      </w:pPr>
      <w:r w:rsidRPr="002D7C87">
        <w:rPr>
          <w:rFonts w:cs="Calibri"/>
        </w:rPr>
        <w:t>They should talk to their haematology consultant at their next clinic appointment.</w:t>
      </w:r>
    </w:p>
    <w:p w14:paraId="519E2865" w14:textId="641247B2" w:rsidR="001F2CDA" w:rsidRPr="002D7C87" w:rsidRDefault="001F2CDA" w:rsidP="001827E4">
      <w:pPr>
        <w:pStyle w:val="ListParagraph"/>
        <w:numPr>
          <w:ilvl w:val="0"/>
          <w:numId w:val="12"/>
        </w:numPr>
        <w:rPr>
          <w:rFonts w:cs="Calibri"/>
          <w:b/>
          <w:bCs/>
        </w:rPr>
      </w:pPr>
      <w:r w:rsidRPr="002D7C87">
        <w:rPr>
          <w:rFonts w:cs="Calibri"/>
          <w:b/>
          <w:bCs/>
        </w:rPr>
        <w:t>This is an emergency, and they need to go to the hospital right away.</w:t>
      </w:r>
    </w:p>
    <w:p w14:paraId="1CC70B90" w14:textId="77777777" w:rsidR="00DF1E55" w:rsidRPr="002D7C87" w:rsidRDefault="00DF1E55" w:rsidP="00DF1E55">
      <w:pPr>
        <w:rPr>
          <w:rFonts w:cs="Calibri"/>
          <w:b/>
          <w:bCs/>
        </w:rPr>
      </w:pPr>
    </w:p>
    <w:p w14:paraId="2D0EB796" w14:textId="497F3B7A" w:rsidR="00DF1E55" w:rsidRPr="002D7C87" w:rsidRDefault="00DC23BE" w:rsidP="00233AC9">
      <w:pPr>
        <w:pStyle w:val="Heading4"/>
      </w:pPr>
      <w:r w:rsidRPr="002D7C87">
        <w:t xml:space="preserve">Definition of </w:t>
      </w:r>
      <w:r w:rsidR="00DF1E55" w:rsidRPr="002D7C87">
        <w:t>Self-rated confidence in understanding</w:t>
      </w:r>
    </w:p>
    <w:p w14:paraId="030AD26C" w14:textId="6F65491F" w:rsidR="00CD542C" w:rsidRPr="002D7C87" w:rsidRDefault="00DF1E55" w:rsidP="002655FB">
      <w:pPr>
        <w:rPr>
          <w:rFonts w:cs="Calibri"/>
        </w:rPr>
      </w:pPr>
      <w:r w:rsidRPr="002D7C87">
        <w:rPr>
          <w:rFonts w:cs="Calibri"/>
        </w:rPr>
        <w:t xml:space="preserve">Following the comprehension questions in the Consent Comprehension Tool (as detailed above), participants were asked </w:t>
      </w:r>
      <w:r w:rsidR="006D28EE" w:rsidRPr="002D7C87">
        <w:rPr>
          <w:rFonts w:cs="Calibri"/>
        </w:rPr>
        <w:t>two separate</w:t>
      </w:r>
      <w:r w:rsidRPr="002D7C87">
        <w:rPr>
          <w:rFonts w:cs="Calibri"/>
        </w:rPr>
        <w:t xml:space="preserve"> question</w:t>
      </w:r>
      <w:r w:rsidR="006D28EE" w:rsidRPr="002D7C87">
        <w:rPr>
          <w:rFonts w:cs="Calibri"/>
        </w:rPr>
        <w:t>s to assess their confidence:</w:t>
      </w:r>
      <w:r w:rsidRPr="002D7C87">
        <w:rPr>
          <w:rFonts w:cs="Calibri"/>
        </w:rPr>
        <w:t xml:space="preserve"> </w:t>
      </w:r>
      <w:r w:rsidR="006D28EE" w:rsidRPr="002D7C87">
        <w:rPr>
          <w:rFonts w:cs="Calibri"/>
        </w:rPr>
        <w:t>“After hearing this discussion, how confident are you in knowing what to do if your friend or family member has questions about their myeloma treatment?” and “</w:t>
      </w:r>
      <w:r w:rsidR="00012524" w:rsidRPr="002D7C87">
        <w:rPr>
          <w:rFonts w:cs="Calibri"/>
        </w:rPr>
        <w:t xml:space="preserve">How confident do you feel </w:t>
      </w:r>
      <w:r w:rsidR="00012524" w:rsidRPr="002D7C87">
        <w:rPr>
          <w:rFonts w:cs="Calibri"/>
        </w:rPr>
        <w:lastRenderedPageBreak/>
        <w:t xml:space="preserve">that you understood the main points of the discussion?”. Participants could select one of five discrete responses </w:t>
      </w:r>
      <w:r w:rsidR="001D0587" w:rsidRPr="002D7C87">
        <w:rPr>
          <w:rFonts w:cs="Calibri"/>
        </w:rPr>
        <w:t>for</w:t>
      </w:r>
      <w:r w:rsidR="00012524" w:rsidRPr="002D7C87">
        <w:rPr>
          <w:rFonts w:cs="Calibri"/>
        </w:rPr>
        <w:t xml:space="preserve"> </w:t>
      </w:r>
      <w:r w:rsidR="001D0587" w:rsidRPr="002D7C87">
        <w:rPr>
          <w:rFonts w:cs="Calibri"/>
        </w:rPr>
        <w:t>each</w:t>
      </w:r>
      <w:r w:rsidR="00012524" w:rsidRPr="002D7C87">
        <w:rPr>
          <w:rFonts w:cs="Calibri"/>
        </w:rPr>
        <w:t xml:space="preserve"> question: “Not Confident at All”, </w:t>
      </w:r>
      <w:r w:rsidR="003D0B61" w:rsidRPr="002D7C87">
        <w:rPr>
          <w:rFonts w:cs="Calibri"/>
        </w:rPr>
        <w:t xml:space="preserve">“Slightly Confident”, </w:t>
      </w:r>
      <w:r w:rsidR="00FA7FA0" w:rsidRPr="002D7C87">
        <w:rPr>
          <w:rFonts w:cs="Calibri"/>
        </w:rPr>
        <w:t>“Moderately Confident”,</w:t>
      </w:r>
      <w:r w:rsidR="00FC28C5" w:rsidRPr="002D7C87">
        <w:rPr>
          <w:rFonts w:cs="Calibri"/>
        </w:rPr>
        <w:t xml:space="preserve"> “Very Confident” or “Extremely Confident”.</w:t>
      </w:r>
    </w:p>
    <w:p w14:paraId="10151414" w14:textId="77777777" w:rsidR="001F7FA6" w:rsidRPr="002D7C87" w:rsidRDefault="001F7FA6" w:rsidP="002655FB">
      <w:pPr>
        <w:rPr>
          <w:rFonts w:cs="Calibri"/>
        </w:rPr>
      </w:pPr>
    </w:p>
    <w:p w14:paraId="261AED83" w14:textId="0DF21DBA" w:rsidR="001F7FA6" w:rsidRDefault="001F7FA6" w:rsidP="00233AC9">
      <w:pPr>
        <w:pStyle w:val="Heading1"/>
      </w:pPr>
      <w:r w:rsidRPr="002D7C87">
        <w:t>Patient and public involvement (PPI) in study design</w:t>
      </w:r>
    </w:p>
    <w:p w14:paraId="5EAC4290" w14:textId="77777777" w:rsidR="00233AC9" w:rsidRPr="00233AC9" w:rsidRDefault="00233AC9" w:rsidP="00233AC9"/>
    <w:p w14:paraId="721689B6" w14:textId="41E727FA" w:rsidR="001F7FA6" w:rsidRPr="002D7C87" w:rsidRDefault="001F7FA6" w:rsidP="001F7FA6">
      <w:pPr>
        <w:rPr>
          <w:rFonts w:cs="Calibri"/>
        </w:rPr>
      </w:pPr>
      <w:r w:rsidRPr="002D7C87">
        <w:rPr>
          <w:rFonts w:cs="Calibri"/>
        </w:rPr>
        <w:t>We report PPI in this study using the suggested items in the Guidance for Reporting Involvement of Patients and the Public (GRIPP2) short form.</w:t>
      </w:r>
      <w:r w:rsidR="009342F5" w:rsidRPr="009342F5">
        <w:rPr>
          <w:rFonts w:cs="Calibri"/>
          <w:vertAlign w:val="superscript"/>
        </w:rPr>
        <w:t>3</w:t>
      </w:r>
    </w:p>
    <w:p w14:paraId="65AE0420" w14:textId="77777777" w:rsidR="001F7FA6" w:rsidRPr="002D7C87" w:rsidRDefault="001F7FA6" w:rsidP="001F7FA6">
      <w:pPr>
        <w:rPr>
          <w:rFonts w:cs="Calibri"/>
        </w:rPr>
      </w:pPr>
    </w:p>
    <w:p w14:paraId="5FE126F3" w14:textId="4B9CA061" w:rsidR="001F7FA6" w:rsidRPr="002D7C87" w:rsidRDefault="001F7FA6" w:rsidP="001F7FA6">
      <w:pPr>
        <w:rPr>
          <w:rFonts w:cs="Calibri"/>
        </w:rPr>
      </w:pPr>
      <w:r w:rsidRPr="002D7C87">
        <w:rPr>
          <w:rFonts w:cs="Calibri"/>
        </w:rPr>
        <w:t xml:space="preserve">The aims of PPI in this study were to a) identify outcomes of importance to Bengali- or Sylheti- speaking people with LEP living with myeloma, b) to assess suitability of our planned interventions and comparators, and c) to improve acceptability of our study design </w:t>
      </w:r>
      <w:r w:rsidR="00A3031C" w:rsidRPr="002D7C87">
        <w:rPr>
          <w:rFonts w:cs="Calibri"/>
        </w:rPr>
        <w:t>for</w:t>
      </w:r>
      <w:r w:rsidRPr="002D7C87">
        <w:rPr>
          <w:rFonts w:cs="Calibri"/>
        </w:rPr>
        <w:t xml:space="preserve"> potential participants.</w:t>
      </w:r>
    </w:p>
    <w:p w14:paraId="5BA0249F" w14:textId="77777777" w:rsidR="001F7FA6" w:rsidRPr="002D7C87" w:rsidRDefault="001F7FA6" w:rsidP="001F7FA6">
      <w:pPr>
        <w:rPr>
          <w:rFonts w:cs="Calibri"/>
        </w:rPr>
      </w:pPr>
    </w:p>
    <w:p w14:paraId="29A9DAA1" w14:textId="7A53DD85" w:rsidR="001F7FA6" w:rsidRPr="002D7C87" w:rsidRDefault="001F7FA6" w:rsidP="001F7FA6">
      <w:pPr>
        <w:rPr>
          <w:rFonts w:cs="Calibri"/>
        </w:rPr>
      </w:pPr>
      <w:r w:rsidRPr="002D7C87">
        <w:rPr>
          <w:rFonts w:cs="Calibri"/>
        </w:rPr>
        <w:t xml:space="preserve">We presented the study design to </w:t>
      </w:r>
      <w:proofErr w:type="gramStart"/>
      <w:r w:rsidRPr="002D7C87">
        <w:rPr>
          <w:rFonts w:cs="Calibri"/>
        </w:rPr>
        <w:t>British-Bangladeshi</w:t>
      </w:r>
      <w:proofErr w:type="gramEnd"/>
      <w:r w:rsidRPr="002D7C87">
        <w:rPr>
          <w:rFonts w:cs="Calibri"/>
        </w:rPr>
        <w:t xml:space="preserve"> community leaders across several meetings, both live and virtually, and </w:t>
      </w:r>
      <w:r w:rsidR="00336707" w:rsidRPr="002D7C87">
        <w:rPr>
          <w:rFonts w:cs="Calibri"/>
        </w:rPr>
        <w:t>incorporated</w:t>
      </w:r>
      <w:r w:rsidRPr="002D7C87">
        <w:rPr>
          <w:rFonts w:cs="Calibri"/>
        </w:rPr>
        <w:t xml:space="preserve"> to their feedback and suggestions. </w:t>
      </w:r>
      <w:r w:rsidR="007B2399" w:rsidRPr="002D7C87">
        <w:rPr>
          <w:rFonts w:cs="Calibri"/>
        </w:rPr>
        <w:t>In addition</w:t>
      </w:r>
      <w:r w:rsidRPr="002D7C87">
        <w:rPr>
          <w:rFonts w:cs="Calibri"/>
        </w:rPr>
        <w:t>, we met with two Bengali- speaking individuals with lived experience of myeloma and one family member of a Bengali-speaking individual with myeloma, to listen to their experiences of myeloma diagnosis and SACT consent</w:t>
      </w:r>
      <w:r w:rsidR="00336707" w:rsidRPr="002D7C87">
        <w:rPr>
          <w:rFonts w:cs="Calibri"/>
        </w:rPr>
        <w:t>, and how this related to translation needs</w:t>
      </w:r>
      <w:r w:rsidRPr="002D7C87">
        <w:rPr>
          <w:rFonts w:cs="Calibri"/>
        </w:rPr>
        <w:t>. We shared our draft translated</w:t>
      </w:r>
      <w:r w:rsidR="00336707" w:rsidRPr="002D7C87">
        <w:rPr>
          <w:rFonts w:cs="Calibri"/>
        </w:rPr>
        <w:t xml:space="preserve"> study</w:t>
      </w:r>
      <w:r w:rsidRPr="002D7C87">
        <w:rPr>
          <w:rFonts w:cs="Calibri"/>
        </w:rPr>
        <w:t xml:space="preserve"> documents with th</w:t>
      </w:r>
      <w:r w:rsidR="00336707" w:rsidRPr="002D7C87">
        <w:rPr>
          <w:rFonts w:cs="Calibri"/>
        </w:rPr>
        <w:t>is group</w:t>
      </w:r>
      <w:r w:rsidRPr="002D7C87">
        <w:rPr>
          <w:rFonts w:cs="Calibri"/>
        </w:rPr>
        <w:t xml:space="preserve"> to seek feedback on how they would have </w:t>
      </w:r>
      <w:r w:rsidR="00374C07" w:rsidRPr="002D7C87">
        <w:rPr>
          <w:rFonts w:cs="Calibri"/>
        </w:rPr>
        <w:t xml:space="preserve">experienced </w:t>
      </w:r>
      <w:r w:rsidRPr="002D7C87">
        <w:rPr>
          <w:rFonts w:cs="Calibri"/>
        </w:rPr>
        <w:t xml:space="preserve">these at the time of </w:t>
      </w:r>
      <w:r w:rsidR="00336707" w:rsidRPr="002D7C87">
        <w:rPr>
          <w:rFonts w:cs="Calibri"/>
        </w:rPr>
        <w:t xml:space="preserve">their </w:t>
      </w:r>
      <w:r w:rsidRPr="002D7C87">
        <w:rPr>
          <w:rFonts w:cs="Calibri"/>
        </w:rPr>
        <w:t xml:space="preserve">diagnosis. Finally, we piloted our study design on a small PPI group, including </w:t>
      </w:r>
      <w:r w:rsidR="00336707" w:rsidRPr="002D7C87">
        <w:rPr>
          <w:rFonts w:cs="Calibri"/>
        </w:rPr>
        <w:t xml:space="preserve">an individual </w:t>
      </w:r>
      <w:r w:rsidRPr="002D7C87">
        <w:rPr>
          <w:rFonts w:cs="Calibri"/>
        </w:rPr>
        <w:t>with lived experience of myeloma.</w:t>
      </w:r>
    </w:p>
    <w:p w14:paraId="7435176B" w14:textId="77777777" w:rsidR="001F7FA6" w:rsidRPr="002D7C87" w:rsidRDefault="001F7FA6" w:rsidP="001F7FA6">
      <w:pPr>
        <w:rPr>
          <w:rFonts w:cs="Calibri"/>
        </w:rPr>
      </w:pPr>
    </w:p>
    <w:p w14:paraId="33D06845" w14:textId="5B8D8D08" w:rsidR="001F7FA6" w:rsidRPr="002D7C87" w:rsidRDefault="001F7FA6" w:rsidP="001F7FA6">
      <w:pPr>
        <w:rPr>
          <w:rFonts w:cs="Calibri"/>
        </w:rPr>
      </w:pPr>
      <w:r w:rsidRPr="002D7C87">
        <w:rPr>
          <w:rFonts w:cs="Calibri"/>
        </w:rPr>
        <w:lastRenderedPageBreak/>
        <w:t xml:space="preserve">As a result of these meetings, we refined our study outcomes to </w:t>
      </w:r>
      <w:r w:rsidR="00A31B4B" w:rsidRPr="002D7C87">
        <w:rPr>
          <w:rFonts w:cs="Calibri"/>
        </w:rPr>
        <w:t xml:space="preserve">incorporate subjective confidence in understanding as well as </w:t>
      </w:r>
      <w:r w:rsidR="00B66B2D" w:rsidRPr="002D7C87">
        <w:rPr>
          <w:rFonts w:cs="Calibri"/>
        </w:rPr>
        <w:t xml:space="preserve">testable </w:t>
      </w:r>
      <w:r w:rsidR="00A31B4B" w:rsidRPr="002D7C87">
        <w:rPr>
          <w:rFonts w:cs="Calibri"/>
        </w:rPr>
        <w:t>comprehension</w:t>
      </w:r>
      <w:r w:rsidRPr="002D7C87">
        <w:rPr>
          <w:rFonts w:cs="Calibri"/>
        </w:rPr>
        <w:t xml:space="preserve">. Community leaders identified </w:t>
      </w:r>
      <w:r w:rsidR="00AF6465" w:rsidRPr="002D7C87">
        <w:rPr>
          <w:rFonts w:cs="Calibri"/>
        </w:rPr>
        <w:t>suitable community groups for recruitment</w:t>
      </w:r>
      <w:r w:rsidR="00B66B2D" w:rsidRPr="002D7C87">
        <w:rPr>
          <w:rFonts w:cs="Calibri"/>
        </w:rPr>
        <w:t>, highlighted the importance of single-sex spaces, and directed us away from research activities on Friday (an important day for Islamic prayers</w:t>
      </w:r>
      <w:r w:rsidR="00D34339" w:rsidRPr="002D7C87">
        <w:rPr>
          <w:rFonts w:cs="Calibri"/>
        </w:rPr>
        <w:t xml:space="preserve"> </w:t>
      </w:r>
      <w:r w:rsidR="00587D91" w:rsidRPr="002D7C87">
        <w:rPr>
          <w:rFonts w:cs="Calibri"/>
        </w:rPr>
        <w:t>–</w:t>
      </w:r>
      <w:r w:rsidR="00B66B2D" w:rsidRPr="002D7C87">
        <w:rPr>
          <w:rFonts w:cs="Calibri"/>
        </w:rPr>
        <w:t xml:space="preserve"> </w:t>
      </w:r>
      <w:proofErr w:type="gramStart"/>
      <w:r w:rsidR="00B66B2D" w:rsidRPr="002D7C87">
        <w:rPr>
          <w:rFonts w:cs="Calibri"/>
        </w:rPr>
        <w:t>the majority of</w:t>
      </w:r>
      <w:proofErr w:type="gramEnd"/>
      <w:r w:rsidR="00B66B2D" w:rsidRPr="002D7C87">
        <w:rPr>
          <w:rFonts w:cs="Calibri"/>
        </w:rPr>
        <w:t xml:space="preserve"> potential participants were Muslim)</w:t>
      </w:r>
      <w:r w:rsidRPr="002D7C87">
        <w:rPr>
          <w:rFonts w:cs="Calibri"/>
        </w:rPr>
        <w:t xml:space="preserve">. </w:t>
      </w:r>
    </w:p>
    <w:p w14:paraId="5D3CF768" w14:textId="77777777" w:rsidR="001F7FA6" w:rsidRPr="002D7C87" w:rsidRDefault="001F7FA6" w:rsidP="001F7FA6">
      <w:pPr>
        <w:rPr>
          <w:rFonts w:cs="Calibri"/>
        </w:rPr>
      </w:pPr>
    </w:p>
    <w:p w14:paraId="1E0E4FDF" w14:textId="38DFF8AC" w:rsidR="001F7FA6" w:rsidRPr="002D7C87" w:rsidRDefault="001F7FA6" w:rsidP="002655FB">
      <w:pPr>
        <w:rPr>
          <w:rFonts w:cs="Calibri"/>
        </w:rPr>
      </w:pPr>
      <w:r w:rsidRPr="002D7C87">
        <w:rPr>
          <w:rFonts w:cs="Calibri"/>
        </w:rPr>
        <w:t xml:space="preserve">During the meeting with Bengali-speaking people with lived experience of myeloma and LEP, the interpreter pointed out the value of the </w:t>
      </w:r>
      <w:r w:rsidR="006743AF" w:rsidRPr="002D7C87">
        <w:rPr>
          <w:rFonts w:cs="Calibri"/>
        </w:rPr>
        <w:t>bilingual</w:t>
      </w:r>
      <w:r w:rsidRPr="002D7C87">
        <w:rPr>
          <w:rFonts w:cs="Calibri"/>
        </w:rPr>
        <w:t xml:space="preserve"> consent form for their </w:t>
      </w:r>
      <w:r w:rsidRPr="002D7C87">
        <w:rPr>
          <w:rFonts w:cs="Calibri"/>
          <w:i/>
          <w:iCs/>
        </w:rPr>
        <w:t>interpretation</w:t>
      </w:r>
      <w:r w:rsidRPr="002D7C87">
        <w:rPr>
          <w:rFonts w:cs="Calibri"/>
        </w:rPr>
        <w:t xml:space="preserve"> as well as for the patients to read, giving insight into additional value of the translated form.</w:t>
      </w:r>
      <w:r w:rsidR="00EB092F" w:rsidRPr="002D7C87">
        <w:rPr>
          <w:rFonts w:cs="Calibri"/>
        </w:rPr>
        <w:t xml:space="preserve"> Even </w:t>
      </w:r>
      <w:r w:rsidR="00833351" w:rsidRPr="002D7C87">
        <w:rPr>
          <w:rFonts w:cs="Calibri"/>
        </w:rPr>
        <w:t>though</w:t>
      </w:r>
      <w:r w:rsidR="00EB092F" w:rsidRPr="002D7C87">
        <w:rPr>
          <w:rFonts w:cs="Calibri"/>
        </w:rPr>
        <w:t xml:space="preserve"> </w:t>
      </w:r>
      <w:r w:rsidR="00833351" w:rsidRPr="002D7C87">
        <w:rPr>
          <w:rFonts w:cs="Calibri"/>
        </w:rPr>
        <w:t xml:space="preserve">our </w:t>
      </w:r>
      <w:r w:rsidR="00EB092F" w:rsidRPr="002D7C87">
        <w:rPr>
          <w:rFonts w:cs="Calibri"/>
        </w:rPr>
        <w:t xml:space="preserve">research team </w:t>
      </w:r>
      <w:r w:rsidR="00833351" w:rsidRPr="002D7C87">
        <w:rPr>
          <w:rFonts w:cs="Calibri"/>
        </w:rPr>
        <w:t xml:space="preserve">comprised multiple Bengali- and Sylheti-speaking members, professional interpretation </w:t>
      </w:r>
      <w:r w:rsidR="007536D6" w:rsidRPr="002D7C87">
        <w:rPr>
          <w:rFonts w:cs="Calibri"/>
        </w:rPr>
        <w:t>and translation w</w:t>
      </w:r>
      <w:r w:rsidR="00CE74DD" w:rsidRPr="002D7C87">
        <w:rPr>
          <w:rFonts w:cs="Calibri"/>
        </w:rPr>
        <w:t>ere</w:t>
      </w:r>
      <w:r w:rsidR="007536D6" w:rsidRPr="002D7C87">
        <w:rPr>
          <w:rFonts w:cs="Calibri"/>
        </w:rPr>
        <w:t xml:space="preserve"> necessary for </w:t>
      </w:r>
      <w:r w:rsidR="00AD40FD" w:rsidRPr="002D7C87">
        <w:rPr>
          <w:rFonts w:cs="Calibri"/>
        </w:rPr>
        <w:t>both PPI and research activities.</w:t>
      </w:r>
      <w:r w:rsidR="007536D6" w:rsidRPr="002D7C87">
        <w:rPr>
          <w:rFonts w:cs="Calibri"/>
        </w:rPr>
        <w:t xml:space="preserve"> </w:t>
      </w:r>
      <w:r w:rsidR="00AD40FD" w:rsidRPr="002D7C87">
        <w:rPr>
          <w:rFonts w:cs="Calibri"/>
        </w:rPr>
        <w:t>As a result, w</w:t>
      </w:r>
      <w:r w:rsidR="007536D6" w:rsidRPr="002D7C87">
        <w:rPr>
          <w:rFonts w:cs="Calibri"/>
        </w:rPr>
        <w:t>e experienced the cost</w:t>
      </w:r>
      <w:r w:rsidR="00CE74DD" w:rsidRPr="002D7C87">
        <w:rPr>
          <w:rFonts w:cs="Calibri"/>
        </w:rPr>
        <w:t xml:space="preserve"> </w:t>
      </w:r>
      <w:r w:rsidR="007536D6" w:rsidRPr="002D7C87">
        <w:rPr>
          <w:rFonts w:cs="Calibri"/>
        </w:rPr>
        <w:t>implications of both interpretation and translation</w:t>
      </w:r>
      <w:r w:rsidR="00A65A1B" w:rsidRPr="002D7C87">
        <w:rPr>
          <w:rFonts w:cs="Calibri"/>
        </w:rPr>
        <w:t xml:space="preserve"> during the research project</w:t>
      </w:r>
      <w:r w:rsidR="007536D6" w:rsidRPr="002D7C87">
        <w:rPr>
          <w:rFonts w:cs="Calibri"/>
        </w:rPr>
        <w:t xml:space="preserve">, helping us reflect on the </w:t>
      </w:r>
      <w:r w:rsidR="00A2544D" w:rsidRPr="002D7C87">
        <w:rPr>
          <w:rFonts w:cs="Calibri"/>
        </w:rPr>
        <w:t xml:space="preserve">financial </w:t>
      </w:r>
      <w:r w:rsidR="00A65A1B" w:rsidRPr="002D7C87">
        <w:rPr>
          <w:rFonts w:cs="Calibri"/>
        </w:rPr>
        <w:t xml:space="preserve">and logistic </w:t>
      </w:r>
      <w:r w:rsidR="007536D6" w:rsidRPr="002D7C87">
        <w:rPr>
          <w:rFonts w:cs="Calibri"/>
        </w:rPr>
        <w:t>challenges faced by h</w:t>
      </w:r>
      <w:r w:rsidR="00AD40FD" w:rsidRPr="002D7C87">
        <w:rPr>
          <w:rFonts w:cs="Calibri"/>
        </w:rPr>
        <w:t>ealthcare organisations and patient charities</w:t>
      </w:r>
      <w:r w:rsidR="00A2544D" w:rsidRPr="002D7C87">
        <w:rPr>
          <w:rFonts w:cs="Calibri"/>
        </w:rPr>
        <w:t>.</w:t>
      </w:r>
    </w:p>
    <w:p w14:paraId="22938F26" w14:textId="4BFFA505" w:rsidR="0058725C" w:rsidRPr="002D7C87" w:rsidRDefault="0058725C" w:rsidP="002655FB">
      <w:pPr>
        <w:rPr>
          <w:rFonts w:cs="Calibri"/>
          <w:b/>
          <w:bCs/>
        </w:rPr>
      </w:pPr>
      <w:r w:rsidRPr="002D7C87">
        <w:rPr>
          <w:rFonts w:cs="Calibri"/>
          <w:b/>
          <w:bCs/>
        </w:rPr>
        <w:t>Supplementary Results</w:t>
      </w:r>
    </w:p>
    <w:p w14:paraId="21082D1E" w14:textId="77777777" w:rsidR="00EB092F" w:rsidRPr="002D7C87" w:rsidRDefault="00EB092F" w:rsidP="002655FB">
      <w:pPr>
        <w:rPr>
          <w:rFonts w:cs="Calibri"/>
        </w:rPr>
      </w:pPr>
    </w:p>
    <w:p w14:paraId="10447D68" w14:textId="531E6D5D" w:rsidR="00587D91" w:rsidRPr="00233AC9" w:rsidRDefault="005B3813" w:rsidP="00233AC9">
      <w:pPr>
        <w:pStyle w:val="Heading1"/>
      </w:pPr>
      <w:r w:rsidRPr="00233AC9">
        <w:t>Blinded, independent assessment of machine translat</w:t>
      </w:r>
      <w:r w:rsidR="0072626C" w:rsidRPr="00233AC9">
        <w:t>ed booklet</w:t>
      </w:r>
    </w:p>
    <w:p w14:paraId="066AE05F" w14:textId="77777777" w:rsidR="0072626C" w:rsidRPr="002D7C87" w:rsidRDefault="0072626C" w:rsidP="002655FB">
      <w:pPr>
        <w:rPr>
          <w:rFonts w:cs="Calibri"/>
        </w:rPr>
      </w:pPr>
    </w:p>
    <w:p w14:paraId="3F01DD0C" w14:textId="664B8789" w:rsidR="0072626C" w:rsidRPr="002D7C87" w:rsidRDefault="0072626C" w:rsidP="002655FB">
      <w:pPr>
        <w:rPr>
          <w:rFonts w:cs="Calibri"/>
        </w:rPr>
      </w:pPr>
      <w:r w:rsidRPr="002D7C87">
        <w:rPr>
          <w:rFonts w:cs="Calibri"/>
        </w:rPr>
        <w:t>Total score: 51/100</w:t>
      </w:r>
    </w:p>
    <w:p w14:paraId="05D3622C" w14:textId="77777777" w:rsidR="0072626C" w:rsidRPr="002D7C87" w:rsidRDefault="0072626C" w:rsidP="002655FB">
      <w:pPr>
        <w:rPr>
          <w:rFonts w:cs="Calibri"/>
        </w:rPr>
      </w:pPr>
    </w:p>
    <w:p w14:paraId="3451E202" w14:textId="4D2E572E" w:rsidR="002E0F48" w:rsidRPr="002D7C87" w:rsidRDefault="001067CD" w:rsidP="002655FB">
      <w:pPr>
        <w:rPr>
          <w:rFonts w:cs="Calibri"/>
          <w:u w:val="single"/>
        </w:rPr>
      </w:pPr>
      <w:r w:rsidRPr="002D7C87">
        <w:rPr>
          <w:rFonts w:cs="Calibri"/>
          <w:u w:val="single"/>
        </w:rPr>
        <w:t>Aspect 1: Comprehension, Accuracy, Transfer of names, dates and figures, lexis</w:t>
      </w:r>
    </w:p>
    <w:p w14:paraId="70EA98C0" w14:textId="3E66946D" w:rsidR="001067CD" w:rsidRPr="002D7C87" w:rsidRDefault="009E5505" w:rsidP="002655FB">
      <w:pPr>
        <w:rPr>
          <w:rFonts w:cs="Calibri"/>
        </w:rPr>
      </w:pPr>
      <w:r w:rsidRPr="002D7C87">
        <w:rPr>
          <w:rFonts w:cs="Calibri"/>
        </w:rPr>
        <w:t xml:space="preserve">Aspect 1 </w:t>
      </w:r>
      <w:r w:rsidR="001067CD" w:rsidRPr="002D7C87">
        <w:rPr>
          <w:rFonts w:cs="Calibri"/>
        </w:rPr>
        <w:t>Score: 23/50</w:t>
      </w:r>
    </w:p>
    <w:p w14:paraId="73DD6880" w14:textId="3F05581B" w:rsidR="00500BB4" w:rsidRPr="002D7C87" w:rsidRDefault="00500BB4" w:rsidP="00500BB4">
      <w:pPr>
        <w:rPr>
          <w:rFonts w:cs="Calibri"/>
        </w:rPr>
      </w:pPr>
      <w:r w:rsidRPr="002D7C87">
        <w:rPr>
          <w:rFonts w:cs="Calibri"/>
        </w:rPr>
        <w:lastRenderedPageBreak/>
        <w:t>A reasonable level of comprehension was demonstrated throughout the document. However, in several instances, there were serious issues with comprehension, resulting in text that is completely inaccurate.</w:t>
      </w:r>
    </w:p>
    <w:p w14:paraId="08A03663" w14:textId="77777777" w:rsidR="00CF0D15" w:rsidRPr="002D7C87" w:rsidRDefault="00CF0D15" w:rsidP="00500BB4">
      <w:pPr>
        <w:rPr>
          <w:rFonts w:cs="Calibri"/>
        </w:rPr>
      </w:pPr>
    </w:p>
    <w:p w14:paraId="41B5DB4C" w14:textId="3E8914ED" w:rsidR="00500BB4" w:rsidRPr="002D7C87" w:rsidRDefault="00500BB4" w:rsidP="00500BB4">
      <w:pPr>
        <w:rPr>
          <w:rFonts w:cs="Calibri"/>
        </w:rPr>
      </w:pPr>
      <w:r w:rsidRPr="002D7C87">
        <w:rPr>
          <w:rFonts w:cs="Calibri"/>
        </w:rPr>
        <w:t xml:space="preserve">For example, the sentence, </w:t>
      </w:r>
      <w:r w:rsidRPr="002D7C87">
        <w:rPr>
          <w:rFonts w:cs="Calibri"/>
          <w:i/>
          <w:iCs/>
        </w:rPr>
        <w:t>The medicine will help you to: Kill as many myeloma cells as possible,</w:t>
      </w:r>
      <w:r w:rsidRPr="002D7C87">
        <w:rPr>
          <w:rFonts w:cs="Calibri"/>
        </w:rPr>
        <w:t xml:space="preserve"> was mistranslated as instructing the patient to kill as many myeloma cells as possible.</w:t>
      </w:r>
      <w:r w:rsidR="005E0F6D" w:rsidRPr="002D7C87">
        <w:rPr>
          <w:rFonts w:cs="Calibri"/>
        </w:rPr>
        <w:t xml:space="preserve"> </w:t>
      </w:r>
      <w:r w:rsidRPr="002D7C87">
        <w:rPr>
          <w:rFonts w:cs="Calibri"/>
        </w:rPr>
        <w:t>Similar issues were repeated multiple times in other parts of the text.</w:t>
      </w:r>
    </w:p>
    <w:p w14:paraId="2855799A" w14:textId="77777777" w:rsidR="005E0F6D" w:rsidRPr="002D7C87" w:rsidRDefault="005E0F6D" w:rsidP="00500BB4">
      <w:pPr>
        <w:rPr>
          <w:rFonts w:cs="Calibri"/>
        </w:rPr>
      </w:pPr>
    </w:p>
    <w:p w14:paraId="4C388086" w14:textId="1919FA2C" w:rsidR="00500BB4" w:rsidRPr="002D7C87" w:rsidRDefault="00500BB4" w:rsidP="00500BB4">
      <w:pPr>
        <w:rPr>
          <w:rFonts w:cs="Calibri"/>
        </w:rPr>
      </w:pPr>
      <w:r w:rsidRPr="002D7C87">
        <w:rPr>
          <w:rFonts w:cs="Calibri"/>
        </w:rPr>
        <w:t xml:space="preserve">Another example of a comprehension issue is the sentence, </w:t>
      </w:r>
      <w:r w:rsidRPr="002D7C87">
        <w:rPr>
          <w:rFonts w:cs="Calibri"/>
          <w:i/>
          <w:iCs/>
        </w:rPr>
        <w:t>We can put you in touch with another myeloma patient to talk to,</w:t>
      </w:r>
      <w:r w:rsidRPr="002D7C87">
        <w:rPr>
          <w:rFonts w:cs="Calibri"/>
        </w:rPr>
        <w:t xml:space="preserve"> which was mistranslated into an incoherent Bengali sentence that roughly translates to: "We can contact other patients for us to talk to you."</w:t>
      </w:r>
    </w:p>
    <w:p w14:paraId="1558ECDF" w14:textId="77777777" w:rsidR="00CF0D15" w:rsidRPr="002D7C87" w:rsidRDefault="00CF0D15" w:rsidP="00500BB4">
      <w:pPr>
        <w:rPr>
          <w:rFonts w:cs="Calibri"/>
        </w:rPr>
      </w:pPr>
    </w:p>
    <w:p w14:paraId="6D301C90" w14:textId="77777777" w:rsidR="00500BB4" w:rsidRPr="002D7C87" w:rsidRDefault="00500BB4" w:rsidP="00500BB4">
      <w:pPr>
        <w:rPr>
          <w:rFonts w:cs="Calibri"/>
        </w:rPr>
      </w:pPr>
      <w:r w:rsidRPr="002D7C87">
        <w:rPr>
          <w:rFonts w:cs="Calibri"/>
        </w:rPr>
        <w:t>These examples illustrate significant errors that impact the accuracy and clarity of the translation, requiring careful revision to meet professional standards.</w:t>
      </w:r>
    </w:p>
    <w:p w14:paraId="65010B2F" w14:textId="77777777" w:rsidR="005C01A8" w:rsidRPr="002D7C87" w:rsidRDefault="005C01A8" w:rsidP="00500BB4">
      <w:pPr>
        <w:rPr>
          <w:rFonts w:cs="Calibri"/>
        </w:rPr>
      </w:pPr>
    </w:p>
    <w:p w14:paraId="6F80947B" w14:textId="77777777" w:rsidR="005C01A8" w:rsidRPr="002D7C87" w:rsidRDefault="005C01A8" w:rsidP="005C01A8">
      <w:pPr>
        <w:rPr>
          <w:rFonts w:cs="Calibri"/>
        </w:rPr>
      </w:pPr>
      <w:r w:rsidRPr="002D7C87">
        <w:rPr>
          <w:rFonts w:cs="Calibri"/>
        </w:rPr>
        <w:t>Most of the document was translated with a satisfactory level of accuracy.</w:t>
      </w:r>
    </w:p>
    <w:p w14:paraId="508A252C" w14:textId="77777777" w:rsidR="005C01A8" w:rsidRPr="002D7C87" w:rsidRDefault="005C01A8" w:rsidP="005C01A8">
      <w:pPr>
        <w:rPr>
          <w:rFonts w:cs="Calibri"/>
        </w:rPr>
      </w:pPr>
    </w:p>
    <w:p w14:paraId="32CD37AF" w14:textId="77777777" w:rsidR="005C01A8" w:rsidRPr="002D7C87" w:rsidRDefault="005C01A8" w:rsidP="005C01A8">
      <w:pPr>
        <w:rPr>
          <w:rFonts w:cs="Calibri"/>
        </w:rPr>
      </w:pPr>
      <w:r w:rsidRPr="002D7C87">
        <w:rPr>
          <w:rFonts w:cs="Calibri"/>
        </w:rPr>
        <w:t>However, in several instances, as outlined in the comprehension feedback above, the translated text conveys a completely different meaning from the source text and is often</w:t>
      </w:r>
    </w:p>
    <w:p w14:paraId="05DDF7F0" w14:textId="77777777" w:rsidR="005C01A8" w:rsidRPr="002D7C87" w:rsidRDefault="005C01A8" w:rsidP="005C01A8">
      <w:pPr>
        <w:rPr>
          <w:rFonts w:cs="Calibri"/>
        </w:rPr>
      </w:pPr>
      <w:r w:rsidRPr="002D7C87">
        <w:rPr>
          <w:rFonts w:cs="Calibri"/>
        </w:rPr>
        <w:t>incoherent.</w:t>
      </w:r>
    </w:p>
    <w:p w14:paraId="4090EFC3" w14:textId="77777777" w:rsidR="005C01A8" w:rsidRPr="002D7C87" w:rsidRDefault="005C01A8" w:rsidP="005C01A8">
      <w:pPr>
        <w:rPr>
          <w:rFonts w:cs="Calibri"/>
        </w:rPr>
      </w:pPr>
    </w:p>
    <w:p w14:paraId="2F7D70FB" w14:textId="77777777" w:rsidR="005C01A8" w:rsidRPr="002D7C87" w:rsidRDefault="005C01A8" w:rsidP="005C01A8">
      <w:pPr>
        <w:rPr>
          <w:rFonts w:cs="Calibri"/>
        </w:rPr>
      </w:pPr>
      <w:r w:rsidRPr="002D7C87">
        <w:rPr>
          <w:rFonts w:cs="Calibri"/>
        </w:rPr>
        <w:t>For example:</w:t>
      </w:r>
    </w:p>
    <w:p w14:paraId="7A6408E6" w14:textId="77777777" w:rsidR="005C01A8" w:rsidRPr="002D7C87" w:rsidRDefault="005C01A8" w:rsidP="005C01A8">
      <w:pPr>
        <w:rPr>
          <w:rFonts w:cs="Calibri"/>
        </w:rPr>
      </w:pPr>
      <w:r w:rsidRPr="002D7C87">
        <w:rPr>
          <w:rFonts w:cs="Calibri"/>
        </w:rPr>
        <w:t>• Peer support was simply translated as "Peer" without conveying the full meaning.</w:t>
      </w:r>
    </w:p>
    <w:p w14:paraId="6AB656D7" w14:textId="77777777" w:rsidR="005C01A8" w:rsidRPr="002D7C87" w:rsidRDefault="005C01A8" w:rsidP="005C01A8">
      <w:pPr>
        <w:rPr>
          <w:rFonts w:cs="Calibri"/>
        </w:rPr>
      </w:pPr>
      <w:r w:rsidRPr="002D7C87">
        <w:rPr>
          <w:rFonts w:cs="Calibri"/>
        </w:rPr>
        <w:lastRenderedPageBreak/>
        <w:t>• About Myeloma UK was translated as "Related Myeloma UK" which does not make sense in Bengali.</w:t>
      </w:r>
    </w:p>
    <w:p w14:paraId="702E5689" w14:textId="77777777" w:rsidR="005C01A8" w:rsidRPr="002D7C87" w:rsidRDefault="005C01A8" w:rsidP="005C01A8">
      <w:pPr>
        <w:rPr>
          <w:rFonts w:cs="Calibri"/>
        </w:rPr>
      </w:pPr>
      <w:r w:rsidRPr="002D7C87">
        <w:rPr>
          <w:rFonts w:cs="Calibri"/>
        </w:rPr>
        <w:t xml:space="preserve">• Side effects </w:t>
      </w:r>
      <w:proofErr w:type="gramStart"/>
      <w:r w:rsidRPr="002D7C87">
        <w:rPr>
          <w:rFonts w:cs="Calibri"/>
        </w:rPr>
        <w:t>was</w:t>
      </w:r>
      <w:proofErr w:type="gramEnd"/>
      <w:r w:rsidRPr="002D7C87">
        <w:rPr>
          <w:rFonts w:cs="Calibri"/>
        </w:rPr>
        <w:t xml:space="preserve"> translated as "Harmful side" despite there being an exact and commonly used Bengali equivalent for this term.</w:t>
      </w:r>
    </w:p>
    <w:p w14:paraId="5E57B927" w14:textId="77777777" w:rsidR="005C01A8" w:rsidRPr="002D7C87" w:rsidRDefault="005C01A8" w:rsidP="005C01A8">
      <w:pPr>
        <w:rPr>
          <w:rFonts w:cs="Calibri"/>
        </w:rPr>
      </w:pPr>
    </w:p>
    <w:p w14:paraId="2FD5DB4A" w14:textId="71477B72" w:rsidR="005C01A8" w:rsidRPr="002D7C87" w:rsidRDefault="005C01A8" w:rsidP="005C01A8">
      <w:pPr>
        <w:rPr>
          <w:rFonts w:cs="Calibri"/>
        </w:rPr>
      </w:pPr>
      <w:r w:rsidRPr="002D7C87">
        <w:rPr>
          <w:rFonts w:cs="Calibri"/>
        </w:rPr>
        <w:t>These errors significantly affect the accuracy and clarity of the translation, indicating a need for careful revision.</w:t>
      </w:r>
    </w:p>
    <w:p w14:paraId="7161302F" w14:textId="77777777" w:rsidR="00500BB4" w:rsidRPr="002D7C87" w:rsidRDefault="00500BB4" w:rsidP="002655FB">
      <w:pPr>
        <w:rPr>
          <w:rFonts w:cs="Calibri"/>
        </w:rPr>
      </w:pPr>
    </w:p>
    <w:p w14:paraId="7F2694F0" w14:textId="0353A18B" w:rsidR="009E5505" w:rsidRPr="002D7C87" w:rsidRDefault="00500BB4" w:rsidP="009E5505">
      <w:pPr>
        <w:rPr>
          <w:rFonts w:cs="Calibri"/>
          <w:u w:val="single"/>
        </w:rPr>
      </w:pPr>
      <w:r w:rsidRPr="002D7C87">
        <w:rPr>
          <w:rFonts w:cs="Calibri"/>
          <w:u w:val="single"/>
        </w:rPr>
        <w:t xml:space="preserve">Aspect 2: </w:t>
      </w:r>
      <w:r w:rsidR="009E5505" w:rsidRPr="002D7C87">
        <w:rPr>
          <w:rFonts w:cs="Calibri"/>
          <w:u w:val="single"/>
        </w:rPr>
        <w:t>Quality of the Target Language (grammar, syntax, cohesion, coherence,</w:t>
      </w:r>
      <w:r w:rsidR="009E5505" w:rsidRPr="002D7C87">
        <w:rPr>
          <w:rFonts w:cs="Calibri"/>
        </w:rPr>
        <w:t xml:space="preserve"> </w:t>
      </w:r>
      <w:r w:rsidR="009E5505" w:rsidRPr="002D7C87">
        <w:rPr>
          <w:rFonts w:cs="Calibri"/>
          <w:u w:val="single"/>
        </w:rPr>
        <w:t>organisation of work, orthography, punctuation, accentuation, register)</w:t>
      </w:r>
    </w:p>
    <w:p w14:paraId="737E79BB" w14:textId="1AA8E58C" w:rsidR="009E5505" w:rsidRPr="002D7C87" w:rsidRDefault="009E5505" w:rsidP="009E5505">
      <w:pPr>
        <w:rPr>
          <w:rFonts w:cs="Calibri"/>
        </w:rPr>
      </w:pPr>
      <w:r w:rsidRPr="002D7C87">
        <w:rPr>
          <w:rFonts w:cs="Calibri"/>
        </w:rPr>
        <w:t>Aspect 2 Score: 28/50</w:t>
      </w:r>
    </w:p>
    <w:p w14:paraId="50C8B957" w14:textId="77777777" w:rsidR="00CF0D15" w:rsidRPr="002D7C87" w:rsidRDefault="00CF0D15" w:rsidP="003B10EB">
      <w:pPr>
        <w:rPr>
          <w:rFonts w:cs="Calibri"/>
        </w:rPr>
      </w:pPr>
    </w:p>
    <w:p w14:paraId="35555677" w14:textId="18106728" w:rsidR="003B10EB" w:rsidRPr="002D7C87" w:rsidRDefault="003B10EB" w:rsidP="003B10EB">
      <w:pPr>
        <w:rPr>
          <w:rFonts w:cs="Calibri"/>
        </w:rPr>
      </w:pPr>
      <w:r w:rsidRPr="002D7C87">
        <w:rPr>
          <w:rFonts w:cs="Calibri"/>
        </w:rPr>
        <w:t>Most of the translated text maintains a satisfactory level of grammar and syntax. However, in several instances, the sentences are incoherent, unnatural, and difficult to understand due</w:t>
      </w:r>
      <w:r w:rsidR="00CF0D15" w:rsidRPr="002D7C87">
        <w:rPr>
          <w:rFonts w:cs="Calibri"/>
        </w:rPr>
        <w:t xml:space="preserve"> </w:t>
      </w:r>
      <w:r w:rsidRPr="002D7C87">
        <w:rPr>
          <w:rFonts w:cs="Calibri"/>
        </w:rPr>
        <w:t>to syntax or grammatical issues.</w:t>
      </w:r>
    </w:p>
    <w:p w14:paraId="22BE8F6B" w14:textId="77777777" w:rsidR="00CF0D15" w:rsidRPr="002D7C87" w:rsidRDefault="00CF0D15" w:rsidP="003B10EB">
      <w:pPr>
        <w:rPr>
          <w:rFonts w:cs="Calibri"/>
        </w:rPr>
      </w:pPr>
    </w:p>
    <w:p w14:paraId="0C4EECFE" w14:textId="4E9073DA" w:rsidR="003B10EB" w:rsidRPr="002D7C87" w:rsidRDefault="003B10EB" w:rsidP="003B10EB">
      <w:pPr>
        <w:rPr>
          <w:rFonts w:cs="Calibri"/>
        </w:rPr>
      </w:pPr>
      <w:r w:rsidRPr="002D7C87">
        <w:rPr>
          <w:rFonts w:cs="Calibri"/>
        </w:rPr>
        <w:t xml:space="preserve">One example is the translation of the sentence, </w:t>
      </w:r>
      <w:r w:rsidRPr="002D7C87">
        <w:rPr>
          <w:rFonts w:cs="Calibri"/>
          <w:i/>
          <w:iCs/>
        </w:rPr>
        <w:t>You might get more infections,</w:t>
      </w:r>
      <w:r w:rsidRPr="002D7C87">
        <w:rPr>
          <w:rFonts w:cs="Calibri"/>
        </w:rPr>
        <w:t xml:space="preserve"> which was translated in a way that made the Bengali sentence unnatural and incomprehensible due to both syntax and grammar problems.</w:t>
      </w:r>
    </w:p>
    <w:p w14:paraId="4501F21F" w14:textId="77777777" w:rsidR="00CF0D15" w:rsidRPr="002D7C87" w:rsidRDefault="00CF0D15" w:rsidP="003B10EB">
      <w:pPr>
        <w:rPr>
          <w:rFonts w:cs="Calibri"/>
        </w:rPr>
      </w:pPr>
    </w:p>
    <w:p w14:paraId="0849B438" w14:textId="10F2906A" w:rsidR="003B10EB" w:rsidRPr="002D7C87" w:rsidRDefault="003B10EB" w:rsidP="003B10EB">
      <w:pPr>
        <w:rPr>
          <w:rFonts w:cs="Calibri"/>
        </w:rPr>
      </w:pPr>
      <w:r w:rsidRPr="002D7C87">
        <w:rPr>
          <w:rFonts w:cs="Calibri"/>
        </w:rPr>
        <w:t xml:space="preserve">A similar issue occurs with the sentence, </w:t>
      </w:r>
      <w:r w:rsidRPr="002D7C87">
        <w:rPr>
          <w:rFonts w:cs="Calibri"/>
          <w:i/>
          <w:iCs/>
        </w:rPr>
        <w:t xml:space="preserve">Talk to your doctor or nurse if you are worried or have any questions about your treatment, </w:t>
      </w:r>
      <w:r w:rsidRPr="002D7C87">
        <w:rPr>
          <w:rFonts w:cs="Calibri"/>
        </w:rPr>
        <w:t>which also suffers from unnatural phrasing and lack of clarity in the translation.</w:t>
      </w:r>
    </w:p>
    <w:p w14:paraId="2ABF6A3A" w14:textId="77777777" w:rsidR="00CF0D15" w:rsidRPr="002D7C87" w:rsidRDefault="00CF0D15" w:rsidP="003B10EB">
      <w:pPr>
        <w:rPr>
          <w:rFonts w:cs="Calibri"/>
        </w:rPr>
      </w:pPr>
    </w:p>
    <w:p w14:paraId="0E937561" w14:textId="77777777" w:rsidR="003B10EB" w:rsidRPr="002D7C87" w:rsidRDefault="003B10EB" w:rsidP="003B10EB">
      <w:pPr>
        <w:rPr>
          <w:rFonts w:cs="Calibri"/>
        </w:rPr>
      </w:pPr>
      <w:r w:rsidRPr="002D7C87">
        <w:rPr>
          <w:rFonts w:cs="Calibri"/>
        </w:rPr>
        <w:lastRenderedPageBreak/>
        <w:t>These issues highlight the need for careful attention to grammar and syntax to ensure the translation is both accurate and easy to understand.</w:t>
      </w:r>
    </w:p>
    <w:p w14:paraId="360661BE" w14:textId="062CC330" w:rsidR="00500BB4" w:rsidRPr="002D7C87" w:rsidRDefault="00500BB4" w:rsidP="002655FB">
      <w:pPr>
        <w:rPr>
          <w:rFonts w:cs="Calibri"/>
        </w:rPr>
      </w:pPr>
    </w:p>
    <w:p w14:paraId="2AF59090" w14:textId="77777777" w:rsidR="003B10EB" w:rsidRPr="002D7C87" w:rsidRDefault="003B10EB" w:rsidP="003B10EB">
      <w:pPr>
        <w:rPr>
          <w:rFonts w:cs="Calibri"/>
        </w:rPr>
      </w:pPr>
      <w:r w:rsidRPr="002D7C87">
        <w:rPr>
          <w:rFonts w:cs="Calibri"/>
        </w:rPr>
        <w:t>The text overall maintains a satisfactory level. However, there are numerous instances of both minor and major issues that change the meaning and make the text difficult to follow.</w:t>
      </w:r>
    </w:p>
    <w:p w14:paraId="496A1561" w14:textId="77777777" w:rsidR="00CF0D15" w:rsidRPr="002D7C87" w:rsidRDefault="00CF0D15" w:rsidP="00CF0D15">
      <w:pPr>
        <w:rPr>
          <w:rFonts w:cs="Calibri"/>
        </w:rPr>
      </w:pPr>
    </w:p>
    <w:p w14:paraId="1C68328D" w14:textId="543D2966" w:rsidR="003B10EB" w:rsidRPr="002D7C87" w:rsidRDefault="003B10EB" w:rsidP="00D34339">
      <w:pPr>
        <w:rPr>
          <w:rFonts w:cs="Calibri"/>
        </w:rPr>
      </w:pPr>
      <w:r w:rsidRPr="002D7C87">
        <w:rPr>
          <w:rFonts w:cs="Calibri"/>
        </w:rPr>
        <w:t xml:space="preserve">For example, there are some minor spelling errors, such as </w:t>
      </w:r>
      <w:r w:rsidR="00817BDD" w:rsidRPr="002D7C87">
        <w:rPr>
          <w:rFonts w:cs="Calibri"/>
          <w:noProof/>
        </w:rPr>
        <w:drawing>
          <wp:inline distT="0" distB="0" distL="0" distR="0" wp14:anchorId="47277D97" wp14:editId="5D3E84A5">
            <wp:extent cx="392185" cy="196093"/>
            <wp:effectExtent l="0" t="0" r="1905" b="0"/>
            <wp:docPr id="1050779546"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79546" name="Picture 1" descr="A black text on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1494" cy="210747"/>
                    </a:xfrm>
                    <a:prstGeom prst="rect">
                      <a:avLst/>
                    </a:prstGeom>
                  </pic:spPr>
                </pic:pic>
              </a:graphicData>
            </a:graphic>
          </wp:inline>
        </w:drawing>
      </w:r>
      <w:r w:rsidRPr="002D7C87">
        <w:rPr>
          <w:rFonts w:cs="Calibri"/>
        </w:rPr>
        <w:t xml:space="preserve"> (</w:t>
      </w:r>
      <w:r w:rsidRPr="002D7C87">
        <w:rPr>
          <w:rFonts w:cs="Calibri"/>
          <w:i/>
          <w:iCs/>
        </w:rPr>
        <w:t>treatment</w:t>
      </w:r>
      <w:r w:rsidRPr="002D7C87">
        <w:rPr>
          <w:rFonts w:cs="Calibri"/>
        </w:rPr>
        <w:t>) often being spelled as</w:t>
      </w:r>
      <w:r w:rsidR="00B56F1A" w:rsidRPr="002D7C87">
        <w:rPr>
          <w:rFonts w:cs="Calibri"/>
          <w:noProof/>
        </w:rPr>
        <w:drawing>
          <wp:inline distT="0" distB="0" distL="0" distR="0" wp14:anchorId="3D0C73EA" wp14:editId="02B55EDC">
            <wp:extent cx="480246" cy="185902"/>
            <wp:effectExtent l="0" t="0" r="2540" b="5080"/>
            <wp:docPr id="1746021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21541" name="Picture 1746021541"/>
                    <pic:cNvPicPr/>
                  </pic:nvPicPr>
                  <pic:blipFill>
                    <a:blip r:embed="rId12">
                      <a:extLst>
                        <a:ext uri="{28A0092B-C50C-407E-A947-70E740481C1C}">
                          <a14:useLocalDpi xmlns:a14="http://schemas.microsoft.com/office/drawing/2010/main" val="0"/>
                        </a:ext>
                      </a:extLst>
                    </a:blip>
                    <a:stretch>
                      <a:fillRect/>
                    </a:stretch>
                  </pic:blipFill>
                  <pic:spPr>
                    <a:xfrm>
                      <a:off x="0" y="0"/>
                      <a:ext cx="545386" cy="211117"/>
                    </a:xfrm>
                    <a:prstGeom prst="rect">
                      <a:avLst/>
                    </a:prstGeom>
                  </pic:spPr>
                </pic:pic>
              </a:graphicData>
            </a:graphic>
          </wp:inline>
        </w:drawing>
      </w:r>
      <w:r w:rsidRPr="002D7C87">
        <w:rPr>
          <w:rFonts w:cs="Calibri"/>
        </w:rPr>
        <w:t>. While this is considered a minor issue because the incorrectly spelled word</w:t>
      </w:r>
      <w:r w:rsidR="00B56F1A" w:rsidRPr="002D7C87">
        <w:rPr>
          <w:rFonts w:cs="Calibri"/>
        </w:rPr>
        <w:t xml:space="preserve"> </w:t>
      </w:r>
      <w:r w:rsidRPr="002D7C87">
        <w:rPr>
          <w:rFonts w:cs="Calibri"/>
        </w:rPr>
        <w:t xml:space="preserve">can still be recognised and read as the intended word, in some cases, misspellings can alter the meaning. For instance, the word </w:t>
      </w:r>
      <w:r w:rsidRPr="002D7C87">
        <w:rPr>
          <w:rFonts w:cs="Calibri"/>
          <w:i/>
          <w:iCs/>
        </w:rPr>
        <w:t>"any"</w:t>
      </w:r>
      <w:r w:rsidRPr="002D7C87">
        <w:rPr>
          <w:rFonts w:cs="Calibri"/>
        </w:rPr>
        <w:t xml:space="preserve"> was translated as</w:t>
      </w:r>
      <w:r w:rsidR="00945AC1" w:rsidRPr="002D7C87">
        <w:rPr>
          <w:rFonts w:cs="Calibri"/>
        </w:rPr>
        <w:t xml:space="preserve"> (</w:t>
      </w:r>
      <w:r w:rsidR="00945AC1" w:rsidRPr="002D7C87">
        <w:rPr>
          <w:rFonts w:cs="Calibri"/>
          <w:noProof/>
        </w:rPr>
        <w:drawing>
          <wp:inline distT="0" distB="0" distL="0" distR="0" wp14:anchorId="5146E80E" wp14:editId="0A1A9ADC">
            <wp:extent cx="345791" cy="231966"/>
            <wp:effectExtent l="0" t="0" r="0" b="0"/>
            <wp:docPr id="143899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9221" name="Picture 143899221"/>
                    <pic:cNvPicPr/>
                  </pic:nvPicPr>
                  <pic:blipFill rotWithShape="1">
                    <a:blip r:embed="rId13">
                      <a:extLst>
                        <a:ext uri="{28A0092B-C50C-407E-A947-70E740481C1C}">
                          <a14:useLocalDpi xmlns:a14="http://schemas.microsoft.com/office/drawing/2010/main" val="0"/>
                        </a:ext>
                      </a:extLst>
                    </a:blip>
                    <a:srcRect l="12312" r="1"/>
                    <a:stretch>
                      <a:fillRect/>
                    </a:stretch>
                  </pic:blipFill>
                  <pic:spPr bwMode="auto">
                    <a:xfrm>
                      <a:off x="0" y="0"/>
                      <a:ext cx="364020" cy="244194"/>
                    </a:xfrm>
                    <a:prstGeom prst="rect">
                      <a:avLst/>
                    </a:prstGeom>
                    <a:ln>
                      <a:noFill/>
                    </a:ln>
                    <a:extLst>
                      <a:ext uri="{53640926-AAD7-44D8-BBD7-CCE9431645EC}">
                        <a14:shadowObscured xmlns:a14="http://schemas.microsoft.com/office/drawing/2010/main"/>
                      </a:ext>
                    </a:extLst>
                  </pic:spPr>
                </pic:pic>
              </a:graphicData>
            </a:graphic>
          </wp:inline>
        </w:drawing>
      </w:r>
      <w:r w:rsidRPr="002D7C87">
        <w:rPr>
          <w:rFonts w:cs="Calibri"/>
        </w:rPr>
        <w:t xml:space="preserve"> (</w:t>
      </w:r>
      <w:proofErr w:type="spellStart"/>
      <w:r w:rsidRPr="002D7C87">
        <w:rPr>
          <w:rFonts w:cs="Calibri"/>
        </w:rPr>
        <w:t>kon</w:t>
      </w:r>
      <w:proofErr w:type="spellEnd"/>
      <w:r w:rsidRPr="002D7C87">
        <w:rPr>
          <w:rFonts w:cs="Calibri"/>
        </w:rPr>
        <w:t xml:space="preserve">), meaning </w:t>
      </w:r>
      <w:r w:rsidRPr="002D7C87">
        <w:rPr>
          <w:rFonts w:cs="Calibri"/>
          <w:i/>
          <w:iCs/>
        </w:rPr>
        <w:t>"which"</w:t>
      </w:r>
      <w:r w:rsidRPr="002D7C87">
        <w:rPr>
          <w:rFonts w:cs="Calibri"/>
        </w:rPr>
        <w:t>,</w:t>
      </w:r>
      <w:r w:rsidR="0060228D" w:rsidRPr="002D7C87">
        <w:rPr>
          <w:rFonts w:cs="Calibri"/>
        </w:rPr>
        <w:t xml:space="preserve"> </w:t>
      </w:r>
      <w:r w:rsidRPr="002D7C87">
        <w:rPr>
          <w:rFonts w:cs="Calibri"/>
        </w:rPr>
        <w:t xml:space="preserve">instead of the correct </w:t>
      </w:r>
      <w:r w:rsidR="002A41EE" w:rsidRPr="002D7C87">
        <w:rPr>
          <w:rFonts w:cs="Calibri"/>
          <w:noProof/>
        </w:rPr>
        <w:drawing>
          <wp:inline distT="0" distB="0" distL="0" distR="0" wp14:anchorId="5506C208" wp14:editId="0819B4EC">
            <wp:extent cx="395012" cy="230930"/>
            <wp:effectExtent l="0" t="0" r="0" b="0"/>
            <wp:docPr id="1455829722" name="Picture 4" descr="A black tex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9722" name="Picture 4" descr="A black text with a whit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0786" cy="240152"/>
                    </a:xfrm>
                    <a:prstGeom prst="rect">
                      <a:avLst/>
                    </a:prstGeom>
                  </pic:spPr>
                </pic:pic>
              </a:graphicData>
            </a:graphic>
          </wp:inline>
        </w:drawing>
      </w:r>
      <w:r w:rsidRPr="002D7C87">
        <w:rPr>
          <w:rFonts w:cs="Calibri"/>
        </w:rPr>
        <w:t xml:space="preserve"> (</w:t>
      </w:r>
      <w:proofErr w:type="spellStart"/>
      <w:r w:rsidRPr="002D7C87">
        <w:rPr>
          <w:rFonts w:cs="Calibri"/>
        </w:rPr>
        <w:t>kono</w:t>
      </w:r>
      <w:proofErr w:type="spellEnd"/>
      <w:r w:rsidRPr="002D7C87">
        <w:rPr>
          <w:rFonts w:cs="Calibri"/>
        </w:rPr>
        <w:t xml:space="preserve">) or </w:t>
      </w:r>
      <w:r w:rsidR="00CF0D15" w:rsidRPr="002D7C87">
        <w:rPr>
          <w:rFonts w:cs="Calibri"/>
          <w:noProof/>
        </w:rPr>
        <w:drawing>
          <wp:inline distT="0" distB="0" distL="0" distR="0" wp14:anchorId="4D488CE6" wp14:editId="556C095A">
            <wp:extent cx="520117" cy="197286"/>
            <wp:effectExtent l="0" t="0" r="635" b="6350"/>
            <wp:docPr id="10688343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834390" name="Picture 106883439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2452" cy="205758"/>
                    </a:xfrm>
                    <a:prstGeom prst="rect">
                      <a:avLst/>
                    </a:prstGeom>
                  </pic:spPr>
                </pic:pic>
              </a:graphicData>
            </a:graphic>
          </wp:inline>
        </w:drawing>
      </w:r>
      <w:r w:rsidR="002A41EE" w:rsidRPr="002D7C87">
        <w:rPr>
          <w:rFonts w:cs="Calibri"/>
        </w:rPr>
        <w:t xml:space="preserve"> </w:t>
      </w:r>
      <w:r w:rsidRPr="002D7C87">
        <w:rPr>
          <w:rFonts w:cs="Calibri"/>
        </w:rPr>
        <w:t>(</w:t>
      </w:r>
      <w:proofErr w:type="spellStart"/>
      <w:r w:rsidRPr="002D7C87">
        <w:rPr>
          <w:rFonts w:cs="Calibri"/>
        </w:rPr>
        <w:t>jekono</w:t>
      </w:r>
      <w:proofErr w:type="spellEnd"/>
      <w:r w:rsidRPr="002D7C87">
        <w:rPr>
          <w:rFonts w:cs="Calibri"/>
        </w:rPr>
        <w:t>).</w:t>
      </w:r>
    </w:p>
    <w:p w14:paraId="32DFC317" w14:textId="77777777" w:rsidR="00CF0D15" w:rsidRPr="002D7C87" w:rsidRDefault="00CF0D15" w:rsidP="00D34339">
      <w:pPr>
        <w:ind w:firstLine="720"/>
        <w:rPr>
          <w:rFonts w:cs="Calibri"/>
        </w:rPr>
      </w:pPr>
    </w:p>
    <w:p w14:paraId="083AC152" w14:textId="59EC8FE3" w:rsidR="003B10EB" w:rsidRPr="002D7C87" w:rsidRDefault="003B10EB" w:rsidP="003B10EB">
      <w:pPr>
        <w:rPr>
          <w:rFonts w:cs="Calibri"/>
          <w:i/>
          <w:iCs/>
        </w:rPr>
      </w:pPr>
      <w:r w:rsidRPr="002D7C87">
        <w:rPr>
          <w:rFonts w:cs="Calibri"/>
        </w:rPr>
        <w:t xml:space="preserve">In addition to the examples provided in the sections above, another example of an incoherent sentence due to grammatical issues is the translation of the sentence: </w:t>
      </w:r>
      <w:r w:rsidRPr="002D7C87">
        <w:rPr>
          <w:rFonts w:cs="Calibri"/>
          <w:i/>
          <w:iCs/>
        </w:rPr>
        <w:t>At the hospital you</w:t>
      </w:r>
      <w:r w:rsidR="00CF0D15" w:rsidRPr="002D7C87">
        <w:rPr>
          <w:rFonts w:cs="Calibri"/>
          <w:i/>
          <w:iCs/>
        </w:rPr>
        <w:t xml:space="preserve"> </w:t>
      </w:r>
      <w:r w:rsidRPr="002D7C87">
        <w:rPr>
          <w:rFonts w:cs="Calibri"/>
          <w:i/>
          <w:iCs/>
        </w:rPr>
        <w:t>will be looked after by a special doctor and nurse.</w:t>
      </w:r>
      <w:r w:rsidRPr="002D7C87">
        <w:rPr>
          <w:rFonts w:cs="Calibri"/>
        </w:rPr>
        <w:t xml:space="preserve"> The translation reads as though the nurse would be looked after, which misrepresents the intended meaning.</w:t>
      </w:r>
    </w:p>
    <w:p w14:paraId="51170B6E" w14:textId="77777777" w:rsidR="003B10EB" w:rsidRPr="002D7C87" w:rsidRDefault="003B10EB" w:rsidP="003B10EB">
      <w:pPr>
        <w:rPr>
          <w:rFonts w:cs="Calibri"/>
        </w:rPr>
      </w:pPr>
      <w:r w:rsidRPr="002D7C87">
        <w:rPr>
          <w:rFonts w:cs="Calibri"/>
        </w:rPr>
        <w:t>These errors, particularly those that lead to changes in meaning or incoherence, significantly impact the quality of the translation and highlight areas requiring careful revision.</w:t>
      </w:r>
    </w:p>
    <w:p w14:paraId="1BD4D109" w14:textId="77777777" w:rsidR="003B10EB" w:rsidRPr="002D7C87" w:rsidRDefault="003B10EB" w:rsidP="002655FB">
      <w:pPr>
        <w:rPr>
          <w:rFonts w:cs="Calibri"/>
        </w:rPr>
      </w:pPr>
    </w:p>
    <w:p w14:paraId="18B4CE7B" w14:textId="1A297C2F" w:rsidR="005E0F6D" w:rsidRPr="002D7C87" w:rsidRDefault="005E0F6D" w:rsidP="00233AC9">
      <w:pPr>
        <w:pStyle w:val="Heading1"/>
      </w:pPr>
      <w:r w:rsidRPr="002D7C87">
        <w:t>Blinded, independent assessment of professionally translated booklet</w:t>
      </w:r>
    </w:p>
    <w:p w14:paraId="6B6200B3" w14:textId="77777777" w:rsidR="005E0F6D" w:rsidRPr="002D7C87" w:rsidRDefault="005E0F6D" w:rsidP="005E0F6D">
      <w:pPr>
        <w:rPr>
          <w:rFonts w:cs="Calibri"/>
        </w:rPr>
      </w:pPr>
    </w:p>
    <w:p w14:paraId="29C1BFD3" w14:textId="2E9DDFBB" w:rsidR="005E0F6D" w:rsidRPr="002D7C87" w:rsidRDefault="005E0F6D" w:rsidP="005E0F6D">
      <w:pPr>
        <w:rPr>
          <w:rFonts w:cs="Calibri"/>
        </w:rPr>
      </w:pPr>
      <w:r w:rsidRPr="002D7C87">
        <w:rPr>
          <w:rFonts w:cs="Calibri"/>
        </w:rPr>
        <w:t xml:space="preserve">Total score: </w:t>
      </w:r>
      <w:r w:rsidR="00426EB3" w:rsidRPr="002D7C87">
        <w:rPr>
          <w:rFonts w:cs="Calibri"/>
        </w:rPr>
        <w:t>73</w:t>
      </w:r>
      <w:r w:rsidRPr="002D7C87">
        <w:rPr>
          <w:rFonts w:cs="Calibri"/>
        </w:rPr>
        <w:t>/100</w:t>
      </w:r>
    </w:p>
    <w:p w14:paraId="08E8D19B" w14:textId="77777777" w:rsidR="005E0F6D" w:rsidRPr="002D7C87" w:rsidRDefault="005E0F6D" w:rsidP="005E0F6D">
      <w:pPr>
        <w:rPr>
          <w:rFonts w:cs="Calibri"/>
        </w:rPr>
      </w:pPr>
    </w:p>
    <w:p w14:paraId="66BDD384" w14:textId="77777777" w:rsidR="005E0F6D" w:rsidRPr="002D7C87" w:rsidRDefault="005E0F6D" w:rsidP="005E0F6D">
      <w:pPr>
        <w:rPr>
          <w:rFonts w:cs="Calibri"/>
          <w:u w:val="single"/>
        </w:rPr>
      </w:pPr>
      <w:r w:rsidRPr="002D7C87">
        <w:rPr>
          <w:rFonts w:cs="Calibri"/>
          <w:u w:val="single"/>
        </w:rPr>
        <w:lastRenderedPageBreak/>
        <w:t>Aspect 1: Comprehension, Accuracy, Transfer of names, dates and figures, lexis</w:t>
      </w:r>
    </w:p>
    <w:p w14:paraId="1B684F3D" w14:textId="46954AA0" w:rsidR="005E0F6D" w:rsidRPr="002D7C87" w:rsidRDefault="005E0F6D" w:rsidP="005E0F6D">
      <w:pPr>
        <w:rPr>
          <w:rFonts w:cs="Calibri"/>
        </w:rPr>
      </w:pPr>
      <w:r w:rsidRPr="002D7C87">
        <w:rPr>
          <w:rFonts w:cs="Calibri"/>
        </w:rPr>
        <w:t xml:space="preserve">Aspect 1 Score: </w:t>
      </w:r>
      <w:r w:rsidR="00426EB3" w:rsidRPr="002D7C87">
        <w:rPr>
          <w:rFonts w:cs="Calibri"/>
        </w:rPr>
        <w:t>33</w:t>
      </w:r>
      <w:r w:rsidRPr="002D7C87">
        <w:rPr>
          <w:rFonts w:cs="Calibri"/>
        </w:rPr>
        <w:t>/50</w:t>
      </w:r>
    </w:p>
    <w:p w14:paraId="2463703E" w14:textId="77777777" w:rsidR="005E0F6D" w:rsidRPr="002D7C87" w:rsidRDefault="005E0F6D" w:rsidP="002655FB">
      <w:pPr>
        <w:rPr>
          <w:rFonts w:cs="Calibri"/>
        </w:rPr>
      </w:pPr>
    </w:p>
    <w:p w14:paraId="786FFD3A" w14:textId="5A7DF1E2" w:rsidR="00426EB3" w:rsidRPr="002D7C87" w:rsidRDefault="00426EB3" w:rsidP="00426EB3">
      <w:pPr>
        <w:rPr>
          <w:rFonts w:cs="Calibri"/>
        </w:rPr>
      </w:pPr>
      <w:r w:rsidRPr="002D7C87">
        <w:rPr>
          <w:rFonts w:cs="Calibri"/>
        </w:rPr>
        <w:t>Overall, the quality of the translation is good, demonstrating good comprehension. The subject matter was well understood, and the meanings were conveyed accurately most of the time.</w:t>
      </w:r>
    </w:p>
    <w:p w14:paraId="1F921EF9" w14:textId="77777777" w:rsidR="00426EB3" w:rsidRPr="002D7C87" w:rsidRDefault="00426EB3" w:rsidP="00426EB3">
      <w:pPr>
        <w:rPr>
          <w:rFonts w:cs="Calibri"/>
        </w:rPr>
      </w:pPr>
    </w:p>
    <w:p w14:paraId="7A5F0F8F" w14:textId="373A4862" w:rsidR="00426EB3" w:rsidRPr="002D7C87" w:rsidRDefault="00426EB3" w:rsidP="00426EB3">
      <w:pPr>
        <w:rPr>
          <w:rFonts w:cs="Calibri"/>
        </w:rPr>
      </w:pPr>
      <w:r w:rsidRPr="002D7C87">
        <w:rPr>
          <w:rFonts w:cs="Calibri"/>
        </w:rPr>
        <w:t xml:space="preserve">However, there are a few instances where complete comprehension was not achieved. For example, </w:t>
      </w:r>
      <w:r w:rsidRPr="002D7C87">
        <w:rPr>
          <w:rFonts w:cs="Calibri"/>
          <w:i/>
          <w:iCs/>
        </w:rPr>
        <w:t>Help you live longer</w:t>
      </w:r>
      <w:r w:rsidRPr="002D7C87">
        <w:rPr>
          <w:rFonts w:cs="Calibri"/>
        </w:rPr>
        <w:t xml:space="preserve"> was translated as “Help you live long” which implies that the person will have a long life. This is not what the source text conveys. The source text indicates that the medicine will help the person live a longer life compared to what it would have been without the medicine.</w:t>
      </w:r>
    </w:p>
    <w:p w14:paraId="3DD8AC11" w14:textId="77777777" w:rsidR="00426EB3" w:rsidRPr="002D7C87" w:rsidRDefault="00426EB3" w:rsidP="00426EB3">
      <w:pPr>
        <w:rPr>
          <w:rFonts w:cs="Calibri"/>
        </w:rPr>
      </w:pPr>
    </w:p>
    <w:p w14:paraId="2BE4D923" w14:textId="180CCB1C" w:rsidR="00426EB3" w:rsidRPr="002D7C87" w:rsidRDefault="00426EB3" w:rsidP="00426EB3">
      <w:pPr>
        <w:rPr>
          <w:rFonts w:cs="Calibri"/>
        </w:rPr>
      </w:pPr>
      <w:r w:rsidRPr="002D7C87">
        <w:rPr>
          <w:rFonts w:cs="Calibri"/>
        </w:rPr>
        <w:t xml:space="preserve">Similarly, </w:t>
      </w:r>
      <w:r w:rsidRPr="002D7C87">
        <w:rPr>
          <w:rFonts w:cs="Calibri"/>
          <w:i/>
          <w:iCs/>
        </w:rPr>
        <w:t>You might not be able to sleep</w:t>
      </w:r>
      <w:r w:rsidRPr="002D7C87">
        <w:rPr>
          <w:rFonts w:cs="Calibri"/>
        </w:rPr>
        <w:t xml:space="preserve"> was translated as "Your sleep might be disrupted" which describes two different situations.</w:t>
      </w:r>
    </w:p>
    <w:p w14:paraId="683A0A98" w14:textId="77777777" w:rsidR="00426EB3" w:rsidRPr="002D7C87" w:rsidRDefault="00426EB3" w:rsidP="002655FB">
      <w:pPr>
        <w:rPr>
          <w:rFonts w:cs="Calibri"/>
        </w:rPr>
      </w:pPr>
    </w:p>
    <w:p w14:paraId="41E3E175" w14:textId="77777777" w:rsidR="00CF36EC" w:rsidRPr="002D7C87" w:rsidRDefault="00CF36EC" w:rsidP="00CF36EC">
      <w:pPr>
        <w:rPr>
          <w:rFonts w:cs="Calibri"/>
        </w:rPr>
      </w:pPr>
      <w:r w:rsidRPr="002D7C87">
        <w:rPr>
          <w:rFonts w:cs="Calibri"/>
        </w:rPr>
        <w:t>Overall, the text maintains a good standard of accuracy. With minor corrections, it could reach a professionally acceptable level.</w:t>
      </w:r>
    </w:p>
    <w:p w14:paraId="770D616A" w14:textId="77777777" w:rsidR="00CF36EC" w:rsidRPr="002D7C87" w:rsidRDefault="00CF36EC" w:rsidP="00CF36EC">
      <w:pPr>
        <w:rPr>
          <w:rFonts w:cs="Calibri"/>
        </w:rPr>
      </w:pPr>
    </w:p>
    <w:p w14:paraId="4F004CEB" w14:textId="68658F0E" w:rsidR="00CF36EC" w:rsidRPr="002D7C87" w:rsidRDefault="00CF36EC" w:rsidP="00CF36EC">
      <w:pPr>
        <w:rPr>
          <w:rFonts w:cs="Calibri"/>
        </w:rPr>
      </w:pPr>
      <w:r w:rsidRPr="002D7C87">
        <w:rPr>
          <w:rFonts w:cs="Calibri"/>
        </w:rPr>
        <w:t xml:space="preserve">For example, the word </w:t>
      </w:r>
      <w:r w:rsidRPr="002D7C87">
        <w:rPr>
          <w:rFonts w:cs="Calibri"/>
          <w:i/>
          <w:iCs/>
        </w:rPr>
        <w:t>infections</w:t>
      </w:r>
      <w:r w:rsidRPr="002D7C87">
        <w:rPr>
          <w:rFonts w:cs="Calibri"/>
        </w:rPr>
        <w:t xml:space="preserve"> </w:t>
      </w:r>
      <w:proofErr w:type="gramStart"/>
      <w:r w:rsidRPr="002D7C87">
        <w:rPr>
          <w:rFonts w:cs="Calibri"/>
        </w:rPr>
        <w:t>is</w:t>
      </w:r>
      <w:proofErr w:type="gramEnd"/>
      <w:r w:rsidRPr="002D7C87">
        <w:rPr>
          <w:rFonts w:cs="Calibri"/>
        </w:rPr>
        <w:t xml:space="preserve"> bold in the source text but not in the translated text. In this easy-to-read version, it is very important for </w:t>
      </w:r>
      <w:r w:rsidRPr="002D7C87">
        <w:rPr>
          <w:rFonts w:cs="Calibri"/>
          <w:i/>
          <w:iCs/>
        </w:rPr>
        <w:t>infections</w:t>
      </w:r>
      <w:r w:rsidRPr="002D7C87">
        <w:rPr>
          <w:rFonts w:cs="Calibri"/>
        </w:rPr>
        <w:t xml:space="preserve"> to be bold to maintain emphasis and readability.</w:t>
      </w:r>
    </w:p>
    <w:p w14:paraId="0B61DD10" w14:textId="77777777" w:rsidR="00CF36EC" w:rsidRPr="002D7C87" w:rsidRDefault="00CF36EC" w:rsidP="00CF36EC">
      <w:pPr>
        <w:rPr>
          <w:rFonts w:cs="Calibri"/>
        </w:rPr>
      </w:pPr>
    </w:p>
    <w:p w14:paraId="109F8B58" w14:textId="496508EA" w:rsidR="00CF36EC" w:rsidRPr="002D7C87" w:rsidRDefault="00CF36EC" w:rsidP="00CF36EC">
      <w:pPr>
        <w:rPr>
          <w:rFonts w:cs="Calibri"/>
        </w:rPr>
      </w:pPr>
      <w:r w:rsidRPr="002D7C87">
        <w:rPr>
          <w:rFonts w:cs="Calibri"/>
        </w:rPr>
        <w:lastRenderedPageBreak/>
        <w:t xml:space="preserve">Additionally, in the sentence, </w:t>
      </w:r>
      <w:r w:rsidRPr="002D7C87">
        <w:rPr>
          <w:rFonts w:cs="Calibri"/>
          <w:i/>
          <w:iCs/>
        </w:rPr>
        <w:t>Your doctor will tell you which medicines to take and when to take them,</w:t>
      </w:r>
      <w:r w:rsidRPr="002D7C87">
        <w:rPr>
          <w:rFonts w:cs="Calibri"/>
        </w:rPr>
        <w:t xml:space="preserve"> the words </w:t>
      </w:r>
      <w:r w:rsidRPr="002D7C87">
        <w:rPr>
          <w:rFonts w:cs="Calibri"/>
          <w:i/>
          <w:iCs/>
        </w:rPr>
        <w:t>to take</w:t>
      </w:r>
      <w:r w:rsidRPr="002D7C87">
        <w:rPr>
          <w:rFonts w:cs="Calibri"/>
        </w:rPr>
        <w:t xml:space="preserve"> were omitted in the translated text, making it sound slightly unnatural and difficult to understand.</w:t>
      </w:r>
    </w:p>
    <w:p w14:paraId="5E5AC4D7" w14:textId="77777777" w:rsidR="005E0F6D" w:rsidRPr="002D7C87" w:rsidRDefault="005E0F6D" w:rsidP="002655FB">
      <w:pPr>
        <w:rPr>
          <w:rFonts w:cs="Calibri"/>
        </w:rPr>
      </w:pPr>
    </w:p>
    <w:p w14:paraId="2306D338" w14:textId="77777777" w:rsidR="003C791A" w:rsidRPr="002D7C87" w:rsidRDefault="003C791A" w:rsidP="003C791A">
      <w:pPr>
        <w:rPr>
          <w:rFonts w:cs="Calibri"/>
          <w:u w:val="single"/>
        </w:rPr>
      </w:pPr>
      <w:r w:rsidRPr="002D7C87">
        <w:rPr>
          <w:rFonts w:cs="Calibri"/>
          <w:u w:val="single"/>
        </w:rPr>
        <w:t>Aspect 2: Quality of the Target Language (grammar, syntax, cohesion, coherence,</w:t>
      </w:r>
      <w:r w:rsidRPr="002D7C87">
        <w:rPr>
          <w:rFonts w:cs="Calibri"/>
        </w:rPr>
        <w:t xml:space="preserve"> </w:t>
      </w:r>
      <w:r w:rsidRPr="002D7C87">
        <w:rPr>
          <w:rFonts w:cs="Calibri"/>
          <w:u w:val="single"/>
        </w:rPr>
        <w:t>organisation of work, orthography, punctuation, accentuation, register)</w:t>
      </w:r>
    </w:p>
    <w:p w14:paraId="57E1E39C" w14:textId="231CED64" w:rsidR="003C791A" w:rsidRPr="002D7C87" w:rsidRDefault="003C791A" w:rsidP="003C791A">
      <w:pPr>
        <w:rPr>
          <w:rFonts w:cs="Calibri"/>
        </w:rPr>
      </w:pPr>
      <w:r w:rsidRPr="002D7C87">
        <w:rPr>
          <w:rFonts w:cs="Calibri"/>
        </w:rPr>
        <w:t>Aspect 2 Score: 40/50</w:t>
      </w:r>
    </w:p>
    <w:p w14:paraId="0FE5B077" w14:textId="77777777" w:rsidR="003C791A" w:rsidRPr="002D7C87" w:rsidRDefault="003C791A" w:rsidP="003C791A">
      <w:pPr>
        <w:rPr>
          <w:rFonts w:cs="Calibri"/>
        </w:rPr>
      </w:pPr>
    </w:p>
    <w:p w14:paraId="77CF51C1" w14:textId="68B5CCDD" w:rsidR="00271F0A" w:rsidRPr="002D7C87" w:rsidRDefault="00271F0A" w:rsidP="00271F0A">
      <w:pPr>
        <w:rPr>
          <w:rFonts w:cs="Calibri"/>
        </w:rPr>
      </w:pPr>
      <w:r w:rsidRPr="002D7C87">
        <w:rPr>
          <w:rFonts w:cs="Calibri"/>
        </w:rPr>
        <w:t xml:space="preserve">Overall, the translation is written in a good standard of Bengali. However, in some instances, a few sentences are slightly difficult to understand due to issues with syntax. For example, the meaning of the sentence, </w:t>
      </w:r>
      <w:r w:rsidRPr="002D7C87">
        <w:rPr>
          <w:rFonts w:cs="Calibri"/>
          <w:i/>
          <w:iCs/>
        </w:rPr>
        <w:t>We work with others to find, develop and give patients new myeloma treatments</w:t>
      </w:r>
      <w:r w:rsidRPr="002D7C87">
        <w:rPr>
          <w:rFonts w:cs="Calibri"/>
        </w:rPr>
        <w:t>, is not entirely clear in the translated text upon first reading. This suggests that the structure or phrasing could be improved for better clarity and flow.</w:t>
      </w:r>
    </w:p>
    <w:p w14:paraId="708B965F" w14:textId="01E08B12" w:rsidR="00500BB4" w:rsidRPr="002D7C87" w:rsidRDefault="00500BB4" w:rsidP="002655FB">
      <w:pPr>
        <w:rPr>
          <w:rFonts w:cs="Calibri"/>
        </w:rPr>
      </w:pPr>
    </w:p>
    <w:p w14:paraId="5D0B88F5" w14:textId="114CFE96" w:rsidR="00271F0A" w:rsidRPr="002D7C87" w:rsidRDefault="00271F0A" w:rsidP="00271F0A">
      <w:pPr>
        <w:rPr>
          <w:rFonts w:cs="Calibri"/>
        </w:rPr>
      </w:pPr>
      <w:r w:rsidRPr="002D7C87">
        <w:rPr>
          <w:rFonts w:cs="Calibri"/>
        </w:rPr>
        <w:t>The text overall maintains a good level of clarity and orthography, although some minor spelling and grammar issues could be addressed to improve the readability and accuracy of the translated text.</w:t>
      </w:r>
    </w:p>
    <w:p w14:paraId="0A6A9877" w14:textId="77777777" w:rsidR="00271F0A" w:rsidRPr="002D7C87" w:rsidRDefault="00271F0A" w:rsidP="00271F0A">
      <w:pPr>
        <w:rPr>
          <w:rFonts w:cs="Calibri"/>
        </w:rPr>
      </w:pPr>
    </w:p>
    <w:p w14:paraId="6237DA4D" w14:textId="435CBD12" w:rsidR="00271F0A" w:rsidRPr="002D7C87" w:rsidRDefault="00271F0A" w:rsidP="00271F0A">
      <w:pPr>
        <w:rPr>
          <w:rFonts w:cs="Calibri"/>
        </w:rPr>
      </w:pPr>
      <w:r w:rsidRPr="002D7C87">
        <w:rPr>
          <w:rFonts w:cs="Calibri"/>
        </w:rPr>
        <w:t>For example, the plural Bengali word "</w:t>
      </w:r>
      <w:r w:rsidR="00640B2E" w:rsidRPr="002D7C87">
        <w:rPr>
          <w:rFonts w:cs="Calibri"/>
          <w:noProof/>
        </w:rPr>
        <w:drawing>
          <wp:inline distT="0" distB="0" distL="0" distR="0" wp14:anchorId="3A781B88" wp14:editId="12917ABD">
            <wp:extent cx="310393" cy="191954"/>
            <wp:effectExtent l="0" t="0" r="0" b="0"/>
            <wp:docPr id="423267426"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67426" name="Picture 6" descr="A black and white logo&#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520" cy="201309"/>
                    </a:xfrm>
                    <a:prstGeom prst="rect">
                      <a:avLst/>
                    </a:prstGeom>
                  </pic:spPr>
                </pic:pic>
              </a:graphicData>
            </a:graphic>
          </wp:inline>
        </w:drawing>
      </w:r>
      <w:r w:rsidRPr="002D7C87">
        <w:rPr>
          <w:rFonts w:cs="Calibri"/>
        </w:rPr>
        <w:t xml:space="preserve"> (gulo)" was consistently written as "</w:t>
      </w:r>
      <w:r w:rsidR="00223E27" w:rsidRPr="002D7C87">
        <w:rPr>
          <w:rFonts w:cs="Calibri"/>
          <w:noProof/>
        </w:rPr>
        <w:drawing>
          <wp:inline distT="0" distB="0" distL="0" distR="0" wp14:anchorId="1689D3CA" wp14:editId="0B52D5B6">
            <wp:extent cx="243587" cy="214930"/>
            <wp:effectExtent l="0" t="0" r="0" b="1270"/>
            <wp:docPr id="1402890335" name="Picture 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90335" name="Picture 7" descr="A black and white logo&#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2879" cy="276070"/>
                    </a:xfrm>
                    <a:prstGeom prst="rect">
                      <a:avLst/>
                    </a:prstGeom>
                  </pic:spPr>
                </pic:pic>
              </a:graphicData>
            </a:graphic>
          </wp:inline>
        </w:drawing>
      </w:r>
      <w:r w:rsidRPr="002D7C87">
        <w:rPr>
          <w:rFonts w:cs="Calibri"/>
        </w:rPr>
        <w:t xml:space="preserve"> (</w:t>
      </w:r>
      <w:proofErr w:type="spellStart"/>
      <w:r w:rsidRPr="002D7C87">
        <w:rPr>
          <w:rFonts w:cs="Calibri"/>
        </w:rPr>
        <w:t>guli</w:t>
      </w:r>
      <w:proofErr w:type="spellEnd"/>
      <w:r w:rsidRPr="002D7C87">
        <w:rPr>
          <w:rFonts w:cs="Calibri"/>
        </w:rPr>
        <w:t>)" throughout the text. "</w:t>
      </w:r>
      <w:r w:rsidR="00223E27" w:rsidRPr="002D7C87">
        <w:rPr>
          <w:rFonts w:cs="Calibri"/>
          <w:noProof/>
        </w:rPr>
        <w:drawing>
          <wp:inline distT="0" distB="0" distL="0" distR="0" wp14:anchorId="72D3EA1B" wp14:editId="1AC4CF56">
            <wp:extent cx="243587" cy="214930"/>
            <wp:effectExtent l="0" t="0" r="0" b="1270"/>
            <wp:docPr id="798873747" name="Picture 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90335" name="Picture 7" descr="A black and white logo&#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2879" cy="276070"/>
                    </a:xfrm>
                    <a:prstGeom prst="rect">
                      <a:avLst/>
                    </a:prstGeom>
                  </pic:spPr>
                </pic:pic>
              </a:graphicData>
            </a:graphic>
          </wp:inline>
        </w:drawing>
      </w:r>
      <w:r w:rsidRPr="002D7C87">
        <w:rPr>
          <w:rFonts w:cs="Calibri"/>
        </w:rPr>
        <w:t>(</w:t>
      </w:r>
      <w:proofErr w:type="spellStart"/>
      <w:r w:rsidRPr="002D7C87">
        <w:rPr>
          <w:rFonts w:cs="Calibri"/>
        </w:rPr>
        <w:t>guli</w:t>
      </w:r>
      <w:proofErr w:type="spellEnd"/>
      <w:r w:rsidRPr="002D7C87">
        <w:rPr>
          <w:rFonts w:cs="Calibri"/>
        </w:rPr>
        <w:t>)" is associated with Sadhu Bhasa, an older form of Bengali,</w:t>
      </w:r>
      <w:r w:rsidR="00223E27" w:rsidRPr="002D7C87">
        <w:rPr>
          <w:rFonts w:cs="Calibri"/>
        </w:rPr>
        <w:t xml:space="preserve"> </w:t>
      </w:r>
      <w:r w:rsidRPr="002D7C87">
        <w:rPr>
          <w:rFonts w:cs="Calibri"/>
        </w:rPr>
        <w:t>which is less appropriate for modern, easy-to-read texts.</w:t>
      </w:r>
    </w:p>
    <w:p w14:paraId="4A3532D0" w14:textId="77777777" w:rsidR="00223E27" w:rsidRPr="002D7C87" w:rsidRDefault="00223E27" w:rsidP="00271F0A">
      <w:pPr>
        <w:rPr>
          <w:rFonts w:cs="Calibri"/>
        </w:rPr>
      </w:pPr>
    </w:p>
    <w:p w14:paraId="145D5D85" w14:textId="5D13ADFC" w:rsidR="00271F0A" w:rsidRPr="002D7C87" w:rsidRDefault="00271F0A" w:rsidP="00271F0A">
      <w:pPr>
        <w:rPr>
          <w:rFonts w:cs="Calibri"/>
        </w:rPr>
      </w:pPr>
      <w:r w:rsidRPr="002D7C87">
        <w:rPr>
          <w:rFonts w:cs="Calibri"/>
        </w:rPr>
        <w:lastRenderedPageBreak/>
        <w:t xml:space="preserve">Additionally, in the sentence </w:t>
      </w:r>
      <w:r w:rsidRPr="002D7C87">
        <w:rPr>
          <w:rFonts w:cs="Calibri"/>
          <w:i/>
          <w:iCs/>
        </w:rPr>
        <w:t>You can read this booklet with a friend or a doctor or nurse and talk about it with them</w:t>
      </w:r>
      <w:r w:rsidRPr="002D7C87">
        <w:rPr>
          <w:rFonts w:cs="Calibri"/>
        </w:rPr>
        <w:t xml:space="preserve">, the word </w:t>
      </w:r>
      <w:r w:rsidRPr="002D7C87">
        <w:rPr>
          <w:rFonts w:cs="Calibri"/>
          <w:i/>
          <w:iCs/>
        </w:rPr>
        <w:t>nurse</w:t>
      </w:r>
      <w:r w:rsidRPr="002D7C87">
        <w:rPr>
          <w:rFonts w:cs="Calibri"/>
        </w:rPr>
        <w:t xml:space="preserve"> was translated with incorrect grammar, making the</w:t>
      </w:r>
      <w:r w:rsidR="00223E27" w:rsidRPr="002D7C87">
        <w:rPr>
          <w:rFonts w:cs="Calibri"/>
        </w:rPr>
        <w:t xml:space="preserve"> </w:t>
      </w:r>
      <w:r w:rsidRPr="002D7C87">
        <w:rPr>
          <w:rFonts w:cs="Calibri"/>
        </w:rPr>
        <w:t>sentence difficult to understand. These issues highlight areas for refinement to enhance the overall quality of the translation.</w:t>
      </w:r>
    </w:p>
    <w:p w14:paraId="17F1614E" w14:textId="77777777" w:rsidR="00271F0A" w:rsidRPr="002D7C87" w:rsidRDefault="00271F0A" w:rsidP="002655FB">
      <w:pPr>
        <w:rPr>
          <w:rFonts w:cs="Calibri"/>
        </w:rPr>
      </w:pPr>
    </w:p>
    <w:p w14:paraId="4AE5543F" w14:textId="47004726" w:rsidR="002E0F48" w:rsidRPr="002D7C87" w:rsidRDefault="00223E27" w:rsidP="007416B6">
      <w:pPr>
        <w:pStyle w:val="Heading1"/>
      </w:pPr>
      <w:r w:rsidRPr="002D7C87">
        <w:t xml:space="preserve">Supplementary </w:t>
      </w:r>
      <w:r w:rsidR="002E0F48" w:rsidRPr="002D7C87">
        <w:t>Reference</w:t>
      </w:r>
      <w:r w:rsidR="00054C78" w:rsidRPr="002D7C87">
        <w:t>s</w:t>
      </w:r>
    </w:p>
    <w:p w14:paraId="3884816A" w14:textId="1BBDD9F4" w:rsidR="00DF4F66" w:rsidRPr="00DF4F66" w:rsidRDefault="00DF4F66" w:rsidP="00DF4F66">
      <w:pPr>
        <w:pStyle w:val="ListParagraph"/>
        <w:numPr>
          <w:ilvl w:val="0"/>
          <w:numId w:val="15"/>
        </w:numPr>
        <w:ind w:left="357" w:hanging="357"/>
      </w:pPr>
      <w:r w:rsidRPr="00DF4F66">
        <w:t xml:space="preserve">Myeloma UK. Easy Read: How is myeloma treated? </w:t>
      </w:r>
      <w:hyperlink r:id="rId18" w:history="1">
        <w:r w:rsidRPr="00A477BD">
          <w:rPr>
            <w:rStyle w:val="Hyperlink"/>
          </w:rPr>
          <w:t>https://www.myeloma.org.uk/library/easy-read-how-is-myeloma-treated/</w:t>
        </w:r>
      </w:hyperlink>
      <w:r>
        <w:t>. Accessed 11 November 2025.</w:t>
      </w:r>
    </w:p>
    <w:p w14:paraId="4E6583C4" w14:textId="724AF8F1" w:rsidR="00DF4F66" w:rsidRPr="00DF4F66" w:rsidRDefault="00DF4F66" w:rsidP="00DF4F66">
      <w:pPr>
        <w:pStyle w:val="ListParagraph"/>
        <w:numPr>
          <w:ilvl w:val="0"/>
          <w:numId w:val="15"/>
        </w:numPr>
        <w:ind w:left="357" w:hanging="357"/>
      </w:pPr>
      <w:r w:rsidRPr="00DF4F66">
        <w:t xml:space="preserve">Cancer Research UK. Consent forms for SACT (Systemic Anti-Cancer Therapy). Cancer Research UK. September 9, 2016. </w:t>
      </w:r>
      <w:hyperlink r:id="rId19" w:history="1">
        <w:r w:rsidRPr="00A477BD">
          <w:rPr>
            <w:rStyle w:val="Hyperlink"/>
          </w:rPr>
          <w:t>https://www.cancerresearchuk.org/health-professional/treatment-and-other-post-diagnosis-issues/consent-forms-for-sact-systemic-anti-cancer-therapy</w:t>
        </w:r>
      </w:hyperlink>
      <w:r>
        <w:t>. Accessed 11 November 2025.</w:t>
      </w:r>
    </w:p>
    <w:p w14:paraId="277CE240" w14:textId="191E2CFE" w:rsidR="00DF4F66" w:rsidRPr="00DF4F66" w:rsidRDefault="00DF4F66" w:rsidP="00DF4F66">
      <w:pPr>
        <w:pStyle w:val="ListParagraph"/>
        <w:numPr>
          <w:ilvl w:val="0"/>
          <w:numId w:val="15"/>
        </w:numPr>
        <w:ind w:left="357" w:hanging="357"/>
      </w:pPr>
      <w:r w:rsidRPr="00DF4F66">
        <w:rPr>
          <w:lang w:val="it-IT"/>
        </w:rPr>
        <w:t xml:space="preserve">Staniszewska S, Brett J, Simera I, et al. </w:t>
      </w:r>
      <w:r w:rsidRPr="00DF4F66">
        <w:t>GRIPP2 reporting checklists: tools to improve reporting of patient and public involvement in research. BMJ. 2017;</w:t>
      </w:r>
      <w:proofErr w:type="gramStart"/>
      <w:r w:rsidRPr="00DF4F66">
        <w:t>358:j</w:t>
      </w:r>
      <w:proofErr w:type="gramEnd"/>
      <w:r w:rsidRPr="00DF4F66">
        <w:t>3453</w:t>
      </w:r>
      <w:r w:rsidR="00733B06">
        <w:t xml:space="preserve">; </w:t>
      </w:r>
      <w:r w:rsidRPr="00DF4F66">
        <w:t>doi:10.1136/</w:t>
      </w:r>
      <w:proofErr w:type="gramStart"/>
      <w:r w:rsidRPr="00DF4F66">
        <w:t>bmj.j</w:t>
      </w:r>
      <w:proofErr w:type="gramEnd"/>
      <w:r w:rsidRPr="00DF4F66">
        <w:t>3453</w:t>
      </w:r>
    </w:p>
    <w:p w14:paraId="17F718AD" w14:textId="7AFFC84D" w:rsidR="00F705E7" w:rsidRPr="002D7C87" w:rsidRDefault="00F705E7" w:rsidP="001F7FA6">
      <w:pPr>
        <w:pStyle w:val="Bibliography"/>
        <w:rPr>
          <w:rFonts w:cs="Calibri"/>
        </w:rPr>
      </w:pPr>
    </w:p>
    <w:p w14:paraId="336407B4" w14:textId="63B82745" w:rsidR="00F705E7" w:rsidRPr="002D7C87" w:rsidRDefault="00F705E7" w:rsidP="002655FB">
      <w:pPr>
        <w:rPr>
          <w:rFonts w:cs="Calibri"/>
        </w:rPr>
        <w:sectPr w:rsidR="00F705E7" w:rsidRPr="002D7C87" w:rsidSect="002D7C87">
          <w:footerReference w:type="even" r:id="rId20"/>
          <w:footerReference w:type="default" r:id="rId21"/>
          <w:pgSz w:w="11906" w:h="16838"/>
          <w:pgMar w:top="1440" w:right="1440" w:bottom="1440" w:left="1440" w:header="709" w:footer="709" w:gutter="0"/>
          <w:lnNumType w:countBy="1" w:restart="continuous"/>
          <w:cols w:space="708"/>
          <w:docGrid w:linePitch="360"/>
        </w:sectPr>
      </w:pPr>
    </w:p>
    <w:p w14:paraId="13EE7AAF" w14:textId="7F9EAAAC" w:rsidR="002655FB" w:rsidRPr="002D7C87" w:rsidRDefault="002655FB" w:rsidP="00AC73F3">
      <w:pPr>
        <w:pStyle w:val="Heading1"/>
      </w:pPr>
      <w:r w:rsidRPr="002D7C87">
        <w:lastRenderedPageBreak/>
        <w:t>Supplementary Tables and Figures</w:t>
      </w:r>
    </w:p>
    <w:p w14:paraId="3EE5560E" w14:textId="77777777" w:rsidR="002655FB" w:rsidRPr="002D7C87" w:rsidRDefault="002655FB" w:rsidP="002655FB">
      <w:pPr>
        <w:rPr>
          <w:rFonts w:cs="Calibri"/>
          <w:b/>
          <w:bCs/>
        </w:rPr>
      </w:pPr>
    </w:p>
    <w:p w14:paraId="5982B9C6" w14:textId="3A60FDAE" w:rsidR="005C170A" w:rsidRPr="002D7C87" w:rsidRDefault="005C170A" w:rsidP="005C170A">
      <w:pPr>
        <w:rPr>
          <w:rFonts w:cs="Calibri"/>
        </w:rPr>
      </w:pPr>
      <w:r w:rsidRPr="00EB4A83">
        <w:rPr>
          <w:b/>
          <w:bCs/>
        </w:rPr>
        <w:t>Supplementary Table 1</w:t>
      </w:r>
      <w:r w:rsidR="00EB4A83" w:rsidRPr="00EB4A83">
        <w:rPr>
          <w:b/>
          <w:bCs/>
        </w:rPr>
        <w:t xml:space="preserve">: </w:t>
      </w:r>
      <w:r w:rsidRPr="002D7C87">
        <w:rPr>
          <w:rFonts w:cs="Calibri"/>
        </w:rPr>
        <w:t>Summary demographic information of included participants, stratified by randomisation status in both Booklet Component and Consent Component. Values are % of participants</w:t>
      </w:r>
    </w:p>
    <w:p w14:paraId="071DBD65" w14:textId="77777777" w:rsidR="005C170A" w:rsidRPr="002D7C87" w:rsidRDefault="005C170A" w:rsidP="005C170A">
      <w:pPr>
        <w:rPr>
          <w:rFonts w:cs="Calibri"/>
          <w:b/>
          <w:bCs/>
        </w:rPr>
      </w:pPr>
    </w:p>
    <w:tbl>
      <w:tblPr>
        <w:tblW w:w="15304" w:type="dxa"/>
        <w:tblLook w:val="04A0" w:firstRow="1" w:lastRow="0" w:firstColumn="1" w:lastColumn="0" w:noHBand="0" w:noVBand="1"/>
      </w:tblPr>
      <w:tblGrid>
        <w:gridCol w:w="1633"/>
        <w:gridCol w:w="2336"/>
        <w:gridCol w:w="2127"/>
        <w:gridCol w:w="2126"/>
        <w:gridCol w:w="1984"/>
        <w:gridCol w:w="1843"/>
        <w:gridCol w:w="1701"/>
        <w:gridCol w:w="1559"/>
      </w:tblGrid>
      <w:tr w:rsidR="005C170A" w:rsidRPr="002D7C87" w14:paraId="4EA7FA60" w14:textId="77777777" w:rsidTr="00EC1BB6">
        <w:trPr>
          <w:trHeight w:val="320"/>
        </w:trPr>
        <w:tc>
          <w:tcPr>
            <w:tcW w:w="1628" w:type="dxa"/>
            <w:tcBorders>
              <w:top w:val="single" w:sz="4" w:space="0" w:color="auto"/>
              <w:left w:val="single" w:sz="4" w:space="0" w:color="auto"/>
              <w:bottom w:val="nil"/>
              <w:right w:val="nil"/>
            </w:tcBorders>
            <w:vAlign w:val="center"/>
            <w:hideMark/>
          </w:tcPr>
          <w:p w14:paraId="1AF784B7" w14:textId="77777777"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 </w:t>
            </w:r>
          </w:p>
        </w:tc>
        <w:tc>
          <w:tcPr>
            <w:tcW w:w="2336" w:type="dxa"/>
            <w:tcBorders>
              <w:top w:val="single" w:sz="4" w:space="0" w:color="auto"/>
              <w:left w:val="single" w:sz="4" w:space="0" w:color="auto"/>
              <w:bottom w:val="nil"/>
              <w:right w:val="single" w:sz="4" w:space="0" w:color="auto"/>
            </w:tcBorders>
            <w:noWrap/>
            <w:vAlign w:val="bottom"/>
            <w:hideMark/>
          </w:tcPr>
          <w:p w14:paraId="24AB1CBA"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 </w:t>
            </w:r>
          </w:p>
        </w:tc>
        <w:tc>
          <w:tcPr>
            <w:tcW w:w="2127" w:type="dxa"/>
            <w:tcBorders>
              <w:top w:val="single" w:sz="4" w:space="0" w:color="auto"/>
              <w:left w:val="nil"/>
              <w:right w:val="single" w:sz="4" w:space="0" w:color="auto"/>
            </w:tcBorders>
            <w:shd w:val="clear" w:color="000000" w:fill="FBE2D5"/>
            <w:noWrap/>
            <w:vAlign w:val="bottom"/>
            <w:hideMark/>
          </w:tcPr>
          <w:p w14:paraId="5379C08B"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 </w:t>
            </w:r>
          </w:p>
        </w:tc>
        <w:tc>
          <w:tcPr>
            <w:tcW w:w="4110" w:type="dxa"/>
            <w:gridSpan w:val="2"/>
            <w:tcBorders>
              <w:top w:val="single" w:sz="4" w:space="0" w:color="auto"/>
              <w:left w:val="single" w:sz="4" w:space="0" w:color="auto"/>
              <w:bottom w:val="nil"/>
              <w:right w:val="single" w:sz="4" w:space="0" w:color="000000"/>
            </w:tcBorders>
            <w:shd w:val="clear" w:color="000000" w:fill="FBE2D5"/>
            <w:noWrap/>
            <w:vAlign w:val="bottom"/>
            <w:hideMark/>
          </w:tcPr>
          <w:p w14:paraId="00DC7E73"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Booklet Randomisation</w:t>
            </w:r>
          </w:p>
        </w:tc>
        <w:tc>
          <w:tcPr>
            <w:tcW w:w="1843" w:type="dxa"/>
            <w:tcBorders>
              <w:top w:val="single" w:sz="4" w:space="0" w:color="auto"/>
              <w:left w:val="nil"/>
              <w:bottom w:val="nil"/>
              <w:right w:val="single" w:sz="4" w:space="0" w:color="auto"/>
            </w:tcBorders>
            <w:shd w:val="clear" w:color="000000" w:fill="DAF2D0"/>
            <w:noWrap/>
            <w:vAlign w:val="bottom"/>
            <w:hideMark/>
          </w:tcPr>
          <w:p w14:paraId="25EBAF1C" w14:textId="77777777"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 </w:t>
            </w:r>
          </w:p>
        </w:tc>
        <w:tc>
          <w:tcPr>
            <w:tcW w:w="3260" w:type="dxa"/>
            <w:gridSpan w:val="2"/>
            <w:tcBorders>
              <w:top w:val="single" w:sz="4" w:space="0" w:color="auto"/>
              <w:left w:val="single" w:sz="4" w:space="0" w:color="auto"/>
              <w:bottom w:val="nil"/>
              <w:right w:val="single" w:sz="4" w:space="0" w:color="000000"/>
            </w:tcBorders>
            <w:shd w:val="clear" w:color="000000" w:fill="DAF2D0"/>
            <w:noWrap/>
            <w:vAlign w:val="bottom"/>
            <w:hideMark/>
          </w:tcPr>
          <w:p w14:paraId="5DA99AE4"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Consent Randomisation</w:t>
            </w:r>
          </w:p>
        </w:tc>
      </w:tr>
      <w:tr w:rsidR="005C170A" w:rsidRPr="002D7C87" w14:paraId="385ECA9B" w14:textId="77777777" w:rsidTr="00EC1BB6">
        <w:trPr>
          <w:trHeight w:val="580"/>
        </w:trPr>
        <w:tc>
          <w:tcPr>
            <w:tcW w:w="1628" w:type="dxa"/>
            <w:tcBorders>
              <w:top w:val="nil"/>
              <w:left w:val="single" w:sz="4" w:space="0" w:color="auto"/>
              <w:bottom w:val="nil"/>
              <w:right w:val="nil"/>
            </w:tcBorders>
            <w:vAlign w:val="center"/>
            <w:hideMark/>
          </w:tcPr>
          <w:p w14:paraId="1D3D196E"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Variable</w:t>
            </w:r>
          </w:p>
        </w:tc>
        <w:tc>
          <w:tcPr>
            <w:tcW w:w="2336" w:type="dxa"/>
            <w:tcBorders>
              <w:top w:val="nil"/>
              <w:left w:val="single" w:sz="4" w:space="0" w:color="auto"/>
              <w:bottom w:val="nil"/>
              <w:right w:val="single" w:sz="4" w:space="0" w:color="auto"/>
            </w:tcBorders>
            <w:vAlign w:val="bottom"/>
            <w:hideMark/>
          </w:tcPr>
          <w:p w14:paraId="4C0561A9"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Response</w:t>
            </w:r>
          </w:p>
        </w:tc>
        <w:tc>
          <w:tcPr>
            <w:tcW w:w="2127" w:type="dxa"/>
            <w:tcBorders>
              <w:top w:val="nil"/>
              <w:left w:val="nil"/>
              <w:bottom w:val="single" w:sz="4" w:space="0" w:color="auto"/>
              <w:right w:val="single" w:sz="4" w:space="0" w:color="auto"/>
            </w:tcBorders>
            <w:shd w:val="clear" w:color="000000" w:fill="FBE2D5"/>
            <w:vAlign w:val="bottom"/>
            <w:hideMark/>
          </w:tcPr>
          <w:p w14:paraId="05805BED"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All Booklet Component</w:t>
            </w:r>
          </w:p>
        </w:tc>
        <w:tc>
          <w:tcPr>
            <w:tcW w:w="2126" w:type="dxa"/>
            <w:tcBorders>
              <w:top w:val="nil"/>
              <w:left w:val="single" w:sz="4" w:space="0" w:color="auto"/>
              <w:bottom w:val="nil"/>
              <w:right w:val="nil"/>
            </w:tcBorders>
            <w:shd w:val="clear" w:color="000000" w:fill="FBE2D5"/>
            <w:vAlign w:val="bottom"/>
            <w:hideMark/>
          </w:tcPr>
          <w:p w14:paraId="28534A2C"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Machine Translation</w:t>
            </w:r>
          </w:p>
        </w:tc>
        <w:tc>
          <w:tcPr>
            <w:tcW w:w="1984" w:type="dxa"/>
            <w:tcBorders>
              <w:top w:val="nil"/>
              <w:left w:val="nil"/>
              <w:bottom w:val="nil"/>
              <w:right w:val="single" w:sz="4" w:space="0" w:color="auto"/>
            </w:tcBorders>
            <w:shd w:val="clear" w:color="000000" w:fill="FBE2D5"/>
            <w:vAlign w:val="bottom"/>
            <w:hideMark/>
          </w:tcPr>
          <w:p w14:paraId="1E5140DE" w14:textId="19014C68" w:rsidR="005C170A" w:rsidRPr="002D7C87" w:rsidRDefault="006743AF"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Professional</w:t>
            </w:r>
            <w:r w:rsidR="005C170A" w:rsidRPr="002D7C87">
              <w:rPr>
                <w:rFonts w:eastAsia="Times New Roman" w:cs="Calibri"/>
                <w:b/>
                <w:bCs/>
                <w:color w:val="000000"/>
                <w:kern w:val="0"/>
                <w:lang w:eastAsia="en-GB"/>
                <w14:ligatures w14:val="none"/>
              </w:rPr>
              <w:t xml:space="preserve"> Translation</w:t>
            </w:r>
          </w:p>
        </w:tc>
        <w:tc>
          <w:tcPr>
            <w:tcW w:w="1843" w:type="dxa"/>
            <w:tcBorders>
              <w:top w:val="nil"/>
              <w:left w:val="nil"/>
              <w:bottom w:val="nil"/>
              <w:right w:val="single" w:sz="4" w:space="0" w:color="auto"/>
            </w:tcBorders>
            <w:shd w:val="clear" w:color="000000" w:fill="DAF2D0"/>
            <w:vAlign w:val="bottom"/>
            <w:hideMark/>
          </w:tcPr>
          <w:p w14:paraId="2E32580C"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All Consent Component</w:t>
            </w:r>
          </w:p>
        </w:tc>
        <w:tc>
          <w:tcPr>
            <w:tcW w:w="1701" w:type="dxa"/>
            <w:tcBorders>
              <w:top w:val="nil"/>
              <w:left w:val="single" w:sz="4" w:space="0" w:color="auto"/>
              <w:bottom w:val="nil"/>
              <w:right w:val="nil"/>
            </w:tcBorders>
            <w:shd w:val="clear" w:color="000000" w:fill="DAF2D0"/>
            <w:vAlign w:val="bottom"/>
            <w:hideMark/>
          </w:tcPr>
          <w:p w14:paraId="5C687E34" w14:textId="3E468BF2"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English</w:t>
            </w:r>
            <w:r w:rsidR="006743AF" w:rsidRPr="002D7C87">
              <w:rPr>
                <w:rFonts w:eastAsia="Times New Roman" w:cs="Calibri"/>
                <w:b/>
                <w:bCs/>
                <w:color w:val="000000"/>
                <w:kern w:val="0"/>
                <w:lang w:eastAsia="en-GB"/>
                <w14:ligatures w14:val="none"/>
              </w:rPr>
              <w:t>-only</w:t>
            </w:r>
            <w:r w:rsidRPr="002D7C87">
              <w:rPr>
                <w:rFonts w:eastAsia="Times New Roman" w:cs="Calibri"/>
                <w:b/>
                <w:bCs/>
                <w:color w:val="000000"/>
                <w:kern w:val="0"/>
                <w:lang w:eastAsia="en-GB"/>
                <w14:ligatures w14:val="none"/>
              </w:rPr>
              <w:t xml:space="preserve"> consent form</w:t>
            </w:r>
          </w:p>
        </w:tc>
        <w:tc>
          <w:tcPr>
            <w:tcW w:w="1559" w:type="dxa"/>
            <w:tcBorders>
              <w:top w:val="nil"/>
              <w:left w:val="nil"/>
              <w:bottom w:val="nil"/>
              <w:right w:val="single" w:sz="4" w:space="0" w:color="auto"/>
            </w:tcBorders>
            <w:shd w:val="clear" w:color="000000" w:fill="DAF2D0"/>
            <w:vAlign w:val="bottom"/>
            <w:hideMark/>
          </w:tcPr>
          <w:p w14:paraId="2FBE736C"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Bilingual consent form</w:t>
            </w:r>
          </w:p>
        </w:tc>
      </w:tr>
      <w:tr w:rsidR="005C170A" w:rsidRPr="002D7C87" w14:paraId="0058E741" w14:textId="77777777" w:rsidTr="00EC1BB6">
        <w:trPr>
          <w:trHeight w:val="320"/>
        </w:trPr>
        <w:tc>
          <w:tcPr>
            <w:tcW w:w="1628" w:type="dxa"/>
            <w:tcBorders>
              <w:top w:val="single" w:sz="4" w:space="0" w:color="auto"/>
              <w:left w:val="single" w:sz="4" w:space="0" w:color="auto"/>
              <w:bottom w:val="single" w:sz="4" w:space="0" w:color="auto"/>
              <w:right w:val="nil"/>
            </w:tcBorders>
            <w:vAlign w:val="center"/>
            <w:hideMark/>
          </w:tcPr>
          <w:p w14:paraId="278F6404" w14:textId="77777777" w:rsidR="005C170A" w:rsidRPr="002D7C87" w:rsidRDefault="005C170A" w:rsidP="007416B6">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N</w:t>
            </w:r>
          </w:p>
        </w:tc>
        <w:tc>
          <w:tcPr>
            <w:tcW w:w="2336" w:type="dxa"/>
            <w:tcBorders>
              <w:top w:val="single" w:sz="4" w:space="0" w:color="auto"/>
              <w:left w:val="single" w:sz="4" w:space="0" w:color="auto"/>
              <w:bottom w:val="single" w:sz="4" w:space="0" w:color="auto"/>
              <w:right w:val="single" w:sz="4" w:space="0" w:color="auto"/>
            </w:tcBorders>
            <w:noWrap/>
            <w:vAlign w:val="bottom"/>
            <w:hideMark/>
          </w:tcPr>
          <w:p w14:paraId="42FCC0C6" w14:textId="77777777" w:rsidR="005C170A" w:rsidRPr="002D7C87" w:rsidRDefault="005C170A" w:rsidP="007416B6">
            <w:pPr>
              <w:spacing w:line="240" w:lineRule="auto"/>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 </w:t>
            </w:r>
          </w:p>
        </w:tc>
        <w:tc>
          <w:tcPr>
            <w:tcW w:w="2127" w:type="dxa"/>
            <w:tcBorders>
              <w:top w:val="single" w:sz="4" w:space="0" w:color="auto"/>
              <w:left w:val="nil"/>
              <w:bottom w:val="single" w:sz="4" w:space="0" w:color="auto"/>
              <w:right w:val="single" w:sz="4" w:space="0" w:color="auto"/>
            </w:tcBorders>
            <w:shd w:val="clear" w:color="000000" w:fill="FBE2D5"/>
            <w:noWrap/>
            <w:vAlign w:val="bottom"/>
            <w:hideMark/>
          </w:tcPr>
          <w:p w14:paraId="757C452B" w14:textId="77777777" w:rsidR="005C170A" w:rsidRPr="002D7C87" w:rsidRDefault="005C170A" w:rsidP="007416B6">
            <w:pPr>
              <w:spacing w:line="240" w:lineRule="auto"/>
              <w:jc w:val="right"/>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121</w:t>
            </w:r>
          </w:p>
        </w:tc>
        <w:tc>
          <w:tcPr>
            <w:tcW w:w="2126" w:type="dxa"/>
            <w:tcBorders>
              <w:top w:val="single" w:sz="4" w:space="0" w:color="auto"/>
              <w:left w:val="single" w:sz="4" w:space="0" w:color="auto"/>
              <w:bottom w:val="single" w:sz="4" w:space="0" w:color="auto"/>
              <w:right w:val="nil"/>
            </w:tcBorders>
            <w:shd w:val="clear" w:color="000000" w:fill="FBE2D5"/>
            <w:noWrap/>
            <w:vAlign w:val="bottom"/>
            <w:hideMark/>
          </w:tcPr>
          <w:p w14:paraId="3B766946" w14:textId="77777777" w:rsidR="005C170A" w:rsidRPr="002D7C87" w:rsidRDefault="005C170A" w:rsidP="007416B6">
            <w:pPr>
              <w:spacing w:line="240" w:lineRule="auto"/>
              <w:jc w:val="right"/>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61</w:t>
            </w:r>
          </w:p>
        </w:tc>
        <w:tc>
          <w:tcPr>
            <w:tcW w:w="1984" w:type="dxa"/>
            <w:tcBorders>
              <w:top w:val="single" w:sz="4" w:space="0" w:color="auto"/>
              <w:left w:val="nil"/>
              <w:bottom w:val="single" w:sz="4" w:space="0" w:color="auto"/>
              <w:right w:val="single" w:sz="4" w:space="0" w:color="auto"/>
            </w:tcBorders>
            <w:shd w:val="clear" w:color="000000" w:fill="FBE2D5"/>
            <w:noWrap/>
            <w:vAlign w:val="bottom"/>
            <w:hideMark/>
          </w:tcPr>
          <w:p w14:paraId="48B1766D" w14:textId="77777777" w:rsidR="005C170A" w:rsidRPr="002D7C87" w:rsidRDefault="005C170A" w:rsidP="007416B6">
            <w:pPr>
              <w:spacing w:line="240" w:lineRule="auto"/>
              <w:jc w:val="right"/>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60</w:t>
            </w:r>
          </w:p>
        </w:tc>
        <w:tc>
          <w:tcPr>
            <w:tcW w:w="1843" w:type="dxa"/>
            <w:tcBorders>
              <w:top w:val="single" w:sz="4" w:space="0" w:color="auto"/>
              <w:left w:val="nil"/>
              <w:bottom w:val="single" w:sz="4" w:space="0" w:color="auto"/>
              <w:right w:val="single" w:sz="4" w:space="0" w:color="auto"/>
            </w:tcBorders>
            <w:shd w:val="clear" w:color="000000" w:fill="DAF2D0"/>
            <w:noWrap/>
            <w:vAlign w:val="bottom"/>
            <w:hideMark/>
          </w:tcPr>
          <w:p w14:paraId="5B18FED3" w14:textId="77777777" w:rsidR="005C170A" w:rsidRPr="002D7C87" w:rsidRDefault="005C170A" w:rsidP="007416B6">
            <w:pPr>
              <w:spacing w:line="240" w:lineRule="auto"/>
              <w:jc w:val="right"/>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91</w:t>
            </w:r>
          </w:p>
        </w:tc>
        <w:tc>
          <w:tcPr>
            <w:tcW w:w="1701" w:type="dxa"/>
            <w:tcBorders>
              <w:top w:val="single" w:sz="4" w:space="0" w:color="auto"/>
              <w:left w:val="single" w:sz="4" w:space="0" w:color="auto"/>
              <w:bottom w:val="single" w:sz="4" w:space="0" w:color="auto"/>
              <w:right w:val="nil"/>
            </w:tcBorders>
            <w:shd w:val="clear" w:color="000000" w:fill="DAF2D0"/>
            <w:noWrap/>
            <w:vAlign w:val="bottom"/>
            <w:hideMark/>
          </w:tcPr>
          <w:p w14:paraId="68F4CC93" w14:textId="77777777" w:rsidR="005C170A" w:rsidRPr="002D7C87" w:rsidRDefault="005C170A" w:rsidP="007416B6">
            <w:pPr>
              <w:spacing w:line="240" w:lineRule="auto"/>
              <w:jc w:val="right"/>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46</w:t>
            </w:r>
          </w:p>
        </w:tc>
        <w:tc>
          <w:tcPr>
            <w:tcW w:w="1559" w:type="dxa"/>
            <w:tcBorders>
              <w:top w:val="single" w:sz="4" w:space="0" w:color="auto"/>
              <w:left w:val="nil"/>
              <w:bottom w:val="single" w:sz="4" w:space="0" w:color="auto"/>
              <w:right w:val="single" w:sz="4" w:space="0" w:color="auto"/>
            </w:tcBorders>
            <w:shd w:val="clear" w:color="000000" w:fill="DAF2D0"/>
            <w:noWrap/>
            <w:vAlign w:val="bottom"/>
            <w:hideMark/>
          </w:tcPr>
          <w:p w14:paraId="12592123" w14:textId="77777777" w:rsidR="005C170A" w:rsidRPr="002D7C87" w:rsidRDefault="005C170A" w:rsidP="007416B6">
            <w:pPr>
              <w:spacing w:line="240" w:lineRule="auto"/>
              <w:jc w:val="right"/>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45</w:t>
            </w:r>
          </w:p>
        </w:tc>
      </w:tr>
      <w:tr w:rsidR="005C170A" w:rsidRPr="002D7C87" w14:paraId="37E3EAB6" w14:textId="77777777" w:rsidTr="00EC1BB6">
        <w:trPr>
          <w:trHeight w:val="320"/>
        </w:trPr>
        <w:tc>
          <w:tcPr>
            <w:tcW w:w="1628" w:type="dxa"/>
            <w:vMerge w:val="restart"/>
            <w:tcBorders>
              <w:top w:val="nil"/>
              <w:left w:val="single" w:sz="4" w:space="0" w:color="auto"/>
              <w:bottom w:val="single" w:sz="4" w:space="0" w:color="000000"/>
              <w:right w:val="nil"/>
            </w:tcBorders>
            <w:vAlign w:val="center"/>
            <w:hideMark/>
          </w:tcPr>
          <w:p w14:paraId="6DAC4A2E" w14:textId="77777777"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Gender</w:t>
            </w:r>
          </w:p>
        </w:tc>
        <w:tc>
          <w:tcPr>
            <w:tcW w:w="2336" w:type="dxa"/>
            <w:tcBorders>
              <w:top w:val="nil"/>
              <w:left w:val="single" w:sz="4" w:space="0" w:color="auto"/>
              <w:bottom w:val="nil"/>
              <w:right w:val="single" w:sz="4" w:space="0" w:color="auto"/>
            </w:tcBorders>
            <w:noWrap/>
            <w:vAlign w:val="bottom"/>
            <w:hideMark/>
          </w:tcPr>
          <w:p w14:paraId="05A6AEF1"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Male</w:t>
            </w:r>
          </w:p>
        </w:tc>
        <w:tc>
          <w:tcPr>
            <w:tcW w:w="2127" w:type="dxa"/>
            <w:tcBorders>
              <w:top w:val="nil"/>
              <w:left w:val="nil"/>
              <w:bottom w:val="nil"/>
              <w:right w:val="single" w:sz="4" w:space="0" w:color="auto"/>
            </w:tcBorders>
            <w:shd w:val="clear" w:color="000000" w:fill="FBE2D5"/>
            <w:noWrap/>
            <w:vAlign w:val="bottom"/>
            <w:hideMark/>
          </w:tcPr>
          <w:p w14:paraId="6692086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57.9%</w:t>
            </w:r>
          </w:p>
        </w:tc>
        <w:tc>
          <w:tcPr>
            <w:tcW w:w="2126" w:type="dxa"/>
            <w:tcBorders>
              <w:top w:val="nil"/>
              <w:left w:val="single" w:sz="4" w:space="0" w:color="auto"/>
              <w:bottom w:val="nil"/>
              <w:right w:val="nil"/>
            </w:tcBorders>
            <w:shd w:val="clear" w:color="000000" w:fill="FBE2D5"/>
            <w:noWrap/>
            <w:vAlign w:val="bottom"/>
            <w:hideMark/>
          </w:tcPr>
          <w:p w14:paraId="0B5826E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57.4%</w:t>
            </w:r>
          </w:p>
        </w:tc>
        <w:tc>
          <w:tcPr>
            <w:tcW w:w="1984" w:type="dxa"/>
            <w:tcBorders>
              <w:top w:val="nil"/>
              <w:left w:val="nil"/>
              <w:bottom w:val="nil"/>
              <w:right w:val="single" w:sz="4" w:space="0" w:color="auto"/>
            </w:tcBorders>
            <w:shd w:val="clear" w:color="000000" w:fill="FBE2D5"/>
            <w:noWrap/>
            <w:vAlign w:val="bottom"/>
            <w:hideMark/>
          </w:tcPr>
          <w:p w14:paraId="4FD8AE6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58.3%</w:t>
            </w:r>
          </w:p>
        </w:tc>
        <w:tc>
          <w:tcPr>
            <w:tcW w:w="1843" w:type="dxa"/>
            <w:tcBorders>
              <w:top w:val="nil"/>
              <w:left w:val="nil"/>
              <w:bottom w:val="nil"/>
              <w:right w:val="single" w:sz="4" w:space="0" w:color="auto"/>
            </w:tcBorders>
            <w:shd w:val="clear" w:color="000000" w:fill="DAF2D0"/>
            <w:noWrap/>
            <w:vAlign w:val="bottom"/>
            <w:hideMark/>
          </w:tcPr>
          <w:p w14:paraId="46A77A6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53.3%</w:t>
            </w:r>
          </w:p>
        </w:tc>
        <w:tc>
          <w:tcPr>
            <w:tcW w:w="1701" w:type="dxa"/>
            <w:tcBorders>
              <w:top w:val="nil"/>
              <w:left w:val="single" w:sz="4" w:space="0" w:color="auto"/>
              <w:bottom w:val="nil"/>
              <w:right w:val="nil"/>
            </w:tcBorders>
            <w:shd w:val="clear" w:color="000000" w:fill="DAF2D0"/>
            <w:noWrap/>
            <w:vAlign w:val="bottom"/>
            <w:hideMark/>
          </w:tcPr>
          <w:p w14:paraId="220F010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58.7%</w:t>
            </w:r>
          </w:p>
        </w:tc>
        <w:tc>
          <w:tcPr>
            <w:tcW w:w="1559" w:type="dxa"/>
            <w:tcBorders>
              <w:top w:val="nil"/>
              <w:left w:val="nil"/>
              <w:bottom w:val="nil"/>
              <w:right w:val="single" w:sz="4" w:space="0" w:color="auto"/>
            </w:tcBorders>
            <w:shd w:val="clear" w:color="000000" w:fill="DAF2D0"/>
            <w:noWrap/>
            <w:vAlign w:val="bottom"/>
            <w:hideMark/>
          </w:tcPr>
          <w:p w14:paraId="34A84EC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47.7%</w:t>
            </w:r>
          </w:p>
        </w:tc>
      </w:tr>
      <w:tr w:rsidR="005C170A" w:rsidRPr="002D7C87" w14:paraId="4D3FD2F3"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3DB01299"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single" w:sz="4" w:space="0" w:color="auto"/>
              <w:right w:val="single" w:sz="4" w:space="0" w:color="auto"/>
            </w:tcBorders>
            <w:noWrap/>
            <w:vAlign w:val="bottom"/>
            <w:hideMark/>
          </w:tcPr>
          <w:p w14:paraId="26C64030"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Female</w:t>
            </w:r>
          </w:p>
        </w:tc>
        <w:tc>
          <w:tcPr>
            <w:tcW w:w="2127" w:type="dxa"/>
            <w:tcBorders>
              <w:top w:val="nil"/>
              <w:left w:val="nil"/>
              <w:bottom w:val="single" w:sz="4" w:space="0" w:color="auto"/>
              <w:right w:val="single" w:sz="4" w:space="0" w:color="auto"/>
            </w:tcBorders>
            <w:shd w:val="clear" w:color="000000" w:fill="FBE2D5"/>
            <w:noWrap/>
            <w:vAlign w:val="bottom"/>
            <w:hideMark/>
          </w:tcPr>
          <w:p w14:paraId="1E994BA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42.1%</w:t>
            </w:r>
          </w:p>
        </w:tc>
        <w:tc>
          <w:tcPr>
            <w:tcW w:w="2126" w:type="dxa"/>
            <w:tcBorders>
              <w:top w:val="nil"/>
              <w:left w:val="single" w:sz="4" w:space="0" w:color="auto"/>
              <w:bottom w:val="single" w:sz="4" w:space="0" w:color="auto"/>
              <w:right w:val="nil"/>
            </w:tcBorders>
            <w:shd w:val="clear" w:color="000000" w:fill="FBE2D5"/>
            <w:noWrap/>
            <w:vAlign w:val="bottom"/>
            <w:hideMark/>
          </w:tcPr>
          <w:p w14:paraId="79F813D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42.6%</w:t>
            </w:r>
          </w:p>
        </w:tc>
        <w:tc>
          <w:tcPr>
            <w:tcW w:w="1984" w:type="dxa"/>
            <w:tcBorders>
              <w:top w:val="nil"/>
              <w:left w:val="nil"/>
              <w:bottom w:val="single" w:sz="4" w:space="0" w:color="auto"/>
              <w:right w:val="single" w:sz="4" w:space="0" w:color="auto"/>
            </w:tcBorders>
            <w:shd w:val="clear" w:color="000000" w:fill="FBE2D5"/>
            <w:noWrap/>
            <w:vAlign w:val="bottom"/>
            <w:hideMark/>
          </w:tcPr>
          <w:p w14:paraId="3D1D241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41.7%</w:t>
            </w:r>
          </w:p>
        </w:tc>
        <w:tc>
          <w:tcPr>
            <w:tcW w:w="1843" w:type="dxa"/>
            <w:tcBorders>
              <w:top w:val="nil"/>
              <w:left w:val="nil"/>
              <w:bottom w:val="single" w:sz="4" w:space="0" w:color="auto"/>
              <w:right w:val="single" w:sz="4" w:space="0" w:color="auto"/>
            </w:tcBorders>
            <w:shd w:val="clear" w:color="000000" w:fill="DAF2D0"/>
            <w:noWrap/>
            <w:vAlign w:val="bottom"/>
            <w:hideMark/>
          </w:tcPr>
          <w:p w14:paraId="21FDBD0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46.7%</w:t>
            </w:r>
          </w:p>
        </w:tc>
        <w:tc>
          <w:tcPr>
            <w:tcW w:w="1701" w:type="dxa"/>
            <w:tcBorders>
              <w:top w:val="nil"/>
              <w:left w:val="single" w:sz="4" w:space="0" w:color="auto"/>
              <w:bottom w:val="single" w:sz="4" w:space="0" w:color="auto"/>
              <w:right w:val="nil"/>
            </w:tcBorders>
            <w:shd w:val="clear" w:color="000000" w:fill="DAF2D0"/>
            <w:noWrap/>
            <w:vAlign w:val="bottom"/>
            <w:hideMark/>
          </w:tcPr>
          <w:p w14:paraId="1E48898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41.3%</w:t>
            </w:r>
          </w:p>
        </w:tc>
        <w:tc>
          <w:tcPr>
            <w:tcW w:w="1559" w:type="dxa"/>
            <w:tcBorders>
              <w:top w:val="nil"/>
              <w:left w:val="nil"/>
              <w:bottom w:val="single" w:sz="4" w:space="0" w:color="auto"/>
              <w:right w:val="single" w:sz="4" w:space="0" w:color="auto"/>
            </w:tcBorders>
            <w:shd w:val="clear" w:color="000000" w:fill="DAF2D0"/>
            <w:noWrap/>
            <w:vAlign w:val="bottom"/>
            <w:hideMark/>
          </w:tcPr>
          <w:p w14:paraId="5FD0184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52.3%</w:t>
            </w:r>
          </w:p>
        </w:tc>
      </w:tr>
      <w:tr w:rsidR="005C170A" w:rsidRPr="002D7C87" w14:paraId="2603C6AA" w14:textId="77777777" w:rsidTr="00EC1BB6">
        <w:trPr>
          <w:trHeight w:val="320"/>
        </w:trPr>
        <w:tc>
          <w:tcPr>
            <w:tcW w:w="1628" w:type="dxa"/>
            <w:vMerge w:val="restart"/>
            <w:tcBorders>
              <w:top w:val="nil"/>
              <w:left w:val="single" w:sz="4" w:space="0" w:color="auto"/>
              <w:bottom w:val="single" w:sz="4" w:space="0" w:color="000000"/>
              <w:right w:val="nil"/>
            </w:tcBorders>
            <w:vAlign w:val="center"/>
            <w:hideMark/>
          </w:tcPr>
          <w:p w14:paraId="248CA3D9" w14:textId="77777777"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Age</w:t>
            </w:r>
          </w:p>
        </w:tc>
        <w:tc>
          <w:tcPr>
            <w:tcW w:w="2336" w:type="dxa"/>
            <w:tcBorders>
              <w:top w:val="nil"/>
              <w:left w:val="single" w:sz="4" w:space="0" w:color="auto"/>
              <w:bottom w:val="nil"/>
              <w:right w:val="single" w:sz="4" w:space="0" w:color="auto"/>
            </w:tcBorders>
            <w:noWrap/>
            <w:vAlign w:val="bottom"/>
            <w:hideMark/>
          </w:tcPr>
          <w:p w14:paraId="42768111"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18-24</w:t>
            </w:r>
          </w:p>
        </w:tc>
        <w:tc>
          <w:tcPr>
            <w:tcW w:w="2127" w:type="dxa"/>
            <w:tcBorders>
              <w:top w:val="nil"/>
              <w:left w:val="nil"/>
              <w:bottom w:val="nil"/>
              <w:right w:val="single" w:sz="4" w:space="0" w:color="auto"/>
            </w:tcBorders>
            <w:shd w:val="clear" w:color="000000" w:fill="FBE2D5"/>
            <w:noWrap/>
            <w:vAlign w:val="bottom"/>
            <w:hideMark/>
          </w:tcPr>
          <w:p w14:paraId="57423CB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5.8%</w:t>
            </w:r>
          </w:p>
        </w:tc>
        <w:tc>
          <w:tcPr>
            <w:tcW w:w="2126" w:type="dxa"/>
            <w:tcBorders>
              <w:top w:val="nil"/>
              <w:left w:val="single" w:sz="4" w:space="0" w:color="auto"/>
              <w:bottom w:val="nil"/>
              <w:right w:val="nil"/>
            </w:tcBorders>
            <w:shd w:val="clear" w:color="000000" w:fill="FBE2D5"/>
            <w:noWrap/>
            <w:vAlign w:val="bottom"/>
            <w:hideMark/>
          </w:tcPr>
          <w:p w14:paraId="23204CF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6.6%</w:t>
            </w:r>
          </w:p>
        </w:tc>
        <w:tc>
          <w:tcPr>
            <w:tcW w:w="1984" w:type="dxa"/>
            <w:tcBorders>
              <w:top w:val="nil"/>
              <w:left w:val="nil"/>
              <w:bottom w:val="nil"/>
              <w:right w:val="single" w:sz="4" w:space="0" w:color="auto"/>
            </w:tcBorders>
            <w:shd w:val="clear" w:color="000000" w:fill="FBE2D5"/>
            <w:noWrap/>
            <w:vAlign w:val="bottom"/>
            <w:hideMark/>
          </w:tcPr>
          <w:p w14:paraId="2936603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5.0%</w:t>
            </w:r>
          </w:p>
        </w:tc>
        <w:tc>
          <w:tcPr>
            <w:tcW w:w="1843" w:type="dxa"/>
            <w:tcBorders>
              <w:top w:val="nil"/>
              <w:left w:val="nil"/>
              <w:bottom w:val="nil"/>
              <w:right w:val="single" w:sz="4" w:space="0" w:color="auto"/>
            </w:tcBorders>
            <w:shd w:val="clear" w:color="000000" w:fill="DAF2D0"/>
            <w:noWrap/>
            <w:vAlign w:val="bottom"/>
            <w:hideMark/>
          </w:tcPr>
          <w:p w14:paraId="261559A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4.4%</w:t>
            </w:r>
          </w:p>
        </w:tc>
        <w:tc>
          <w:tcPr>
            <w:tcW w:w="1701" w:type="dxa"/>
            <w:tcBorders>
              <w:top w:val="nil"/>
              <w:left w:val="single" w:sz="4" w:space="0" w:color="auto"/>
              <w:bottom w:val="nil"/>
              <w:right w:val="nil"/>
            </w:tcBorders>
            <w:shd w:val="clear" w:color="000000" w:fill="DAF2D0"/>
            <w:noWrap/>
            <w:vAlign w:val="bottom"/>
            <w:hideMark/>
          </w:tcPr>
          <w:p w14:paraId="1C1CF5F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4.3%</w:t>
            </w:r>
          </w:p>
        </w:tc>
        <w:tc>
          <w:tcPr>
            <w:tcW w:w="1559" w:type="dxa"/>
            <w:tcBorders>
              <w:top w:val="nil"/>
              <w:left w:val="nil"/>
              <w:bottom w:val="nil"/>
              <w:right w:val="single" w:sz="4" w:space="0" w:color="auto"/>
            </w:tcBorders>
            <w:shd w:val="clear" w:color="000000" w:fill="DAF2D0"/>
            <w:noWrap/>
            <w:vAlign w:val="bottom"/>
            <w:hideMark/>
          </w:tcPr>
          <w:p w14:paraId="1E14FB9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4.5%</w:t>
            </w:r>
          </w:p>
        </w:tc>
      </w:tr>
      <w:tr w:rsidR="005C170A" w:rsidRPr="002D7C87" w14:paraId="3AFC2FB5"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79E92B31"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012AE2ED"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25-34</w:t>
            </w:r>
          </w:p>
        </w:tc>
        <w:tc>
          <w:tcPr>
            <w:tcW w:w="2127" w:type="dxa"/>
            <w:tcBorders>
              <w:top w:val="nil"/>
              <w:left w:val="nil"/>
              <w:bottom w:val="nil"/>
              <w:right w:val="single" w:sz="4" w:space="0" w:color="auto"/>
            </w:tcBorders>
            <w:shd w:val="clear" w:color="000000" w:fill="FBE2D5"/>
            <w:noWrap/>
            <w:vAlign w:val="bottom"/>
            <w:hideMark/>
          </w:tcPr>
          <w:p w14:paraId="655055C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7.4%</w:t>
            </w:r>
          </w:p>
        </w:tc>
        <w:tc>
          <w:tcPr>
            <w:tcW w:w="2126" w:type="dxa"/>
            <w:tcBorders>
              <w:top w:val="nil"/>
              <w:left w:val="single" w:sz="4" w:space="0" w:color="auto"/>
              <w:bottom w:val="nil"/>
              <w:right w:val="nil"/>
            </w:tcBorders>
            <w:shd w:val="clear" w:color="000000" w:fill="FBE2D5"/>
            <w:noWrap/>
            <w:vAlign w:val="bottom"/>
            <w:hideMark/>
          </w:tcPr>
          <w:p w14:paraId="55F73ED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4.9%</w:t>
            </w:r>
          </w:p>
        </w:tc>
        <w:tc>
          <w:tcPr>
            <w:tcW w:w="1984" w:type="dxa"/>
            <w:tcBorders>
              <w:top w:val="nil"/>
              <w:left w:val="nil"/>
              <w:bottom w:val="nil"/>
              <w:right w:val="single" w:sz="4" w:space="0" w:color="auto"/>
            </w:tcBorders>
            <w:shd w:val="clear" w:color="000000" w:fill="FBE2D5"/>
            <w:noWrap/>
            <w:vAlign w:val="bottom"/>
            <w:hideMark/>
          </w:tcPr>
          <w:p w14:paraId="093255A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10.0%</w:t>
            </w:r>
          </w:p>
        </w:tc>
        <w:tc>
          <w:tcPr>
            <w:tcW w:w="1843" w:type="dxa"/>
            <w:tcBorders>
              <w:top w:val="nil"/>
              <w:left w:val="nil"/>
              <w:bottom w:val="nil"/>
              <w:right w:val="single" w:sz="4" w:space="0" w:color="auto"/>
            </w:tcBorders>
            <w:shd w:val="clear" w:color="000000" w:fill="DAF2D0"/>
            <w:noWrap/>
            <w:vAlign w:val="bottom"/>
            <w:hideMark/>
          </w:tcPr>
          <w:p w14:paraId="6B0C030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10.0%</w:t>
            </w:r>
          </w:p>
        </w:tc>
        <w:tc>
          <w:tcPr>
            <w:tcW w:w="1701" w:type="dxa"/>
            <w:tcBorders>
              <w:top w:val="nil"/>
              <w:left w:val="single" w:sz="4" w:space="0" w:color="auto"/>
              <w:bottom w:val="nil"/>
              <w:right w:val="nil"/>
            </w:tcBorders>
            <w:shd w:val="clear" w:color="000000" w:fill="DAF2D0"/>
            <w:noWrap/>
            <w:vAlign w:val="bottom"/>
            <w:hideMark/>
          </w:tcPr>
          <w:p w14:paraId="46DD72A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8.7%</w:t>
            </w:r>
          </w:p>
        </w:tc>
        <w:tc>
          <w:tcPr>
            <w:tcW w:w="1559" w:type="dxa"/>
            <w:tcBorders>
              <w:top w:val="nil"/>
              <w:left w:val="nil"/>
              <w:bottom w:val="nil"/>
              <w:right w:val="single" w:sz="4" w:space="0" w:color="auto"/>
            </w:tcBorders>
            <w:shd w:val="clear" w:color="000000" w:fill="DAF2D0"/>
            <w:noWrap/>
            <w:vAlign w:val="bottom"/>
            <w:hideMark/>
          </w:tcPr>
          <w:p w14:paraId="3883FFE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11.4%</w:t>
            </w:r>
          </w:p>
        </w:tc>
      </w:tr>
      <w:tr w:rsidR="005C170A" w:rsidRPr="002D7C87" w14:paraId="14101051"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77BF0BD7"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7736362E"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35-44</w:t>
            </w:r>
          </w:p>
        </w:tc>
        <w:tc>
          <w:tcPr>
            <w:tcW w:w="2127" w:type="dxa"/>
            <w:tcBorders>
              <w:top w:val="nil"/>
              <w:left w:val="nil"/>
              <w:bottom w:val="nil"/>
              <w:right w:val="single" w:sz="4" w:space="0" w:color="auto"/>
            </w:tcBorders>
            <w:shd w:val="clear" w:color="000000" w:fill="FBE2D5"/>
            <w:noWrap/>
            <w:vAlign w:val="bottom"/>
            <w:hideMark/>
          </w:tcPr>
          <w:p w14:paraId="75C9854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19.8%</w:t>
            </w:r>
          </w:p>
        </w:tc>
        <w:tc>
          <w:tcPr>
            <w:tcW w:w="2126" w:type="dxa"/>
            <w:tcBorders>
              <w:top w:val="nil"/>
              <w:left w:val="single" w:sz="4" w:space="0" w:color="auto"/>
              <w:bottom w:val="nil"/>
              <w:right w:val="nil"/>
            </w:tcBorders>
            <w:shd w:val="clear" w:color="000000" w:fill="FBE2D5"/>
            <w:noWrap/>
            <w:vAlign w:val="bottom"/>
            <w:hideMark/>
          </w:tcPr>
          <w:p w14:paraId="4F0C189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19.7%</w:t>
            </w:r>
          </w:p>
        </w:tc>
        <w:tc>
          <w:tcPr>
            <w:tcW w:w="1984" w:type="dxa"/>
            <w:tcBorders>
              <w:top w:val="nil"/>
              <w:left w:val="nil"/>
              <w:bottom w:val="nil"/>
              <w:right w:val="single" w:sz="4" w:space="0" w:color="auto"/>
            </w:tcBorders>
            <w:shd w:val="clear" w:color="000000" w:fill="FBE2D5"/>
            <w:noWrap/>
            <w:vAlign w:val="bottom"/>
            <w:hideMark/>
          </w:tcPr>
          <w:p w14:paraId="1E19350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20.0%</w:t>
            </w:r>
          </w:p>
        </w:tc>
        <w:tc>
          <w:tcPr>
            <w:tcW w:w="1843" w:type="dxa"/>
            <w:tcBorders>
              <w:top w:val="nil"/>
              <w:left w:val="nil"/>
              <w:bottom w:val="nil"/>
              <w:right w:val="single" w:sz="4" w:space="0" w:color="auto"/>
            </w:tcBorders>
            <w:shd w:val="clear" w:color="000000" w:fill="DAF2D0"/>
            <w:noWrap/>
            <w:vAlign w:val="bottom"/>
            <w:hideMark/>
          </w:tcPr>
          <w:p w14:paraId="4814EA6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18.9%</w:t>
            </w:r>
          </w:p>
        </w:tc>
        <w:tc>
          <w:tcPr>
            <w:tcW w:w="1701" w:type="dxa"/>
            <w:tcBorders>
              <w:top w:val="nil"/>
              <w:left w:val="single" w:sz="4" w:space="0" w:color="auto"/>
              <w:bottom w:val="nil"/>
              <w:right w:val="nil"/>
            </w:tcBorders>
            <w:shd w:val="clear" w:color="000000" w:fill="DAF2D0"/>
            <w:noWrap/>
            <w:vAlign w:val="bottom"/>
            <w:hideMark/>
          </w:tcPr>
          <w:p w14:paraId="6571FBA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10.9%</w:t>
            </w:r>
          </w:p>
        </w:tc>
        <w:tc>
          <w:tcPr>
            <w:tcW w:w="1559" w:type="dxa"/>
            <w:tcBorders>
              <w:top w:val="nil"/>
              <w:left w:val="nil"/>
              <w:bottom w:val="nil"/>
              <w:right w:val="single" w:sz="4" w:space="0" w:color="auto"/>
            </w:tcBorders>
            <w:shd w:val="clear" w:color="000000" w:fill="DAF2D0"/>
            <w:noWrap/>
            <w:vAlign w:val="bottom"/>
            <w:hideMark/>
          </w:tcPr>
          <w:p w14:paraId="60CF843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27.3%</w:t>
            </w:r>
          </w:p>
        </w:tc>
      </w:tr>
      <w:tr w:rsidR="005C170A" w:rsidRPr="002D7C87" w14:paraId="0A02B6BE"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474EC134"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3356B033"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45-54</w:t>
            </w:r>
          </w:p>
        </w:tc>
        <w:tc>
          <w:tcPr>
            <w:tcW w:w="2127" w:type="dxa"/>
            <w:tcBorders>
              <w:top w:val="nil"/>
              <w:left w:val="nil"/>
              <w:bottom w:val="nil"/>
              <w:right w:val="single" w:sz="4" w:space="0" w:color="auto"/>
            </w:tcBorders>
            <w:shd w:val="clear" w:color="000000" w:fill="FBE2D5"/>
            <w:noWrap/>
            <w:vAlign w:val="bottom"/>
            <w:hideMark/>
          </w:tcPr>
          <w:p w14:paraId="1FB252D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28.9%</w:t>
            </w:r>
          </w:p>
        </w:tc>
        <w:tc>
          <w:tcPr>
            <w:tcW w:w="2126" w:type="dxa"/>
            <w:tcBorders>
              <w:top w:val="nil"/>
              <w:left w:val="single" w:sz="4" w:space="0" w:color="auto"/>
              <w:bottom w:val="nil"/>
              <w:right w:val="nil"/>
            </w:tcBorders>
            <w:shd w:val="clear" w:color="000000" w:fill="FBE2D5"/>
            <w:noWrap/>
            <w:vAlign w:val="bottom"/>
            <w:hideMark/>
          </w:tcPr>
          <w:p w14:paraId="1721ED4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36.1%</w:t>
            </w:r>
          </w:p>
        </w:tc>
        <w:tc>
          <w:tcPr>
            <w:tcW w:w="1984" w:type="dxa"/>
            <w:tcBorders>
              <w:top w:val="nil"/>
              <w:left w:val="nil"/>
              <w:bottom w:val="nil"/>
              <w:right w:val="single" w:sz="4" w:space="0" w:color="auto"/>
            </w:tcBorders>
            <w:shd w:val="clear" w:color="000000" w:fill="FBE2D5"/>
            <w:noWrap/>
            <w:vAlign w:val="bottom"/>
            <w:hideMark/>
          </w:tcPr>
          <w:p w14:paraId="0B98CCC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21.7%</w:t>
            </w:r>
          </w:p>
        </w:tc>
        <w:tc>
          <w:tcPr>
            <w:tcW w:w="1843" w:type="dxa"/>
            <w:tcBorders>
              <w:top w:val="nil"/>
              <w:left w:val="nil"/>
              <w:bottom w:val="nil"/>
              <w:right w:val="single" w:sz="4" w:space="0" w:color="auto"/>
            </w:tcBorders>
            <w:shd w:val="clear" w:color="000000" w:fill="DAF2D0"/>
            <w:noWrap/>
            <w:vAlign w:val="bottom"/>
            <w:hideMark/>
          </w:tcPr>
          <w:p w14:paraId="7FF5D90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32.2%</w:t>
            </w:r>
          </w:p>
        </w:tc>
        <w:tc>
          <w:tcPr>
            <w:tcW w:w="1701" w:type="dxa"/>
            <w:tcBorders>
              <w:top w:val="nil"/>
              <w:left w:val="single" w:sz="4" w:space="0" w:color="auto"/>
              <w:bottom w:val="nil"/>
              <w:right w:val="nil"/>
            </w:tcBorders>
            <w:shd w:val="clear" w:color="000000" w:fill="DAF2D0"/>
            <w:noWrap/>
            <w:vAlign w:val="bottom"/>
            <w:hideMark/>
          </w:tcPr>
          <w:p w14:paraId="15937B0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34.8%</w:t>
            </w:r>
          </w:p>
        </w:tc>
        <w:tc>
          <w:tcPr>
            <w:tcW w:w="1559" w:type="dxa"/>
            <w:tcBorders>
              <w:top w:val="nil"/>
              <w:left w:val="nil"/>
              <w:bottom w:val="nil"/>
              <w:right w:val="single" w:sz="4" w:space="0" w:color="auto"/>
            </w:tcBorders>
            <w:shd w:val="clear" w:color="000000" w:fill="DAF2D0"/>
            <w:noWrap/>
            <w:vAlign w:val="bottom"/>
            <w:hideMark/>
          </w:tcPr>
          <w:p w14:paraId="55E33F5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29.5%</w:t>
            </w:r>
          </w:p>
        </w:tc>
      </w:tr>
      <w:tr w:rsidR="005C170A" w:rsidRPr="002D7C87" w14:paraId="13B472FC"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25295657"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3DE20DBD"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55-64</w:t>
            </w:r>
          </w:p>
        </w:tc>
        <w:tc>
          <w:tcPr>
            <w:tcW w:w="2127" w:type="dxa"/>
            <w:tcBorders>
              <w:top w:val="nil"/>
              <w:left w:val="nil"/>
              <w:bottom w:val="nil"/>
              <w:right w:val="single" w:sz="4" w:space="0" w:color="auto"/>
            </w:tcBorders>
            <w:shd w:val="clear" w:color="000000" w:fill="FBE2D5"/>
            <w:noWrap/>
            <w:vAlign w:val="bottom"/>
            <w:hideMark/>
          </w:tcPr>
          <w:p w14:paraId="2435E61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36.4%</w:t>
            </w:r>
          </w:p>
        </w:tc>
        <w:tc>
          <w:tcPr>
            <w:tcW w:w="2126" w:type="dxa"/>
            <w:tcBorders>
              <w:top w:val="nil"/>
              <w:left w:val="single" w:sz="4" w:space="0" w:color="auto"/>
              <w:bottom w:val="nil"/>
              <w:right w:val="nil"/>
            </w:tcBorders>
            <w:shd w:val="clear" w:color="000000" w:fill="FBE2D5"/>
            <w:noWrap/>
            <w:vAlign w:val="bottom"/>
            <w:hideMark/>
          </w:tcPr>
          <w:p w14:paraId="42C9302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31.1%</w:t>
            </w:r>
          </w:p>
        </w:tc>
        <w:tc>
          <w:tcPr>
            <w:tcW w:w="1984" w:type="dxa"/>
            <w:tcBorders>
              <w:top w:val="nil"/>
              <w:left w:val="nil"/>
              <w:bottom w:val="nil"/>
              <w:right w:val="single" w:sz="4" w:space="0" w:color="auto"/>
            </w:tcBorders>
            <w:shd w:val="clear" w:color="000000" w:fill="FBE2D5"/>
            <w:noWrap/>
            <w:vAlign w:val="bottom"/>
            <w:hideMark/>
          </w:tcPr>
          <w:p w14:paraId="3B488D8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41.7%</w:t>
            </w:r>
          </w:p>
        </w:tc>
        <w:tc>
          <w:tcPr>
            <w:tcW w:w="1843" w:type="dxa"/>
            <w:tcBorders>
              <w:top w:val="nil"/>
              <w:left w:val="nil"/>
              <w:bottom w:val="nil"/>
              <w:right w:val="single" w:sz="4" w:space="0" w:color="auto"/>
            </w:tcBorders>
            <w:shd w:val="clear" w:color="000000" w:fill="DAF2D0"/>
            <w:noWrap/>
            <w:vAlign w:val="bottom"/>
            <w:hideMark/>
          </w:tcPr>
          <w:p w14:paraId="696938B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32.2%</w:t>
            </w:r>
          </w:p>
        </w:tc>
        <w:tc>
          <w:tcPr>
            <w:tcW w:w="1701" w:type="dxa"/>
            <w:tcBorders>
              <w:top w:val="nil"/>
              <w:left w:val="single" w:sz="4" w:space="0" w:color="auto"/>
              <w:bottom w:val="nil"/>
              <w:right w:val="nil"/>
            </w:tcBorders>
            <w:shd w:val="clear" w:color="000000" w:fill="DAF2D0"/>
            <w:noWrap/>
            <w:vAlign w:val="bottom"/>
            <w:hideMark/>
          </w:tcPr>
          <w:p w14:paraId="04B1E72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37.0%</w:t>
            </w:r>
          </w:p>
        </w:tc>
        <w:tc>
          <w:tcPr>
            <w:tcW w:w="1559" w:type="dxa"/>
            <w:tcBorders>
              <w:top w:val="nil"/>
              <w:left w:val="nil"/>
              <w:bottom w:val="nil"/>
              <w:right w:val="single" w:sz="4" w:space="0" w:color="auto"/>
            </w:tcBorders>
            <w:shd w:val="clear" w:color="000000" w:fill="DAF2D0"/>
            <w:noWrap/>
            <w:vAlign w:val="bottom"/>
            <w:hideMark/>
          </w:tcPr>
          <w:p w14:paraId="37FD83C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27.3%</w:t>
            </w:r>
          </w:p>
        </w:tc>
      </w:tr>
      <w:tr w:rsidR="005C170A" w:rsidRPr="002D7C87" w14:paraId="22EA42F5"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0CABE84B"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39FB484F"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65 and over</w:t>
            </w:r>
          </w:p>
        </w:tc>
        <w:tc>
          <w:tcPr>
            <w:tcW w:w="2127" w:type="dxa"/>
            <w:tcBorders>
              <w:top w:val="nil"/>
              <w:left w:val="nil"/>
              <w:bottom w:val="nil"/>
              <w:right w:val="single" w:sz="4" w:space="0" w:color="auto"/>
            </w:tcBorders>
            <w:shd w:val="clear" w:color="000000" w:fill="FBE2D5"/>
            <w:noWrap/>
            <w:vAlign w:val="bottom"/>
            <w:hideMark/>
          </w:tcPr>
          <w:p w14:paraId="7811C7F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0.8%</w:t>
            </w:r>
          </w:p>
        </w:tc>
        <w:tc>
          <w:tcPr>
            <w:tcW w:w="2126" w:type="dxa"/>
            <w:tcBorders>
              <w:top w:val="nil"/>
              <w:left w:val="single" w:sz="4" w:space="0" w:color="auto"/>
              <w:bottom w:val="nil"/>
              <w:right w:val="nil"/>
            </w:tcBorders>
            <w:shd w:val="clear" w:color="000000" w:fill="FBE2D5"/>
            <w:noWrap/>
            <w:vAlign w:val="bottom"/>
            <w:hideMark/>
          </w:tcPr>
          <w:p w14:paraId="5D31B46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c>
          <w:tcPr>
            <w:tcW w:w="1984" w:type="dxa"/>
            <w:tcBorders>
              <w:top w:val="nil"/>
              <w:left w:val="nil"/>
              <w:bottom w:val="nil"/>
              <w:right w:val="single" w:sz="4" w:space="0" w:color="auto"/>
            </w:tcBorders>
            <w:shd w:val="clear" w:color="000000" w:fill="FBE2D5"/>
            <w:noWrap/>
            <w:vAlign w:val="bottom"/>
            <w:hideMark/>
          </w:tcPr>
          <w:p w14:paraId="56E2097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w:t>
            </w:r>
          </w:p>
        </w:tc>
        <w:tc>
          <w:tcPr>
            <w:tcW w:w="1843" w:type="dxa"/>
            <w:tcBorders>
              <w:top w:val="nil"/>
              <w:left w:val="nil"/>
              <w:bottom w:val="nil"/>
              <w:right w:val="single" w:sz="4" w:space="0" w:color="auto"/>
            </w:tcBorders>
            <w:shd w:val="clear" w:color="000000" w:fill="DAF2D0"/>
            <w:noWrap/>
            <w:vAlign w:val="bottom"/>
            <w:hideMark/>
          </w:tcPr>
          <w:p w14:paraId="3891E95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w:t>
            </w:r>
          </w:p>
        </w:tc>
        <w:tc>
          <w:tcPr>
            <w:tcW w:w="1701" w:type="dxa"/>
            <w:tcBorders>
              <w:top w:val="nil"/>
              <w:left w:val="single" w:sz="4" w:space="0" w:color="auto"/>
              <w:bottom w:val="nil"/>
              <w:right w:val="nil"/>
            </w:tcBorders>
            <w:shd w:val="clear" w:color="000000" w:fill="DAF2D0"/>
            <w:noWrap/>
            <w:vAlign w:val="bottom"/>
            <w:hideMark/>
          </w:tcPr>
          <w:p w14:paraId="50B21AB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nil"/>
              <w:right w:val="single" w:sz="4" w:space="0" w:color="auto"/>
            </w:tcBorders>
            <w:shd w:val="clear" w:color="000000" w:fill="DAF2D0"/>
            <w:noWrap/>
            <w:vAlign w:val="bottom"/>
            <w:hideMark/>
          </w:tcPr>
          <w:p w14:paraId="5BB752A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r>
      <w:tr w:rsidR="005C170A" w:rsidRPr="002D7C87" w14:paraId="2274ED36"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101781A1"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single" w:sz="4" w:space="0" w:color="auto"/>
              <w:right w:val="single" w:sz="4" w:space="0" w:color="auto"/>
            </w:tcBorders>
            <w:noWrap/>
            <w:vAlign w:val="bottom"/>
            <w:hideMark/>
          </w:tcPr>
          <w:p w14:paraId="70D4C20C"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Prefer not to say</w:t>
            </w:r>
          </w:p>
        </w:tc>
        <w:tc>
          <w:tcPr>
            <w:tcW w:w="2127" w:type="dxa"/>
            <w:tcBorders>
              <w:top w:val="nil"/>
              <w:left w:val="nil"/>
              <w:bottom w:val="single" w:sz="4" w:space="0" w:color="auto"/>
              <w:right w:val="single" w:sz="4" w:space="0" w:color="auto"/>
            </w:tcBorders>
            <w:shd w:val="clear" w:color="000000" w:fill="FBE2D5"/>
            <w:noWrap/>
            <w:vAlign w:val="bottom"/>
            <w:hideMark/>
          </w:tcPr>
          <w:p w14:paraId="2D2527E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0.8%</w:t>
            </w:r>
          </w:p>
        </w:tc>
        <w:tc>
          <w:tcPr>
            <w:tcW w:w="2126" w:type="dxa"/>
            <w:tcBorders>
              <w:top w:val="nil"/>
              <w:left w:val="single" w:sz="4" w:space="0" w:color="auto"/>
              <w:bottom w:val="single" w:sz="4" w:space="0" w:color="auto"/>
              <w:right w:val="nil"/>
            </w:tcBorders>
            <w:shd w:val="clear" w:color="000000" w:fill="FBE2D5"/>
            <w:noWrap/>
            <w:vAlign w:val="bottom"/>
            <w:hideMark/>
          </w:tcPr>
          <w:p w14:paraId="057928E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1.6%</w:t>
            </w:r>
          </w:p>
        </w:tc>
        <w:tc>
          <w:tcPr>
            <w:tcW w:w="1984" w:type="dxa"/>
            <w:tcBorders>
              <w:top w:val="nil"/>
              <w:left w:val="nil"/>
              <w:bottom w:val="single" w:sz="4" w:space="0" w:color="auto"/>
              <w:right w:val="single" w:sz="4" w:space="0" w:color="auto"/>
            </w:tcBorders>
            <w:shd w:val="clear" w:color="000000" w:fill="FBE2D5"/>
            <w:noWrap/>
            <w:vAlign w:val="bottom"/>
            <w:hideMark/>
          </w:tcPr>
          <w:p w14:paraId="142216A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c>
          <w:tcPr>
            <w:tcW w:w="1843" w:type="dxa"/>
            <w:tcBorders>
              <w:top w:val="nil"/>
              <w:left w:val="nil"/>
              <w:bottom w:val="single" w:sz="4" w:space="0" w:color="auto"/>
              <w:right w:val="single" w:sz="4" w:space="0" w:color="auto"/>
            </w:tcBorders>
            <w:shd w:val="clear" w:color="000000" w:fill="DAF2D0"/>
            <w:noWrap/>
            <w:vAlign w:val="bottom"/>
            <w:hideMark/>
          </w:tcPr>
          <w:p w14:paraId="7ACBF97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w:t>
            </w:r>
          </w:p>
        </w:tc>
        <w:tc>
          <w:tcPr>
            <w:tcW w:w="1701" w:type="dxa"/>
            <w:tcBorders>
              <w:top w:val="nil"/>
              <w:left w:val="single" w:sz="4" w:space="0" w:color="auto"/>
              <w:bottom w:val="single" w:sz="4" w:space="0" w:color="auto"/>
              <w:right w:val="nil"/>
            </w:tcBorders>
            <w:shd w:val="clear" w:color="000000" w:fill="DAF2D0"/>
            <w:noWrap/>
            <w:vAlign w:val="bottom"/>
            <w:hideMark/>
          </w:tcPr>
          <w:p w14:paraId="7E2EC45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single" w:sz="4" w:space="0" w:color="auto"/>
              <w:right w:val="single" w:sz="4" w:space="0" w:color="auto"/>
            </w:tcBorders>
            <w:shd w:val="clear" w:color="000000" w:fill="DAF2D0"/>
            <w:noWrap/>
            <w:vAlign w:val="bottom"/>
            <w:hideMark/>
          </w:tcPr>
          <w:p w14:paraId="632F239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r>
      <w:tr w:rsidR="005C170A" w:rsidRPr="002D7C87" w14:paraId="18A04E6D" w14:textId="77777777" w:rsidTr="00EC1BB6">
        <w:trPr>
          <w:trHeight w:val="320"/>
        </w:trPr>
        <w:tc>
          <w:tcPr>
            <w:tcW w:w="1628" w:type="dxa"/>
            <w:vMerge w:val="restart"/>
            <w:tcBorders>
              <w:top w:val="nil"/>
              <w:left w:val="single" w:sz="4" w:space="0" w:color="auto"/>
              <w:bottom w:val="single" w:sz="4" w:space="0" w:color="000000"/>
              <w:right w:val="nil"/>
            </w:tcBorders>
            <w:vAlign w:val="center"/>
            <w:hideMark/>
          </w:tcPr>
          <w:p w14:paraId="7ABD0189" w14:textId="77777777"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What is the highest level of education you have completed?</w:t>
            </w:r>
          </w:p>
        </w:tc>
        <w:tc>
          <w:tcPr>
            <w:tcW w:w="2336" w:type="dxa"/>
            <w:tcBorders>
              <w:top w:val="nil"/>
              <w:left w:val="single" w:sz="4" w:space="0" w:color="auto"/>
              <w:bottom w:val="nil"/>
              <w:right w:val="single" w:sz="4" w:space="0" w:color="auto"/>
            </w:tcBorders>
            <w:noWrap/>
            <w:vAlign w:val="bottom"/>
            <w:hideMark/>
          </w:tcPr>
          <w:p w14:paraId="3FF0EB91"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No response</w:t>
            </w:r>
          </w:p>
        </w:tc>
        <w:tc>
          <w:tcPr>
            <w:tcW w:w="2127" w:type="dxa"/>
            <w:tcBorders>
              <w:top w:val="nil"/>
              <w:left w:val="nil"/>
              <w:bottom w:val="nil"/>
              <w:right w:val="single" w:sz="4" w:space="0" w:color="auto"/>
            </w:tcBorders>
            <w:shd w:val="clear" w:color="000000" w:fill="FBE2D5"/>
            <w:noWrap/>
            <w:vAlign w:val="bottom"/>
            <w:hideMark/>
          </w:tcPr>
          <w:p w14:paraId="1889EAD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9.1%</w:t>
            </w:r>
          </w:p>
        </w:tc>
        <w:tc>
          <w:tcPr>
            <w:tcW w:w="2126" w:type="dxa"/>
            <w:tcBorders>
              <w:top w:val="nil"/>
              <w:left w:val="single" w:sz="4" w:space="0" w:color="auto"/>
              <w:bottom w:val="nil"/>
              <w:right w:val="nil"/>
            </w:tcBorders>
            <w:shd w:val="clear" w:color="000000" w:fill="FBE2D5"/>
            <w:noWrap/>
            <w:vAlign w:val="bottom"/>
            <w:hideMark/>
          </w:tcPr>
          <w:p w14:paraId="7E026FA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11.5%</w:t>
            </w:r>
          </w:p>
        </w:tc>
        <w:tc>
          <w:tcPr>
            <w:tcW w:w="1984" w:type="dxa"/>
            <w:tcBorders>
              <w:top w:val="nil"/>
              <w:left w:val="nil"/>
              <w:bottom w:val="nil"/>
              <w:right w:val="single" w:sz="4" w:space="0" w:color="auto"/>
            </w:tcBorders>
            <w:shd w:val="clear" w:color="000000" w:fill="FBE2D5"/>
            <w:noWrap/>
            <w:vAlign w:val="bottom"/>
            <w:hideMark/>
          </w:tcPr>
          <w:p w14:paraId="3E81383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6.7%</w:t>
            </w:r>
          </w:p>
        </w:tc>
        <w:tc>
          <w:tcPr>
            <w:tcW w:w="1843" w:type="dxa"/>
            <w:tcBorders>
              <w:top w:val="nil"/>
              <w:left w:val="nil"/>
              <w:bottom w:val="nil"/>
              <w:right w:val="single" w:sz="4" w:space="0" w:color="auto"/>
            </w:tcBorders>
            <w:shd w:val="clear" w:color="000000" w:fill="DAF2D0"/>
            <w:noWrap/>
            <w:vAlign w:val="bottom"/>
            <w:hideMark/>
          </w:tcPr>
          <w:p w14:paraId="7E55C5B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6.7%</w:t>
            </w:r>
          </w:p>
        </w:tc>
        <w:tc>
          <w:tcPr>
            <w:tcW w:w="1701" w:type="dxa"/>
            <w:tcBorders>
              <w:top w:val="nil"/>
              <w:left w:val="single" w:sz="4" w:space="0" w:color="auto"/>
              <w:bottom w:val="nil"/>
              <w:right w:val="nil"/>
            </w:tcBorders>
            <w:shd w:val="clear" w:color="000000" w:fill="DAF2D0"/>
            <w:noWrap/>
            <w:vAlign w:val="bottom"/>
            <w:hideMark/>
          </w:tcPr>
          <w:p w14:paraId="3B8F828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6.5%</w:t>
            </w:r>
          </w:p>
        </w:tc>
        <w:tc>
          <w:tcPr>
            <w:tcW w:w="1559" w:type="dxa"/>
            <w:tcBorders>
              <w:top w:val="nil"/>
              <w:left w:val="nil"/>
              <w:bottom w:val="nil"/>
              <w:right w:val="single" w:sz="4" w:space="0" w:color="auto"/>
            </w:tcBorders>
            <w:shd w:val="clear" w:color="000000" w:fill="DAF2D0"/>
            <w:noWrap/>
            <w:vAlign w:val="bottom"/>
            <w:hideMark/>
          </w:tcPr>
          <w:p w14:paraId="0B8F6EF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6.8%</w:t>
            </w:r>
          </w:p>
        </w:tc>
      </w:tr>
      <w:tr w:rsidR="005C170A" w:rsidRPr="002D7C87" w14:paraId="1053FA2A"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58ED5F86"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center"/>
            <w:hideMark/>
          </w:tcPr>
          <w:p w14:paraId="25766CCD"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No formal education</w:t>
            </w:r>
          </w:p>
        </w:tc>
        <w:tc>
          <w:tcPr>
            <w:tcW w:w="2127" w:type="dxa"/>
            <w:tcBorders>
              <w:top w:val="nil"/>
              <w:left w:val="nil"/>
              <w:bottom w:val="nil"/>
              <w:right w:val="single" w:sz="4" w:space="0" w:color="auto"/>
            </w:tcBorders>
            <w:shd w:val="clear" w:color="000000" w:fill="FBE2D5"/>
            <w:noWrap/>
            <w:vAlign w:val="bottom"/>
            <w:hideMark/>
          </w:tcPr>
          <w:p w14:paraId="4B38B52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5.0%</w:t>
            </w:r>
          </w:p>
        </w:tc>
        <w:tc>
          <w:tcPr>
            <w:tcW w:w="2126" w:type="dxa"/>
            <w:tcBorders>
              <w:top w:val="nil"/>
              <w:left w:val="single" w:sz="4" w:space="0" w:color="auto"/>
              <w:bottom w:val="nil"/>
              <w:right w:val="nil"/>
            </w:tcBorders>
            <w:shd w:val="clear" w:color="000000" w:fill="FBE2D5"/>
            <w:noWrap/>
            <w:vAlign w:val="bottom"/>
            <w:hideMark/>
          </w:tcPr>
          <w:p w14:paraId="5989D03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8.2%</w:t>
            </w:r>
          </w:p>
        </w:tc>
        <w:tc>
          <w:tcPr>
            <w:tcW w:w="1984" w:type="dxa"/>
            <w:tcBorders>
              <w:top w:val="nil"/>
              <w:left w:val="nil"/>
              <w:bottom w:val="nil"/>
              <w:right w:val="single" w:sz="4" w:space="0" w:color="auto"/>
            </w:tcBorders>
            <w:shd w:val="clear" w:color="000000" w:fill="FBE2D5"/>
            <w:noWrap/>
            <w:vAlign w:val="bottom"/>
            <w:hideMark/>
          </w:tcPr>
          <w:p w14:paraId="17049E6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w:t>
            </w:r>
          </w:p>
        </w:tc>
        <w:tc>
          <w:tcPr>
            <w:tcW w:w="1843" w:type="dxa"/>
            <w:tcBorders>
              <w:top w:val="nil"/>
              <w:left w:val="nil"/>
              <w:bottom w:val="nil"/>
              <w:right w:val="single" w:sz="4" w:space="0" w:color="auto"/>
            </w:tcBorders>
            <w:shd w:val="clear" w:color="000000" w:fill="DAF2D0"/>
            <w:noWrap/>
            <w:vAlign w:val="bottom"/>
            <w:hideMark/>
          </w:tcPr>
          <w:p w14:paraId="273E7F0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4.4%</w:t>
            </w:r>
          </w:p>
        </w:tc>
        <w:tc>
          <w:tcPr>
            <w:tcW w:w="1701" w:type="dxa"/>
            <w:tcBorders>
              <w:top w:val="nil"/>
              <w:left w:val="single" w:sz="4" w:space="0" w:color="auto"/>
              <w:bottom w:val="nil"/>
              <w:right w:val="nil"/>
            </w:tcBorders>
            <w:shd w:val="clear" w:color="000000" w:fill="DAF2D0"/>
            <w:noWrap/>
            <w:vAlign w:val="bottom"/>
            <w:hideMark/>
          </w:tcPr>
          <w:p w14:paraId="239C420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nil"/>
              <w:right w:val="single" w:sz="4" w:space="0" w:color="auto"/>
            </w:tcBorders>
            <w:shd w:val="clear" w:color="000000" w:fill="DAF2D0"/>
            <w:noWrap/>
            <w:vAlign w:val="bottom"/>
            <w:hideMark/>
          </w:tcPr>
          <w:p w14:paraId="3C9DE48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6.8%</w:t>
            </w:r>
          </w:p>
        </w:tc>
      </w:tr>
      <w:tr w:rsidR="005C170A" w:rsidRPr="002D7C87" w14:paraId="2F9A2AD3"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00B0D3CF"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center"/>
            <w:hideMark/>
          </w:tcPr>
          <w:p w14:paraId="1ABA68AB"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Primary education</w:t>
            </w:r>
          </w:p>
        </w:tc>
        <w:tc>
          <w:tcPr>
            <w:tcW w:w="2127" w:type="dxa"/>
            <w:tcBorders>
              <w:top w:val="nil"/>
              <w:left w:val="nil"/>
              <w:bottom w:val="nil"/>
              <w:right w:val="single" w:sz="4" w:space="0" w:color="auto"/>
            </w:tcBorders>
            <w:shd w:val="clear" w:color="000000" w:fill="FBE2D5"/>
            <w:noWrap/>
            <w:vAlign w:val="bottom"/>
            <w:hideMark/>
          </w:tcPr>
          <w:p w14:paraId="7C4E320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28.1%</w:t>
            </w:r>
          </w:p>
        </w:tc>
        <w:tc>
          <w:tcPr>
            <w:tcW w:w="2126" w:type="dxa"/>
            <w:tcBorders>
              <w:top w:val="nil"/>
              <w:left w:val="single" w:sz="4" w:space="0" w:color="auto"/>
              <w:bottom w:val="nil"/>
              <w:right w:val="nil"/>
            </w:tcBorders>
            <w:shd w:val="clear" w:color="000000" w:fill="FBE2D5"/>
            <w:noWrap/>
            <w:vAlign w:val="bottom"/>
            <w:hideMark/>
          </w:tcPr>
          <w:p w14:paraId="5EE1131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31.1%</w:t>
            </w:r>
          </w:p>
        </w:tc>
        <w:tc>
          <w:tcPr>
            <w:tcW w:w="1984" w:type="dxa"/>
            <w:tcBorders>
              <w:top w:val="nil"/>
              <w:left w:val="nil"/>
              <w:bottom w:val="nil"/>
              <w:right w:val="single" w:sz="4" w:space="0" w:color="auto"/>
            </w:tcBorders>
            <w:shd w:val="clear" w:color="000000" w:fill="FBE2D5"/>
            <w:noWrap/>
            <w:vAlign w:val="bottom"/>
            <w:hideMark/>
          </w:tcPr>
          <w:p w14:paraId="7BA6166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25.0%</w:t>
            </w:r>
          </w:p>
        </w:tc>
        <w:tc>
          <w:tcPr>
            <w:tcW w:w="1843" w:type="dxa"/>
            <w:tcBorders>
              <w:top w:val="nil"/>
              <w:left w:val="nil"/>
              <w:bottom w:val="nil"/>
              <w:right w:val="single" w:sz="4" w:space="0" w:color="auto"/>
            </w:tcBorders>
            <w:shd w:val="clear" w:color="000000" w:fill="DAF2D0"/>
            <w:noWrap/>
            <w:vAlign w:val="bottom"/>
            <w:hideMark/>
          </w:tcPr>
          <w:p w14:paraId="2DB7088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31.1%</w:t>
            </w:r>
          </w:p>
        </w:tc>
        <w:tc>
          <w:tcPr>
            <w:tcW w:w="1701" w:type="dxa"/>
            <w:tcBorders>
              <w:top w:val="nil"/>
              <w:left w:val="single" w:sz="4" w:space="0" w:color="auto"/>
              <w:bottom w:val="nil"/>
              <w:right w:val="nil"/>
            </w:tcBorders>
            <w:shd w:val="clear" w:color="000000" w:fill="DAF2D0"/>
            <w:noWrap/>
            <w:vAlign w:val="bottom"/>
            <w:hideMark/>
          </w:tcPr>
          <w:p w14:paraId="61CDD31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32.6%</w:t>
            </w:r>
          </w:p>
        </w:tc>
        <w:tc>
          <w:tcPr>
            <w:tcW w:w="1559" w:type="dxa"/>
            <w:tcBorders>
              <w:top w:val="nil"/>
              <w:left w:val="nil"/>
              <w:bottom w:val="nil"/>
              <w:right w:val="single" w:sz="4" w:space="0" w:color="auto"/>
            </w:tcBorders>
            <w:shd w:val="clear" w:color="000000" w:fill="DAF2D0"/>
            <w:noWrap/>
            <w:vAlign w:val="bottom"/>
            <w:hideMark/>
          </w:tcPr>
          <w:p w14:paraId="3028FDB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29.5%</w:t>
            </w:r>
          </w:p>
        </w:tc>
      </w:tr>
      <w:tr w:rsidR="005C170A" w:rsidRPr="002D7C87" w14:paraId="59023330"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4869B638"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center"/>
            <w:hideMark/>
          </w:tcPr>
          <w:p w14:paraId="1A806CD2"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Secondary education</w:t>
            </w:r>
          </w:p>
        </w:tc>
        <w:tc>
          <w:tcPr>
            <w:tcW w:w="2127" w:type="dxa"/>
            <w:tcBorders>
              <w:top w:val="nil"/>
              <w:left w:val="nil"/>
              <w:bottom w:val="nil"/>
              <w:right w:val="single" w:sz="4" w:space="0" w:color="auto"/>
            </w:tcBorders>
            <w:shd w:val="clear" w:color="000000" w:fill="FBE2D5"/>
            <w:noWrap/>
            <w:vAlign w:val="bottom"/>
            <w:hideMark/>
          </w:tcPr>
          <w:p w14:paraId="4BDB6C0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37.2%</w:t>
            </w:r>
          </w:p>
        </w:tc>
        <w:tc>
          <w:tcPr>
            <w:tcW w:w="2126" w:type="dxa"/>
            <w:tcBorders>
              <w:top w:val="nil"/>
              <w:left w:val="single" w:sz="4" w:space="0" w:color="auto"/>
              <w:bottom w:val="nil"/>
              <w:right w:val="nil"/>
            </w:tcBorders>
            <w:shd w:val="clear" w:color="000000" w:fill="FBE2D5"/>
            <w:noWrap/>
            <w:vAlign w:val="bottom"/>
            <w:hideMark/>
          </w:tcPr>
          <w:p w14:paraId="3BCC748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29.5%</w:t>
            </w:r>
          </w:p>
        </w:tc>
        <w:tc>
          <w:tcPr>
            <w:tcW w:w="1984" w:type="dxa"/>
            <w:tcBorders>
              <w:top w:val="nil"/>
              <w:left w:val="nil"/>
              <w:bottom w:val="nil"/>
              <w:right w:val="single" w:sz="4" w:space="0" w:color="auto"/>
            </w:tcBorders>
            <w:shd w:val="clear" w:color="000000" w:fill="FBE2D5"/>
            <w:noWrap/>
            <w:vAlign w:val="bottom"/>
            <w:hideMark/>
          </w:tcPr>
          <w:p w14:paraId="2D9E4D8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45.0%</w:t>
            </w:r>
          </w:p>
        </w:tc>
        <w:tc>
          <w:tcPr>
            <w:tcW w:w="1843" w:type="dxa"/>
            <w:tcBorders>
              <w:top w:val="nil"/>
              <w:left w:val="nil"/>
              <w:bottom w:val="nil"/>
              <w:right w:val="single" w:sz="4" w:space="0" w:color="auto"/>
            </w:tcBorders>
            <w:shd w:val="clear" w:color="000000" w:fill="DAF2D0"/>
            <w:noWrap/>
            <w:vAlign w:val="bottom"/>
            <w:hideMark/>
          </w:tcPr>
          <w:p w14:paraId="2D113DF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35.6%</w:t>
            </w:r>
          </w:p>
        </w:tc>
        <w:tc>
          <w:tcPr>
            <w:tcW w:w="1701" w:type="dxa"/>
            <w:tcBorders>
              <w:top w:val="nil"/>
              <w:left w:val="single" w:sz="4" w:space="0" w:color="auto"/>
              <w:bottom w:val="nil"/>
              <w:right w:val="nil"/>
            </w:tcBorders>
            <w:shd w:val="clear" w:color="000000" w:fill="DAF2D0"/>
            <w:noWrap/>
            <w:vAlign w:val="bottom"/>
            <w:hideMark/>
          </w:tcPr>
          <w:p w14:paraId="0983D5C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37.0%</w:t>
            </w:r>
          </w:p>
        </w:tc>
        <w:tc>
          <w:tcPr>
            <w:tcW w:w="1559" w:type="dxa"/>
            <w:tcBorders>
              <w:top w:val="nil"/>
              <w:left w:val="nil"/>
              <w:bottom w:val="nil"/>
              <w:right w:val="single" w:sz="4" w:space="0" w:color="auto"/>
            </w:tcBorders>
            <w:shd w:val="clear" w:color="000000" w:fill="DAF2D0"/>
            <w:noWrap/>
            <w:vAlign w:val="bottom"/>
            <w:hideMark/>
          </w:tcPr>
          <w:p w14:paraId="21ABDB2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34.1%</w:t>
            </w:r>
          </w:p>
        </w:tc>
      </w:tr>
      <w:tr w:rsidR="005C170A" w:rsidRPr="002D7C87" w14:paraId="61CC935E"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4472AD1A"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center"/>
            <w:hideMark/>
          </w:tcPr>
          <w:p w14:paraId="7E67912A"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Vocational qualification</w:t>
            </w:r>
          </w:p>
        </w:tc>
        <w:tc>
          <w:tcPr>
            <w:tcW w:w="2127" w:type="dxa"/>
            <w:tcBorders>
              <w:top w:val="nil"/>
              <w:left w:val="nil"/>
              <w:bottom w:val="nil"/>
              <w:right w:val="single" w:sz="4" w:space="0" w:color="auto"/>
            </w:tcBorders>
            <w:shd w:val="clear" w:color="000000" w:fill="FBE2D5"/>
            <w:noWrap/>
            <w:vAlign w:val="bottom"/>
            <w:hideMark/>
          </w:tcPr>
          <w:p w14:paraId="6638E67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2.5%</w:t>
            </w:r>
          </w:p>
        </w:tc>
        <w:tc>
          <w:tcPr>
            <w:tcW w:w="2126" w:type="dxa"/>
            <w:tcBorders>
              <w:top w:val="nil"/>
              <w:left w:val="single" w:sz="4" w:space="0" w:color="auto"/>
              <w:bottom w:val="nil"/>
              <w:right w:val="nil"/>
            </w:tcBorders>
            <w:shd w:val="clear" w:color="000000" w:fill="FBE2D5"/>
            <w:noWrap/>
            <w:vAlign w:val="bottom"/>
            <w:hideMark/>
          </w:tcPr>
          <w:p w14:paraId="2FEEB7A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c>
          <w:tcPr>
            <w:tcW w:w="1984" w:type="dxa"/>
            <w:tcBorders>
              <w:top w:val="nil"/>
              <w:left w:val="nil"/>
              <w:bottom w:val="nil"/>
              <w:right w:val="single" w:sz="4" w:space="0" w:color="auto"/>
            </w:tcBorders>
            <w:shd w:val="clear" w:color="000000" w:fill="FBE2D5"/>
            <w:noWrap/>
            <w:vAlign w:val="bottom"/>
            <w:hideMark/>
          </w:tcPr>
          <w:p w14:paraId="740859A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5.0%</w:t>
            </w:r>
          </w:p>
        </w:tc>
        <w:tc>
          <w:tcPr>
            <w:tcW w:w="1843" w:type="dxa"/>
            <w:tcBorders>
              <w:top w:val="nil"/>
              <w:left w:val="nil"/>
              <w:bottom w:val="nil"/>
              <w:right w:val="single" w:sz="4" w:space="0" w:color="auto"/>
            </w:tcBorders>
            <w:shd w:val="clear" w:color="000000" w:fill="DAF2D0"/>
            <w:noWrap/>
            <w:vAlign w:val="bottom"/>
            <w:hideMark/>
          </w:tcPr>
          <w:p w14:paraId="7F637F2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701" w:type="dxa"/>
            <w:tcBorders>
              <w:top w:val="nil"/>
              <w:left w:val="single" w:sz="4" w:space="0" w:color="auto"/>
              <w:bottom w:val="nil"/>
              <w:right w:val="nil"/>
            </w:tcBorders>
            <w:shd w:val="clear" w:color="000000" w:fill="DAF2D0"/>
            <w:noWrap/>
            <w:vAlign w:val="bottom"/>
            <w:hideMark/>
          </w:tcPr>
          <w:p w14:paraId="271108C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nil"/>
              <w:right w:val="single" w:sz="4" w:space="0" w:color="auto"/>
            </w:tcBorders>
            <w:shd w:val="clear" w:color="000000" w:fill="DAF2D0"/>
            <w:noWrap/>
            <w:vAlign w:val="bottom"/>
            <w:hideMark/>
          </w:tcPr>
          <w:p w14:paraId="5389A00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4.5%</w:t>
            </w:r>
          </w:p>
        </w:tc>
      </w:tr>
      <w:tr w:rsidR="005C170A" w:rsidRPr="002D7C87" w14:paraId="0753A6EA"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003E55CB"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center"/>
            <w:hideMark/>
          </w:tcPr>
          <w:p w14:paraId="726DFBA6"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Bachelor’s degree</w:t>
            </w:r>
          </w:p>
        </w:tc>
        <w:tc>
          <w:tcPr>
            <w:tcW w:w="2127" w:type="dxa"/>
            <w:tcBorders>
              <w:top w:val="nil"/>
              <w:left w:val="nil"/>
              <w:bottom w:val="nil"/>
              <w:right w:val="single" w:sz="4" w:space="0" w:color="auto"/>
            </w:tcBorders>
            <w:shd w:val="clear" w:color="000000" w:fill="FBE2D5"/>
            <w:noWrap/>
            <w:vAlign w:val="bottom"/>
            <w:hideMark/>
          </w:tcPr>
          <w:p w14:paraId="005C044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7.4%</w:t>
            </w:r>
          </w:p>
        </w:tc>
        <w:tc>
          <w:tcPr>
            <w:tcW w:w="2126" w:type="dxa"/>
            <w:tcBorders>
              <w:top w:val="nil"/>
              <w:left w:val="single" w:sz="4" w:space="0" w:color="auto"/>
              <w:bottom w:val="nil"/>
              <w:right w:val="nil"/>
            </w:tcBorders>
            <w:shd w:val="clear" w:color="000000" w:fill="FBE2D5"/>
            <w:noWrap/>
            <w:vAlign w:val="bottom"/>
            <w:hideMark/>
          </w:tcPr>
          <w:p w14:paraId="651CA19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6.6%</w:t>
            </w:r>
          </w:p>
        </w:tc>
        <w:tc>
          <w:tcPr>
            <w:tcW w:w="1984" w:type="dxa"/>
            <w:tcBorders>
              <w:top w:val="nil"/>
              <w:left w:val="nil"/>
              <w:bottom w:val="nil"/>
              <w:right w:val="single" w:sz="4" w:space="0" w:color="auto"/>
            </w:tcBorders>
            <w:shd w:val="clear" w:color="000000" w:fill="FBE2D5"/>
            <w:noWrap/>
            <w:vAlign w:val="bottom"/>
            <w:hideMark/>
          </w:tcPr>
          <w:p w14:paraId="1670AFA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8.3%</w:t>
            </w:r>
          </w:p>
        </w:tc>
        <w:tc>
          <w:tcPr>
            <w:tcW w:w="1843" w:type="dxa"/>
            <w:tcBorders>
              <w:top w:val="nil"/>
              <w:left w:val="nil"/>
              <w:bottom w:val="nil"/>
              <w:right w:val="single" w:sz="4" w:space="0" w:color="auto"/>
            </w:tcBorders>
            <w:shd w:val="clear" w:color="000000" w:fill="DAF2D0"/>
            <w:noWrap/>
            <w:vAlign w:val="bottom"/>
            <w:hideMark/>
          </w:tcPr>
          <w:p w14:paraId="7C0F2A3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6.7%</w:t>
            </w:r>
          </w:p>
        </w:tc>
        <w:tc>
          <w:tcPr>
            <w:tcW w:w="1701" w:type="dxa"/>
            <w:tcBorders>
              <w:top w:val="nil"/>
              <w:left w:val="single" w:sz="4" w:space="0" w:color="auto"/>
              <w:bottom w:val="nil"/>
              <w:right w:val="nil"/>
            </w:tcBorders>
            <w:shd w:val="clear" w:color="000000" w:fill="DAF2D0"/>
            <w:noWrap/>
            <w:vAlign w:val="bottom"/>
            <w:hideMark/>
          </w:tcPr>
          <w:p w14:paraId="6CD3D26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4.3%</w:t>
            </w:r>
          </w:p>
        </w:tc>
        <w:tc>
          <w:tcPr>
            <w:tcW w:w="1559" w:type="dxa"/>
            <w:tcBorders>
              <w:top w:val="nil"/>
              <w:left w:val="nil"/>
              <w:bottom w:val="nil"/>
              <w:right w:val="single" w:sz="4" w:space="0" w:color="auto"/>
            </w:tcBorders>
            <w:shd w:val="clear" w:color="000000" w:fill="DAF2D0"/>
            <w:noWrap/>
            <w:vAlign w:val="bottom"/>
            <w:hideMark/>
          </w:tcPr>
          <w:p w14:paraId="153AAEE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9.1%</w:t>
            </w:r>
          </w:p>
        </w:tc>
      </w:tr>
      <w:tr w:rsidR="005C170A" w:rsidRPr="002D7C87" w14:paraId="248A68BD"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2F3702D3"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center"/>
            <w:hideMark/>
          </w:tcPr>
          <w:p w14:paraId="6C742BBF"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Master’s degree</w:t>
            </w:r>
          </w:p>
        </w:tc>
        <w:tc>
          <w:tcPr>
            <w:tcW w:w="2127" w:type="dxa"/>
            <w:tcBorders>
              <w:top w:val="nil"/>
              <w:left w:val="nil"/>
              <w:bottom w:val="nil"/>
              <w:right w:val="single" w:sz="4" w:space="0" w:color="auto"/>
            </w:tcBorders>
            <w:shd w:val="clear" w:color="000000" w:fill="FBE2D5"/>
            <w:noWrap/>
            <w:vAlign w:val="bottom"/>
            <w:hideMark/>
          </w:tcPr>
          <w:p w14:paraId="3FBF291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5.8%</w:t>
            </w:r>
          </w:p>
        </w:tc>
        <w:tc>
          <w:tcPr>
            <w:tcW w:w="2126" w:type="dxa"/>
            <w:tcBorders>
              <w:top w:val="nil"/>
              <w:left w:val="single" w:sz="4" w:space="0" w:color="auto"/>
              <w:bottom w:val="nil"/>
              <w:right w:val="nil"/>
            </w:tcBorders>
            <w:shd w:val="clear" w:color="000000" w:fill="FBE2D5"/>
            <w:noWrap/>
            <w:vAlign w:val="bottom"/>
            <w:hideMark/>
          </w:tcPr>
          <w:p w14:paraId="2397FDA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8.2%</w:t>
            </w:r>
          </w:p>
        </w:tc>
        <w:tc>
          <w:tcPr>
            <w:tcW w:w="1984" w:type="dxa"/>
            <w:tcBorders>
              <w:top w:val="nil"/>
              <w:left w:val="nil"/>
              <w:bottom w:val="nil"/>
              <w:right w:val="single" w:sz="4" w:space="0" w:color="auto"/>
            </w:tcBorders>
            <w:shd w:val="clear" w:color="000000" w:fill="FBE2D5"/>
            <w:noWrap/>
            <w:vAlign w:val="bottom"/>
            <w:hideMark/>
          </w:tcPr>
          <w:p w14:paraId="18EA75D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843" w:type="dxa"/>
            <w:tcBorders>
              <w:top w:val="nil"/>
              <w:left w:val="nil"/>
              <w:bottom w:val="nil"/>
              <w:right w:val="single" w:sz="4" w:space="0" w:color="auto"/>
            </w:tcBorders>
            <w:shd w:val="clear" w:color="000000" w:fill="DAF2D0"/>
            <w:noWrap/>
            <w:vAlign w:val="bottom"/>
            <w:hideMark/>
          </w:tcPr>
          <w:p w14:paraId="75B6825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6.7%</w:t>
            </w:r>
          </w:p>
        </w:tc>
        <w:tc>
          <w:tcPr>
            <w:tcW w:w="1701" w:type="dxa"/>
            <w:tcBorders>
              <w:top w:val="nil"/>
              <w:left w:val="single" w:sz="4" w:space="0" w:color="auto"/>
              <w:bottom w:val="nil"/>
              <w:right w:val="nil"/>
            </w:tcBorders>
            <w:shd w:val="clear" w:color="000000" w:fill="DAF2D0"/>
            <w:noWrap/>
            <w:vAlign w:val="bottom"/>
            <w:hideMark/>
          </w:tcPr>
          <w:p w14:paraId="75B3B61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6.5%</w:t>
            </w:r>
          </w:p>
        </w:tc>
        <w:tc>
          <w:tcPr>
            <w:tcW w:w="1559" w:type="dxa"/>
            <w:tcBorders>
              <w:top w:val="nil"/>
              <w:left w:val="nil"/>
              <w:bottom w:val="nil"/>
              <w:right w:val="single" w:sz="4" w:space="0" w:color="auto"/>
            </w:tcBorders>
            <w:shd w:val="clear" w:color="000000" w:fill="DAF2D0"/>
            <w:noWrap/>
            <w:vAlign w:val="bottom"/>
            <w:hideMark/>
          </w:tcPr>
          <w:p w14:paraId="0A5CC8A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6.8%</w:t>
            </w:r>
          </w:p>
        </w:tc>
      </w:tr>
      <w:tr w:rsidR="005C170A" w:rsidRPr="002D7C87" w14:paraId="0EF3229B"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6CE0EBBB"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center"/>
            <w:hideMark/>
          </w:tcPr>
          <w:p w14:paraId="0BC0534E"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Doctorate</w:t>
            </w:r>
          </w:p>
        </w:tc>
        <w:tc>
          <w:tcPr>
            <w:tcW w:w="2127" w:type="dxa"/>
            <w:tcBorders>
              <w:top w:val="nil"/>
              <w:left w:val="nil"/>
              <w:bottom w:val="nil"/>
              <w:right w:val="single" w:sz="4" w:space="0" w:color="auto"/>
            </w:tcBorders>
            <w:shd w:val="clear" w:color="000000" w:fill="FBE2D5"/>
            <w:noWrap/>
            <w:vAlign w:val="bottom"/>
            <w:hideMark/>
          </w:tcPr>
          <w:p w14:paraId="6C48A03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w:t>
            </w:r>
          </w:p>
        </w:tc>
        <w:tc>
          <w:tcPr>
            <w:tcW w:w="2126" w:type="dxa"/>
            <w:tcBorders>
              <w:top w:val="nil"/>
              <w:left w:val="single" w:sz="4" w:space="0" w:color="auto"/>
              <w:bottom w:val="nil"/>
              <w:right w:val="nil"/>
            </w:tcBorders>
            <w:shd w:val="clear" w:color="000000" w:fill="FBE2D5"/>
            <w:noWrap/>
            <w:vAlign w:val="bottom"/>
            <w:hideMark/>
          </w:tcPr>
          <w:p w14:paraId="39383A3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1.6%</w:t>
            </w:r>
          </w:p>
        </w:tc>
        <w:tc>
          <w:tcPr>
            <w:tcW w:w="1984" w:type="dxa"/>
            <w:tcBorders>
              <w:top w:val="nil"/>
              <w:left w:val="nil"/>
              <w:bottom w:val="nil"/>
              <w:right w:val="single" w:sz="4" w:space="0" w:color="auto"/>
            </w:tcBorders>
            <w:shd w:val="clear" w:color="000000" w:fill="FBE2D5"/>
            <w:noWrap/>
            <w:vAlign w:val="bottom"/>
            <w:hideMark/>
          </w:tcPr>
          <w:p w14:paraId="3D1F66E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w:t>
            </w:r>
          </w:p>
        </w:tc>
        <w:tc>
          <w:tcPr>
            <w:tcW w:w="1843" w:type="dxa"/>
            <w:tcBorders>
              <w:top w:val="nil"/>
              <w:left w:val="nil"/>
              <w:bottom w:val="nil"/>
              <w:right w:val="single" w:sz="4" w:space="0" w:color="auto"/>
            </w:tcBorders>
            <w:shd w:val="clear" w:color="000000" w:fill="DAF2D0"/>
            <w:noWrap/>
            <w:vAlign w:val="bottom"/>
            <w:hideMark/>
          </w:tcPr>
          <w:p w14:paraId="78BC0BA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w:t>
            </w:r>
          </w:p>
        </w:tc>
        <w:tc>
          <w:tcPr>
            <w:tcW w:w="1701" w:type="dxa"/>
            <w:tcBorders>
              <w:top w:val="nil"/>
              <w:left w:val="single" w:sz="4" w:space="0" w:color="auto"/>
              <w:bottom w:val="nil"/>
              <w:right w:val="nil"/>
            </w:tcBorders>
            <w:shd w:val="clear" w:color="000000" w:fill="DAF2D0"/>
            <w:noWrap/>
            <w:vAlign w:val="bottom"/>
            <w:hideMark/>
          </w:tcPr>
          <w:p w14:paraId="6117EE0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nil"/>
              <w:right w:val="single" w:sz="4" w:space="0" w:color="auto"/>
            </w:tcBorders>
            <w:shd w:val="clear" w:color="000000" w:fill="DAF2D0"/>
            <w:noWrap/>
            <w:vAlign w:val="bottom"/>
            <w:hideMark/>
          </w:tcPr>
          <w:p w14:paraId="6E13F6E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r>
      <w:tr w:rsidR="005C170A" w:rsidRPr="002D7C87" w14:paraId="0B0C1FB3"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20835A5E"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single" w:sz="4" w:space="0" w:color="auto"/>
              <w:right w:val="single" w:sz="4" w:space="0" w:color="auto"/>
            </w:tcBorders>
            <w:noWrap/>
            <w:vAlign w:val="center"/>
            <w:hideMark/>
          </w:tcPr>
          <w:p w14:paraId="6A2E9B9E"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Prefer not to say</w:t>
            </w:r>
          </w:p>
        </w:tc>
        <w:tc>
          <w:tcPr>
            <w:tcW w:w="2127" w:type="dxa"/>
            <w:tcBorders>
              <w:top w:val="nil"/>
              <w:left w:val="nil"/>
              <w:bottom w:val="single" w:sz="4" w:space="0" w:color="auto"/>
              <w:right w:val="single" w:sz="4" w:space="0" w:color="auto"/>
            </w:tcBorders>
            <w:shd w:val="clear" w:color="000000" w:fill="FBE2D5"/>
            <w:noWrap/>
            <w:vAlign w:val="bottom"/>
            <w:hideMark/>
          </w:tcPr>
          <w:p w14:paraId="1914E39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2126" w:type="dxa"/>
            <w:tcBorders>
              <w:top w:val="nil"/>
              <w:left w:val="single" w:sz="4" w:space="0" w:color="auto"/>
              <w:bottom w:val="single" w:sz="4" w:space="0" w:color="auto"/>
              <w:right w:val="nil"/>
            </w:tcBorders>
            <w:shd w:val="clear" w:color="000000" w:fill="FBE2D5"/>
            <w:noWrap/>
            <w:vAlign w:val="bottom"/>
            <w:hideMark/>
          </w:tcPr>
          <w:p w14:paraId="516B5CD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984" w:type="dxa"/>
            <w:tcBorders>
              <w:top w:val="nil"/>
              <w:left w:val="nil"/>
              <w:bottom w:val="single" w:sz="4" w:space="0" w:color="auto"/>
              <w:right w:val="single" w:sz="4" w:space="0" w:color="auto"/>
            </w:tcBorders>
            <w:shd w:val="clear" w:color="000000" w:fill="FBE2D5"/>
            <w:noWrap/>
            <w:vAlign w:val="bottom"/>
            <w:hideMark/>
          </w:tcPr>
          <w:p w14:paraId="1ED46C4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843" w:type="dxa"/>
            <w:tcBorders>
              <w:top w:val="nil"/>
              <w:left w:val="nil"/>
              <w:bottom w:val="single" w:sz="4" w:space="0" w:color="auto"/>
              <w:right w:val="single" w:sz="4" w:space="0" w:color="auto"/>
            </w:tcBorders>
            <w:shd w:val="clear" w:color="000000" w:fill="DAF2D0"/>
            <w:noWrap/>
            <w:vAlign w:val="bottom"/>
            <w:hideMark/>
          </w:tcPr>
          <w:p w14:paraId="564BD6E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4.4%</w:t>
            </w:r>
          </w:p>
        </w:tc>
        <w:tc>
          <w:tcPr>
            <w:tcW w:w="1701" w:type="dxa"/>
            <w:tcBorders>
              <w:top w:val="nil"/>
              <w:left w:val="single" w:sz="4" w:space="0" w:color="auto"/>
              <w:bottom w:val="single" w:sz="4" w:space="0" w:color="auto"/>
              <w:right w:val="nil"/>
            </w:tcBorders>
            <w:shd w:val="clear" w:color="000000" w:fill="DAF2D0"/>
            <w:noWrap/>
            <w:vAlign w:val="bottom"/>
            <w:hideMark/>
          </w:tcPr>
          <w:p w14:paraId="367F812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6.5%</w:t>
            </w:r>
          </w:p>
        </w:tc>
        <w:tc>
          <w:tcPr>
            <w:tcW w:w="1559" w:type="dxa"/>
            <w:tcBorders>
              <w:top w:val="nil"/>
              <w:left w:val="nil"/>
              <w:bottom w:val="single" w:sz="4" w:space="0" w:color="auto"/>
              <w:right w:val="single" w:sz="4" w:space="0" w:color="auto"/>
            </w:tcBorders>
            <w:shd w:val="clear" w:color="000000" w:fill="DAF2D0"/>
            <w:noWrap/>
            <w:vAlign w:val="bottom"/>
            <w:hideMark/>
          </w:tcPr>
          <w:p w14:paraId="548B9CD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2.3%</w:t>
            </w:r>
          </w:p>
        </w:tc>
      </w:tr>
      <w:tr w:rsidR="005C170A" w:rsidRPr="002D7C87" w14:paraId="4E0EE821" w14:textId="77777777" w:rsidTr="00EC1BB6">
        <w:trPr>
          <w:trHeight w:val="320"/>
        </w:trPr>
        <w:tc>
          <w:tcPr>
            <w:tcW w:w="1628" w:type="dxa"/>
            <w:vMerge w:val="restart"/>
            <w:tcBorders>
              <w:top w:val="nil"/>
              <w:left w:val="single" w:sz="4" w:space="0" w:color="auto"/>
              <w:bottom w:val="single" w:sz="4" w:space="0" w:color="000000"/>
              <w:right w:val="nil"/>
            </w:tcBorders>
            <w:vAlign w:val="center"/>
            <w:hideMark/>
          </w:tcPr>
          <w:p w14:paraId="6B28CFB8" w14:textId="77777777"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 xml:space="preserve">How would you rate your ability to use English? </w:t>
            </w:r>
          </w:p>
        </w:tc>
        <w:tc>
          <w:tcPr>
            <w:tcW w:w="2336" w:type="dxa"/>
            <w:tcBorders>
              <w:top w:val="nil"/>
              <w:left w:val="single" w:sz="4" w:space="0" w:color="auto"/>
              <w:bottom w:val="nil"/>
              <w:right w:val="single" w:sz="4" w:space="0" w:color="auto"/>
            </w:tcBorders>
            <w:noWrap/>
            <w:vAlign w:val="bottom"/>
            <w:hideMark/>
          </w:tcPr>
          <w:p w14:paraId="17B5C0CE"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No response</w:t>
            </w:r>
          </w:p>
        </w:tc>
        <w:tc>
          <w:tcPr>
            <w:tcW w:w="2127" w:type="dxa"/>
            <w:tcBorders>
              <w:top w:val="nil"/>
              <w:left w:val="nil"/>
              <w:bottom w:val="nil"/>
              <w:right w:val="single" w:sz="4" w:space="0" w:color="auto"/>
            </w:tcBorders>
            <w:shd w:val="clear" w:color="000000" w:fill="FBE2D5"/>
            <w:noWrap/>
            <w:vAlign w:val="bottom"/>
            <w:hideMark/>
          </w:tcPr>
          <w:p w14:paraId="32B2552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2.5%</w:t>
            </w:r>
          </w:p>
        </w:tc>
        <w:tc>
          <w:tcPr>
            <w:tcW w:w="2126" w:type="dxa"/>
            <w:tcBorders>
              <w:top w:val="nil"/>
              <w:left w:val="single" w:sz="4" w:space="0" w:color="auto"/>
              <w:bottom w:val="nil"/>
              <w:right w:val="nil"/>
            </w:tcBorders>
            <w:shd w:val="clear" w:color="000000" w:fill="FBE2D5"/>
            <w:noWrap/>
            <w:vAlign w:val="bottom"/>
            <w:hideMark/>
          </w:tcPr>
          <w:p w14:paraId="7E79D3D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1.6%</w:t>
            </w:r>
          </w:p>
        </w:tc>
        <w:tc>
          <w:tcPr>
            <w:tcW w:w="1984" w:type="dxa"/>
            <w:tcBorders>
              <w:top w:val="nil"/>
              <w:left w:val="nil"/>
              <w:bottom w:val="nil"/>
              <w:right w:val="single" w:sz="4" w:space="0" w:color="auto"/>
            </w:tcBorders>
            <w:shd w:val="clear" w:color="000000" w:fill="FBE2D5"/>
            <w:noWrap/>
            <w:vAlign w:val="bottom"/>
            <w:hideMark/>
          </w:tcPr>
          <w:p w14:paraId="22BFF58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843" w:type="dxa"/>
            <w:tcBorders>
              <w:top w:val="nil"/>
              <w:left w:val="nil"/>
              <w:bottom w:val="nil"/>
              <w:right w:val="single" w:sz="4" w:space="0" w:color="auto"/>
            </w:tcBorders>
            <w:shd w:val="clear" w:color="000000" w:fill="DAF2D0"/>
            <w:noWrap/>
            <w:vAlign w:val="bottom"/>
            <w:hideMark/>
          </w:tcPr>
          <w:p w14:paraId="393B3EF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701" w:type="dxa"/>
            <w:tcBorders>
              <w:top w:val="nil"/>
              <w:left w:val="single" w:sz="4" w:space="0" w:color="auto"/>
              <w:bottom w:val="nil"/>
              <w:right w:val="nil"/>
            </w:tcBorders>
            <w:shd w:val="clear" w:color="000000" w:fill="DAF2D0"/>
            <w:noWrap/>
            <w:vAlign w:val="bottom"/>
            <w:hideMark/>
          </w:tcPr>
          <w:p w14:paraId="30EA89E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nil"/>
              <w:right w:val="single" w:sz="4" w:space="0" w:color="auto"/>
            </w:tcBorders>
            <w:shd w:val="clear" w:color="000000" w:fill="DAF2D0"/>
            <w:noWrap/>
            <w:vAlign w:val="bottom"/>
            <w:hideMark/>
          </w:tcPr>
          <w:p w14:paraId="30B9416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2.3%</w:t>
            </w:r>
          </w:p>
        </w:tc>
      </w:tr>
      <w:tr w:rsidR="005C170A" w:rsidRPr="002D7C87" w14:paraId="354F2DB2"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2CEC206B"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79A467F5"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Very poor</w:t>
            </w:r>
          </w:p>
        </w:tc>
        <w:tc>
          <w:tcPr>
            <w:tcW w:w="2127" w:type="dxa"/>
            <w:tcBorders>
              <w:top w:val="nil"/>
              <w:left w:val="nil"/>
              <w:bottom w:val="nil"/>
              <w:right w:val="single" w:sz="4" w:space="0" w:color="auto"/>
            </w:tcBorders>
            <w:shd w:val="clear" w:color="000000" w:fill="FBE2D5"/>
            <w:noWrap/>
            <w:vAlign w:val="bottom"/>
            <w:hideMark/>
          </w:tcPr>
          <w:p w14:paraId="33351FF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13.2%</w:t>
            </w:r>
          </w:p>
        </w:tc>
        <w:tc>
          <w:tcPr>
            <w:tcW w:w="2126" w:type="dxa"/>
            <w:tcBorders>
              <w:top w:val="nil"/>
              <w:left w:val="single" w:sz="4" w:space="0" w:color="auto"/>
              <w:bottom w:val="nil"/>
              <w:right w:val="nil"/>
            </w:tcBorders>
            <w:shd w:val="clear" w:color="000000" w:fill="FBE2D5"/>
            <w:noWrap/>
            <w:vAlign w:val="bottom"/>
            <w:hideMark/>
          </w:tcPr>
          <w:p w14:paraId="1817E0E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16.4%</w:t>
            </w:r>
          </w:p>
        </w:tc>
        <w:tc>
          <w:tcPr>
            <w:tcW w:w="1984" w:type="dxa"/>
            <w:tcBorders>
              <w:top w:val="nil"/>
              <w:left w:val="nil"/>
              <w:bottom w:val="nil"/>
              <w:right w:val="single" w:sz="4" w:space="0" w:color="auto"/>
            </w:tcBorders>
            <w:shd w:val="clear" w:color="000000" w:fill="FBE2D5"/>
            <w:noWrap/>
            <w:vAlign w:val="bottom"/>
            <w:hideMark/>
          </w:tcPr>
          <w:p w14:paraId="671B00A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10.0%</w:t>
            </w:r>
          </w:p>
        </w:tc>
        <w:tc>
          <w:tcPr>
            <w:tcW w:w="1843" w:type="dxa"/>
            <w:tcBorders>
              <w:top w:val="nil"/>
              <w:left w:val="nil"/>
              <w:bottom w:val="nil"/>
              <w:right w:val="single" w:sz="4" w:space="0" w:color="auto"/>
            </w:tcBorders>
            <w:shd w:val="clear" w:color="000000" w:fill="DAF2D0"/>
            <w:noWrap/>
            <w:vAlign w:val="bottom"/>
            <w:hideMark/>
          </w:tcPr>
          <w:p w14:paraId="11F4527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15.6%</w:t>
            </w:r>
          </w:p>
        </w:tc>
        <w:tc>
          <w:tcPr>
            <w:tcW w:w="1701" w:type="dxa"/>
            <w:tcBorders>
              <w:top w:val="nil"/>
              <w:left w:val="single" w:sz="4" w:space="0" w:color="auto"/>
              <w:bottom w:val="nil"/>
              <w:right w:val="nil"/>
            </w:tcBorders>
            <w:shd w:val="clear" w:color="000000" w:fill="DAF2D0"/>
            <w:noWrap/>
            <w:vAlign w:val="bottom"/>
            <w:hideMark/>
          </w:tcPr>
          <w:p w14:paraId="650BA21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19.6%</w:t>
            </w:r>
          </w:p>
        </w:tc>
        <w:tc>
          <w:tcPr>
            <w:tcW w:w="1559" w:type="dxa"/>
            <w:tcBorders>
              <w:top w:val="nil"/>
              <w:left w:val="nil"/>
              <w:bottom w:val="nil"/>
              <w:right w:val="single" w:sz="4" w:space="0" w:color="auto"/>
            </w:tcBorders>
            <w:shd w:val="clear" w:color="000000" w:fill="DAF2D0"/>
            <w:noWrap/>
            <w:vAlign w:val="bottom"/>
            <w:hideMark/>
          </w:tcPr>
          <w:p w14:paraId="0A568C4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11.4%</w:t>
            </w:r>
          </w:p>
        </w:tc>
      </w:tr>
      <w:tr w:rsidR="005C170A" w:rsidRPr="002D7C87" w14:paraId="5B19F5B5"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3998D337"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36EBBEBF"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Poor</w:t>
            </w:r>
          </w:p>
        </w:tc>
        <w:tc>
          <w:tcPr>
            <w:tcW w:w="2127" w:type="dxa"/>
            <w:tcBorders>
              <w:top w:val="nil"/>
              <w:left w:val="nil"/>
              <w:bottom w:val="nil"/>
              <w:right w:val="single" w:sz="4" w:space="0" w:color="auto"/>
            </w:tcBorders>
            <w:shd w:val="clear" w:color="000000" w:fill="FBE2D5"/>
            <w:noWrap/>
            <w:vAlign w:val="bottom"/>
            <w:hideMark/>
          </w:tcPr>
          <w:p w14:paraId="0D01701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9.9%</w:t>
            </w:r>
          </w:p>
        </w:tc>
        <w:tc>
          <w:tcPr>
            <w:tcW w:w="2126" w:type="dxa"/>
            <w:tcBorders>
              <w:top w:val="nil"/>
              <w:left w:val="single" w:sz="4" w:space="0" w:color="auto"/>
              <w:bottom w:val="nil"/>
              <w:right w:val="nil"/>
            </w:tcBorders>
            <w:shd w:val="clear" w:color="000000" w:fill="FBE2D5"/>
            <w:noWrap/>
            <w:vAlign w:val="bottom"/>
            <w:hideMark/>
          </w:tcPr>
          <w:p w14:paraId="0B35FFD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9.8%</w:t>
            </w:r>
          </w:p>
        </w:tc>
        <w:tc>
          <w:tcPr>
            <w:tcW w:w="1984" w:type="dxa"/>
            <w:tcBorders>
              <w:top w:val="nil"/>
              <w:left w:val="nil"/>
              <w:bottom w:val="nil"/>
              <w:right w:val="single" w:sz="4" w:space="0" w:color="auto"/>
            </w:tcBorders>
            <w:shd w:val="clear" w:color="000000" w:fill="FBE2D5"/>
            <w:noWrap/>
            <w:vAlign w:val="bottom"/>
            <w:hideMark/>
          </w:tcPr>
          <w:p w14:paraId="31A5B58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10.0%</w:t>
            </w:r>
          </w:p>
        </w:tc>
        <w:tc>
          <w:tcPr>
            <w:tcW w:w="1843" w:type="dxa"/>
            <w:tcBorders>
              <w:top w:val="nil"/>
              <w:left w:val="nil"/>
              <w:bottom w:val="nil"/>
              <w:right w:val="single" w:sz="4" w:space="0" w:color="auto"/>
            </w:tcBorders>
            <w:shd w:val="clear" w:color="000000" w:fill="DAF2D0"/>
            <w:noWrap/>
            <w:vAlign w:val="bottom"/>
            <w:hideMark/>
          </w:tcPr>
          <w:p w14:paraId="3D30BEC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10.0%</w:t>
            </w:r>
          </w:p>
        </w:tc>
        <w:tc>
          <w:tcPr>
            <w:tcW w:w="1701" w:type="dxa"/>
            <w:tcBorders>
              <w:top w:val="nil"/>
              <w:left w:val="single" w:sz="4" w:space="0" w:color="auto"/>
              <w:bottom w:val="nil"/>
              <w:right w:val="nil"/>
            </w:tcBorders>
            <w:shd w:val="clear" w:color="000000" w:fill="DAF2D0"/>
            <w:noWrap/>
            <w:vAlign w:val="bottom"/>
            <w:hideMark/>
          </w:tcPr>
          <w:p w14:paraId="1213928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8.7%</w:t>
            </w:r>
          </w:p>
        </w:tc>
        <w:tc>
          <w:tcPr>
            <w:tcW w:w="1559" w:type="dxa"/>
            <w:tcBorders>
              <w:top w:val="nil"/>
              <w:left w:val="nil"/>
              <w:bottom w:val="nil"/>
              <w:right w:val="single" w:sz="4" w:space="0" w:color="auto"/>
            </w:tcBorders>
            <w:shd w:val="clear" w:color="000000" w:fill="DAF2D0"/>
            <w:noWrap/>
            <w:vAlign w:val="bottom"/>
            <w:hideMark/>
          </w:tcPr>
          <w:p w14:paraId="13E88A9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11.4%</w:t>
            </w:r>
          </w:p>
        </w:tc>
      </w:tr>
      <w:tr w:rsidR="005C170A" w:rsidRPr="002D7C87" w14:paraId="307143BF"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0DF410B3"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673164BD"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Fair</w:t>
            </w:r>
          </w:p>
        </w:tc>
        <w:tc>
          <w:tcPr>
            <w:tcW w:w="2127" w:type="dxa"/>
            <w:tcBorders>
              <w:top w:val="nil"/>
              <w:left w:val="nil"/>
              <w:bottom w:val="nil"/>
              <w:right w:val="single" w:sz="4" w:space="0" w:color="auto"/>
            </w:tcBorders>
            <w:shd w:val="clear" w:color="000000" w:fill="FBE2D5"/>
            <w:noWrap/>
            <w:vAlign w:val="bottom"/>
            <w:hideMark/>
          </w:tcPr>
          <w:p w14:paraId="6CF28BF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52.9%</w:t>
            </w:r>
          </w:p>
        </w:tc>
        <w:tc>
          <w:tcPr>
            <w:tcW w:w="2126" w:type="dxa"/>
            <w:tcBorders>
              <w:top w:val="nil"/>
              <w:left w:val="single" w:sz="4" w:space="0" w:color="auto"/>
              <w:bottom w:val="nil"/>
              <w:right w:val="nil"/>
            </w:tcBorders>
            <w:shd w:val="clear" w:color="000000" w:fill="FBE2D5"/>
            <w:noWrap/>
            <w:vAlign w:val="bottom"/>
            <w:hideMark/>
          </w:tcPr>
          <w:p w14:paraId="2FF04C6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49.2%</w:t>
            </w:r>
          </w:p>
        </w:tc>
        <w:tc>
          <w:tcPr>
            <w:tcW w:w="1984" w:type="dxa"/>
            <w:tcBorders>
              <w:top w:val="nil"/>
              <w:left w:val="nil"/>
              <w:bottom w:val="nil"/>
              <w:right w:val="single" w:sz="4" w:space="0" w:color="auto"/>
            </w:tcBorders>
            <w:shd w:val="clear" w:color="000000" w:fill="FBE2D5"/>
            <w:noWrap/>
            <w:vAlign w:val="bottom"/>
            <w:hideMark/>
          </w:tcPr>
          <w:p w14:paraId="30AF3AB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56.7%</w:t>
            </w:r>
          </w:p>
        </w:tc>
        <w:tc>
          <w:tcPr>
            <w:tcW w:w="1843" w:type="dxa"/>
            <w:tcBorders>
              <w:top w:val="nil"/>
              <w:left w:val="nil"/>
              <w:bottom w:val="nil"/>
              <w:right w:val="single" w:sz="4" w:space="0" w:color="auto"/>
            </w:tcBorders>
            <w:shd w:val="clear" w:color="000000" w:fill="DAF2D0"/>
            <w:noWrap/>
            <w:vAlign w:val="bottom"/>
            <w:hideMark/>
          </w:tcPr>
          <w:p w14:paraId="4D6C8CF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52.2%</w:t>
            </w:r>
          </w:p>
        </w:tc>
        <w:tc>
          <w:tcPr>
            <w:tcW w:w="1701" w:type="dxa"/>
            <w:tcBorders>
              <w:top w:val="nil"/>
              <w:left w:val="single" w:sz="4" w:space="0" w:color="auto"/>
              <w:bottom w:val="nil"/>
              <w:right w:val="nil"/>
            </w:tcBorders>
            <w:shd w:val="clear" w:color="000000" w:fill="DAF2D0"/>
            <w:noWrap/>
            <w:vAlign w:val="bottom"/>
            <w:hideMark/>
          </w:tcPr>
          <w:p w14:paraId="5869D88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47.8%</w:t>
            </w:r>
          </w:p>
        </w:tc>
        <w:tc>
          <w:tcPr>
            <w:tcW w:w="1559" w:type="dxa"/>
            <w:tcBorders>
              <w:top w:val="nil"/>
              <w:left w:val="nil"/>
              <w:bottom w:val="nil"/>
              <w:right w:val="single" w:sz="4" w:space="0" w:color="auto"/>
            </w:tcBorders>
            <w:shd w:val="clear" w:color="000000" w:fill="DAF2D0"/>
            <w:noWrap/>
            <w:vAlign w:val="bottom"/>
            <w:hideMark/>
          </w:tcPr>
          <w:p w14:paraId="6FA5386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56.8%</w:t>
            </w:r>
          </w:p>
        </w:tc>
      </w:tr>
      <w:tr w:rsidR="005C170A" w:rsidRPr="002D7C87" w14:paraId="27875664"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0440D420"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46168C04"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Good</w:t>
            </w:r>
          </w:p>
        </w:tc>
        <w:tc>
          <w:tcPr>
            <w:tcW w:w="2127" w:type="dxa"/>
            <w:tcBorders>
              <w:top w:val="nil"/>
              <w:left w:val="nil"/>
              <w:bottom w:val="nil"/>
              <w:right w:val="single" w:sz="4" w:space="0" w:color="auto"/>
            </w:tcBorders>
            <w:shd w:val="clear" w:color="000000" w:fill="FBE2D5"/>
            <w:noWrap/>
            <w:vAlign w:val="bottom"/>
            <w:hideMark/>
          </w:tcPr>
          <w:p w14:paraId="6A065EB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14.0%</w:t>
            </w:r>
          </w:p>
        </w:tc>
        <w:tc>
          <w:tcPr>
            <w:tcW w:w="2126" w:type="dxa"/>
            <w:tcBorders>
              <w:top w:val="nil"/>
              <w:left w:val="single" w:sz="4" w:space="0" w:color="auto"/>
              <w:bottom w:val="nil"/>
              <w:right w:val="nil"/>
            </w:tcBorders>
            <w:shd w:val="clear" w:color="000000" w:fill="FBE2D5"/>
            <w:noWrap/>
            <w:vAlign w:val="bottom"/>
            <w:hideMark/>
          </w:tcPr>
          <w:p w14:paraId="116CE74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14.8%</w:t>
            </w:r>
          </w:p>
        </w:tc>
        <w:tc>
          <w:tcPr>
            <w:tcW w:w="1984" w:type="dxa"/>
            <w:tcBorders>
              <w:top w:val="nil"/>
              <w:left w:val="nil"/>
              <w:bottom w:val="nil"/>
              <w:right w:val="single" w:sz="4" w:space="0" w:color="auto"/>
            </w:tcBorders>
            <w:shd w:val="clear" w:color="000000" w:fill="FBE2D5"/>
            <w:noWrap/>
            <w:vAlign w:val="bottom"/>
            <w:hideMark/>
          </w:tcPr>
          <w:p w14:paraId="19F1633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13.3%</w:t>
            </w:r>
          </w:p>
        </w:tc>
        <w:tc>
          <w:tcPr>
            <w:tcW w:w="1843" w:type="dxa"/>
            <w:tcBorders>
              <w:top w:val="nil"/>
              <w:left w:val="nil"/>
              <w:bottom w:val="nil"/>
              <w:right w:val="single" w:sz="4" w:space="0" w:color="auto"/>
            </w:tcBorders>
            <w:shd w:val="clear" w:color="000000" w:fill="DAF2D0"/>
            <w:noWrap/>
            <w:vAlign w:val="bottom"/>
            <w:hideMark/>
          </w:tcPr>
          <w:p w14:paraId="5C78E9D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13.3%</w:t>
            </w:r>
          </w:p>
        </w:tc>
        <w:tc>
          <w:tcPr>
            <w:tcW w:w="1701" w:type="dxa"/>
            <w:tcBorders>
              <w:top w:val="nil"/>
              <w:left w:val="single" w:sz="4" w:space="0" w:color="auto"/>
              <w:bottom w:val="nil"/>
              <w:right w:val="nil"/>
            </w:tcBorders>
            <w:shd w:val="clear" w:color="000000" w:fill="DAF2D0"/>
            <w:noWrap/>
            <w:vAlign w:val="bottom"/>
            <w:hideMark/>
          </w:tcPr>
          <w:p w14:paraId="25AF85F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17.4%</w:t>
            </w:r>
          </w:p>
        </w:tc>
        <w:tc>
          <w:tcPr>
            <w:tcW w:w="1559" w:type="dxa"/>
            <w:tcBorders>
              <w:top w:val="nil"/>
              <w:left w:val="nil"/>
              <w:bottom w:val="nil"/>
              <w:right w:val="single" w:sz="4" w:space="0" w:color="auto"/>
            </w:tcBorders>
            <w:shd w:val="clear" w:color="000000" w:fill="DAF2D0"/>
            <w:noWrap/>
            <w:vAlign w:val="bottom"/>
            <w:hideMark/>
          </w:tcPr>
          <w:p w14:paraId="59B2482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9.1%</w:t>
            </w:r>
          </w:p>
        </w:tc>
      </w:tr>
      <w:tr w:rsidR="005C170A" w:rsidRPr="002D7C87" w14:paraId="633FDCD5"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0E09F9B9"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2FBDD4F2"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Very good</w:t>
            </w:r>
          </w:p>
        </w:tc>
        <w:tc>
          <w:tcPr>
            <w:tcW w:w="2127" w:type="dxa"/>
            <w:tcBorders>
              <w:top w:val="nil"/>
              <w:left w:val="nil"/>
              <w:bottom w:val="nil"/>
              <w:right w:val="single" w:sz="4" w:space="0" w:color="auto"/>
            </w:tcBorders>
            <w:shd w:val="clear" w:color="000000" w:fill="FBE2D5"/>
            <w:noWrap/>
            <w:vAlign w:val="bottom"/>
            <w:hideMark/>
          </w:tcPr>
          <w:p w14:paraId="209F1E3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2.5%</w:t>
            </w:r>
          </w:p>
        </w:tc>
        <w:tc>
          <w:tcPr>
            <w:tcW w:w="2126" w:type="dxa"/>
            <w:tcBorders>
              <w:top w:val="nil"/>
              <w:left w:val="single" w:sz="4" w:space="0" w:color="auto"/>
              <w:bottom w:val="nil"/>
              <w:right w:val="nil"/>
            </w:tcBorders>
            <w:shd w:val="clear" w:color="000000" w:fill="FBE2D5"/>
            <w:noWrap/>
            <w:vAlign w:val="bottom"/>
            <w:hideMark/>
          </w:tcPr>
          <w:p w14:paraId="1357A0D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984" w:type="dxa"/>
            <w:tcBorders>
              <w:top w:val="nil"/>
              <w:left w:val="nil"/>
              <w:bottom w:val="nil"/>
              <w:right w:val="single" w:sz="4" w:space="0" w:color="auto"/>
            </w:tcBorders>
            <w:shd w:val="clear" w:color="000000" w:fill="FBE2D5"/>
            <w:noWrap/>
            <w:vAlign w:val="bottom"/>
            <w:hideMark/>
          </w:tcPr>
          <w:p w14:paraId="23C3198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w:t>
            </w:r>
          </w:p>
        </w:tc>
        <w:tc>
          <w:tcPr>
            <w:tcW w:w="1843" w:type="dxa"/>
            <w:tcBorders>
              <w:top w:val="nil"/>
              <w:left w:val="nil"/>
              <w:bottom w:val="nil"/>
              <w:right w:val="single" w:sz="4" w:space="0" w:color="auto"/>
            </w:tcBorders>
            <w:shd w:val="clear" w:color="000000" w:fill="DAF2D0"/>
            <w:noWrap/>
            <w:vAlign w:val="bottom"/>
            <w:hideMark/>
          </w:tcPr>
          <w:p w14:paraId="0EB7F2D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701" w:type="dxa"/>
            <w:tcBorders>
              <w:top w:val="nil"/>
              <w:left w:val="single" w:sz="4" w:space="0" w:color="auto"/>
              <w:bottom w:val="nil"/>
              <w:right w:val="nil"/>
            </w:tcBorders>
            <w:shd w:val="clear" w:color="000000" w:fill="DAF2D0"/>
            <w:noWrap/>
            <w:vAlign w:val="bottom"/>
            <w:hideMark/>
          </w:tcPr>
          <w:p w14:paraId="41EBF9E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nil"/>
              <w:right w:val="single" w:sz="4" w:space="0" w:color="auto"/>
            </w:tcBorders>
            <w:shd w:val="clear" w:color="000000" w:fill="DAF2D0"/>
            <w:noWrap/>
            <w:vAlign w:val="bottom"/>
            <w:hideMark/>
          </w:tcPr>
          <w:p w14:paraId="14DFA81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2.3%</w:t>
            </w:r>
          </w:p>
        </w:tc>
      </w:tr>
      <w:tr w:rsidR="005C170A" w:rsidRPr="002D7C87" w14:paraId="196FBFC4" w14:textId="77777777" w:rsidTr="00EC1BB6">
        <w:trPr>
          <w:trHeight w:val="320"/>
        </w:trPr>
        <w:tc>
          <w:tcPr>
            <w:tcW w:w="1628" w:type="dxa"/>
            <w:vMerge/>
            <w:tcBorders>
              <w:top w:val="nil"/>
              <w:left w:val="single" w:sz="4" w:space="0" w:color="auto"/>
              <w:bottom w:val="single" w:sz="4" w:space="0" w:color="000000"/>
              <w:right w:val="nil"/>
            </w:tcBorders>
            <w:vAlign w:val="center"/>
            <w:hideMark/>
          </w:tcPr>
          <w:p w14:paraId="2407C1DB"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single" w:sz="4" w:space="0" w:color="auto"/>
              <w:right w:val="single" w:sz="4" w:space="0" w:color="auto"/>
            </w:tcBorders>
            <w:noWrap/>
            <w:vAlign w:val="bottom"/>
            <w:hideMark/>
          </w:tcPr>
          <w:p w14:paraId="58A4A64E"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Excellent</w:t>
            </w:r>
          </w:p>
        </w:tc>
        <w:tc>
          <w:tcPr>
            <w:tcW w:w="2127" w:type="dxa"/>
            <w:tcBorders>
              <w:top w:val="nil"/>
              <w:left w:val="nil"/>
              <w:bottom w:val="single" w:sz="4" w:space="0" w:color="auto"/>
              <w:right w:val="single" w:sz="4" w:space="0" w:color="auto"/>
            </w:tcBorders>
            <w:shd w:val="clear" w:color="000000" w:fill="FBE2D5"/>
            <w:noWrap/>
            <w:vAlign w:val="bottom"/>
            <w:hideMark/>
          </w:tcPr>
          <w:p w14:paraId="3F8CDD9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5.0%</w:t>
            </w:r>
          </w:p>
        </w:tc>
        <w:tc>
          <w:tcPr>
            <w:tcW w:w="2126" w:type="dxa"/>
            <w:tcBorders>
              <w:top w:val="nil"/>
              <w:left w:val="single" w:sz="4" w:space="0" w:color="auto"/>
              <w:bottom w:val="single" w:sz="4" w:space="0" w:color="auto"/>
              <w:right w:val="nil"/>
            </w:tcBorders>
            <w:shd w:val="clear" w:color="000000" w:fill="FBE2D5"/>
            <w:noWrap/>
            <w:vAlign w:val="bottom"/>
            <w:hideMark/>
          </w:tcPr>
          <w:p w14:paraId="1A1CFEB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4.9%</w:t>
            </w:r>
          </w:p>
        </w:tc>
        <w:tc>
          <w:tcPr>
            <w:tcW w:w="1984" w:type="dxa"/>
            <w:tcBorders>
              <w:top w:val="nil"/>
              <w:left w:val="nil"/>
              <w:bottom w:val="single" w:sz="4" w:space="0" w:color="auto"/>
              <w:right w:val="single" w:sz="4" w:space="0" w:color="auto"/>
            </w:tcBorders>
            <w:shd w:val="clear" w:color="000000" w:fill="FBE2D5"/>
            <w:noWrap/>
            <w:vAlign w:val="bottom"/>
            <w:hideMark/>
          </w:tcPr>
          <w:p w14:paraId="6564495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5.0%</w:t>
            </w:r>
          </w:p>
        </w:tc>
        <w:tc>
          <w:tcPr>
            <w:tcW w:w="1843" w:type="dxa"/>
            <w:tcBorders>
              <w:top w:val="nil"/>
              <w:left w:val="nil"/>
              <w:bottom w:val="single" w:sz="4" w:space="0" w:color="auto"/>
              <w:right w:val="single" w:sz="4" w:space="0" w:color="auto"/>
            </w:tcBorders>
            <w:shd w:val="clear" w:color="000000" w:fill="DAF2D0"/>
            <w:noWrap/>
            <w:vAlign w:val="bottom"/>
            <w:hideMark/>
          </w:tcPr>
          <w:p w14:paraId="535E2B1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4.4%</w:t>
            </w:r>
          </w:p>
        </w:tc>
        <w:tc>
          <w:tcPr>
            <w:tcW w:w="1701" w:type="dxa"/>
            <w:tcBorders>
              <w:top w:val="nil"/>
              <w:left w:val="single" w:sz="4" w:space="0" w:color="auto"/>
              <w:bottom w:val="single" w:sz="4" w:space="0" w:color="auto"/>
              <w:right w:val="nil"/>
            </w:tcBorders>
            <w:shd w:val="clear" w:color="000000" w:fill="DAF2D0"/>
            <w:noWrap/>
            <w:vAlign w:val="bottom"/>
            <w:hideMark/>
          </w:tcPr>
          <w:p w14:paraId="5EA7790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single" w:sz="4" w:space="0" w:color="auto"/>
              <w:right w:val="single" w:sz="4" w:space="0" w:color="auto"/>
            </w:tcBorders>
            <w:shd w:val="clear" w:color="000000" w:fill="DAF2D0"/>
            <w:noWrap/>
            <w:vAlign w:val="bottom"/>
            <w:hideMark/>
          </w:tcPr>
          <w:p w14:paraId="59D9F3E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6.8%</w:t>
            </w:r>
          </w:p>
        </w:tc>
      </w:tr>
      <w:tr w:rsidR="005C170A" w:rsidRPr="002D7C87" w14:paraId="3E57F016" w14:textId="77777777" w:rsidTr="00EC1BB6">
        <w:trPr>
          <w:trHeight w:val="320"/>
        </w:trPr>
        <w:tc>
          <w:tcPr>
            <w:tcW w:w="1628" w:type="dxa"/>
            <w:vMerge w:val="restart"/>
            <w:tcBorders>
              <w:top w:val="nil"/>
              <w:left w:val="single" w:sz="4" w:space="0" w:color="auto"/>
              <w:bottom w:val="nil"/>
              <w:right w:val="nil"/>
            </w:tcBorders>
            <w:vAlign w:val="center"/>
            <w:hideMark/>
          </w:tcPr>
          <w:p w14:paraId="6F1C6E8F" w14:textId="42AFC724"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 xml:space="preserve">How confident are you in reading and understanding </w:t>
            </w:r>
            <w:r w:rsidR="000D4C63" w:rsidRPr="002D7C87">
              <w:rPr>
                <w:rFonts w:eastAsia="Times New Roman" w:cs="Calibri"/>
                <w:color w:val="000000"/>
                <w:kern w:val="0"/>
                <w:lang w:eastAsia="en-GB"/>
                <w14:ligatures w14:val="none"/>
              </w:rPr>
              <w:t>booklets</w:t>
            </w:r>
            <w:r w:rsidRPr="002D7C87">
              <w:rPr>
                <w:rFonts w:eastAsia="Times New Roman" w:cs="Calibri"/>
                <w:color w:val="000000"/>
                <w:kern w:val="0"/>
                <w:lang w:eastAsia="en-GB"/>
                <w14:ligatures w14:val="none"/>
              </w:rPr>
              <w:t xml:space="preserve"> in English? </w:t>
            </w:r>
          </w:p>
        </w:tc>
        <w:tc>
          <w:tcPr>
            <w:tcW w:w="2336" w:type="dxa"/>
            <w:tcBorders>
              <w:top w:val="nil"/>
              <w:left w:val="single" w:sz="4" w:space="0" w:color="auto"/>
              <w:bottom w:val="nil"/>
              <w:right w:val="single" w:sz="4" w:space="0" w:color="auto"/>
            </w:tcBorders>
            <w:noWrap/>
            <w:vAlign w:val="bottom"/>
            <w:hideMark/>
          </w:tcPr>
          <w:p w14:paraId="30CA522C"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No response</w:t>
            </w:r>
          </w:p>
        </w:tc>
        <w:tc>
          <w:tcPr>
            <w:tcW w:w="2127" w:type="dxa"/>
            <w:tcBorders>
              <w:top w:val="nil"/>
              <w:left w:val="nil"/>
              <w:bottom w:val="nil"/>
              <w:right w:val="single" w:sz="4" w:space="0" w:color="auto"/>
            </w:tcBorders>
            <w:shd w:val="clear" w:color="000000" w:fill="FBE2D5"/>
            <w:noWrap/>
            <w:vAlign w:val="bottom"/>
            <w:hideMark/>
          </w:tcPr>
          <w:p w14:paraId="5CBF1CF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2126" w:type="dxa"/>
            <w:tcBorders>
              <w:top w:val="nil"/>
              <w:left w:val="single" w:sz="4" w:space="0" w:color="auto"/>
              <w:bottom w:val="nil"/>
              <w:right w:val="nil"/>
            </w:tcBorders>
            <w:shd w:val="clear" w:color="000000" w:fill="FBE2D5"/>
            <w:noWrap/>
            <w:vAlign w:val="bottom"/>
            <w:hideMark/>
          </w:tcPr>
          <w:p w14:paraId="2AC6949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4.9%</w:t>
            </w:r>
          </w:p>
        </w:tc>
        <w:tc>
          <w:tcPr>
            <w:tcW w:w="1984" w:type="dxa"/>
            <w:tcBorders>
              <w:top w:val="nil"/>
              <w:left w:val="nil"/>
              <w:bottom w:val="nil"/>
              <w:right w:val="single" w:sz="4" w:space="0" w:color="auto"/>
            </w:tcBorders>
            <w:shd w:val="clear" w:color="000000" w:fill="FBE2D5"/>
            <w:noWrap/>
            <w:vAlign w:val="bottom"/>
            <w:hideMark/>
          </w:tcPr>
          <w:p w14:paraId="1F3FE19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w:t>
            </w:r>
          </w:p>
        </w:tc>
        <w:tc>
          <w:tcPr>
            <w:tcW w:w="1843" w:type="dxa"/>
            <w:tcBorders>
              <w:top w:val="nil"/>
              <w:left w:val="nil"/>
              <w:bottom w:val="nil"/>
              <w:right w:val="single" w:sz="4" w:space="0" w:color="auto"/>
            </w:tcBorders>
            <w:shd w:val="clear" w:color="000000" w:fill="DAF2D0"/>
            <w:noWrap/>
            <w:vAlign w:val="bottom"/>
            <w:hideMark/>
          </w:tcPr>
          <w:p w14:paraId="70BE2B2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701" w:type="dxa"/>
            <w:tcBorders>
              <w:top w:val="nil"/>
              <w:left w:val="single" w:sz="4" w:space="0" w:color="auto"/>
              <w:bottom w:val="nil"/>
              <w:right w:val="nil"/>
            </w:tcBorders>
            <w:shd w:val="clear" w:color="000000" w:fill="DAF2D0"/>
            <w:noWrap/>
            <w:vAlign w:val="bottom"/>
            <w:hideMark/>
          </w:tcPr>
          <w:p w14:paraId="4A8B6EE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4.3%</w:t>
            </w:r>
          </w:p>
        </w:tc>
        <w:tc>
          <w:tcPr>
            <w:tcW w:w="1559" w:type="dxa"/>
            <w:tcBorders>
              <w:top w:val="nil"/>
              <w:left w:val="nil"/>
              <w:bottom w:val="nil"/>
              <w:right w:val="single" w:sz="4" w:space="0" w:color="auto"/>
            </w:tcBorders>
            <w:shd w:val="clear" w:color="000000" w:fill="DAF2D0"/>
            <w:noWrap/>
            <w:vAlign w:val="bottom"/>
            <w:hideMark/>
          </w:tcPr>
          <w:p w14:paraId="622B9DF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r>
      <w:tr w:rsidR="005C170A" w:rsidRPr="002D7C87" w14:paraId="750D5A9E" w14:textId="77777777" w:rsidTr="00EC1BB6">
        <w:trPr>
          <w:trHeight w:val="320"/>
        </w:trPr>
        <w:tc>
          <w:tcPr>
            <w:tcW w:w="1628" w:type="dxa"/>
            <w:vMerge/>
            <w:tcBorders>
              <w:top w:val="nil"/>
              <w:left w:val="single" w:sz="4" w:space="0" w:color="auto"/>
              <w:bottom w:val="nil"/>
              <w:right w:val="nil"/>
            </w:tcBorders>
            <w:vAlign w:val="center"/>
            <w:hideMark/>
          </w:tcPr>
          <w:p w14:paraId="4EA25049"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43EEE79F"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Not confident at all</w:t>
            </w:r>
          </w:p>
        </w:tc>
        <w:tc>
          <w:tcPr>
            <w:tcW w:w="2127" w:type="dxa"/>
            <w:tcBorders>
              <w:top w:val="nil"/>
              <w:left w:val="nil"/>
              <w:bottom w:val="nil"/>
              <w:right w:val="single" w:sz="4" w:space="0" w:color="auto"/>
            </w:tcBorders>
            <w:shd w:val="clear" w:color="000000" w:fill="FBE2D5"/>
            <w:noWrap/>
            <w:vAlign w:val="bottom"/>
            <w:hideMark/>
          </w:tcPr>
          <w:p w14:paraId="3F38963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24.0%</w:t>
            </w:r>
          </w:p>
        </w:tc>
        <w:tc>
          <w:tcPr>
            <w:tcW w:w="2126" w:type="dxa"/>
            <w:tcBorders>
              <w:top w:val="nil"/>
              <w:left w:val="single" w:sz="4" w:space="0" w:color="auto"/>
              <w:bottom w:val="nil"/>
              <w:right w:val="nil"/>
            </w:tcBorders>
            <w:shd w:val="clear" w:color="000000" w:fill="FBE2D5"/>
            <w:noWrap/>
            <w:vAlign w:val="bottom"/>
            <w:hideMark/>
          </w:tcPr>
          <w:p w14:paraId="78E721C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24.6%</w:t>
            </w:r>
          </w:p>
        </w:tc>
        <w:tc>
          <w:tcPr>
            <w:tcW w:w="1984" w:type="dxa"/>
            <w:tcBorders>
              <w:top w:val="nil"/>
              <w:left w:val="nil"/>
              <w:bottom w:val="nil"/>
              <w:right w:val="single" w:sz="4" w:space="0" w:color="auto"/>
            </w:tcBorders>
            <w:shd w:val="clear" w:color="000000" w:fill="FBE2D5"/>
            <w:noWrap/>
            <w:vAlign w:val="bottom"/>
            <w:hideMark/>
          </w:tcPr>
          <w:p w14:paraId="5606D34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23.3%</w:t>
            </w:r>
          </w:p>
        </w:tc>
        <w:tc>
          <w:tcPr>
            <w:tcW w:w="1843" w:type="dxa"/>
            <w:tcBorders>
              <w:top w:val="nil"/>
              <w:left w:val="nil"/>
              <w:bottom w:val="nil"/>
              <w:right w:val="single" w:sz="4" w:space="0" w:color="auto"/>
            </w:tcBorders>
            <w:shd w:val="clear" w:color="000000" w:fill="DAF2D0"/>
            <w:noWrap/>
            <w:vAlign w:val="bottom"/>
            <w:hideMark/>
          </w:tcPr>
          <w:p w14:paraId="5EE4803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24.4%</w:t>
            </w:r>
          </w:p>
        </w:tc>
        <w:tc>
          <w:tcPr>
            <w:tcW w:w="1701" w:type="dxa"/>
            <w:tcBorders>
              <w:top w:val="nil"/>
              <w:left w:val="single" w:sz="4" w:space="0" w:color="auto"/>
              <w:bottom w:val="nil"/>
              <w:right w:val="nil"/>
            </w:tcBorders>
            <w:shd w:val="clear" w:color="000000" w:fill="DAF2D0"/>
            <w:noWrap/>
            <w:vAlign w:val="bottom"/>
            <w:hideMark/>
          </w:tcPr>
          <w:p w14:paraId="7F16CE7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23.9%</w:t>
            </w:r>
          </w:p>
        </w:tc>
        <w:tc>
          <w:tcPr>
            <w:tcW w:w="1559" w:type="dxa"/>
            <w:tcBorders>
              <w:top w:val="nil"/>
              <w:left w:val="nil"/>
              <w:bottom w:val="nil"/>
              <w:right w:val="single" w:sz="4" w:space="0" w:color="auto"/>
            </w:tcBorders>
            <w:shd w:val="clear" w:color="000000" w:fill="DAF2D0"/>
            <w:noWrap/>
            <w:vAlign w:val="bottom"/>
            <w:hideMark/>
          </w:tcPr>
          <w:p w14:paraId="28FC607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25.0%</w:t>
            </w:r>
          </w:p>
        </w:tc>
      </w:tr>
      <w:tr w:rsidR="005C170A" w:rsidRPr="002D7C87" w14:paraId="51939B0C" w14:textId="77777777" w:rsidTr="00EC1BB6">
        <w:trPr>
          <w:trHeight w:val="320"/>
        </w:trPr>
        <w:tc>
          <w:tcPr>
            <w:tcW w:w="1628" w:type="dxa"/>
            <w:vMerge/>
            <w:tcBorders>
              <w:top w:val="nil"/>
              <w:left w:val="single" w:sz="4" w:space="0" w:color="auto"/>
              <w:bottom w:val="nil"/>
              <w:right w:val="nil"/>
            </w:tcBorders>
            <w:vAlign w:val="center"/>
            <w:hideMark/>
          </w:tcPr>
          <w:p w14:paraId="1C5A51BE"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4FFEA08B"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Slightly confident</w:t>
            </w:r>
          </w:p>
        </w:tc>
        <w:tc>
          <w:tcPr>
            <w:tcW w:w="2127" w:type="dxa"/>
            <w:tcBorders>
              <w:top w:val="nil"/>
              <w:left w:val="nil"/>
              <w:bottom w:val="nil"/>
              <w:right w:val="single" w:sz="4" w:space="0" w:color="auto"/>
            </w:tcBorders>
            <w:shd w:val="clear" w:color="000000" w:fill="FBE2D5"/>
            <w:noWrap/>
            <w:vAlign w:val="bottom"/>
            <w:hideMark/>
          </w:tcPr>
          <w:p w14:paraId="7661C90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24.8%</w:t>
            </w:r>
          </w:p>
        </w:tc>
        <w:tc>
          <w:tcPr>
            <w:tcW w:w="2126" w:type="dxa"/>
            <w:tcBorders>
              <w:top w:val="nil"/>
              <w:left w:val="single" w:sz="4" w:space="0" w:color="auto"/>
              <w:bottom w:val="nil"/>
              <w:right w:val="nil"/>
            </w:tcBorders>
            <w:shd w:val="clear" w:color="000000" w:fill="FBE2D5"/>
            <w:noWrap/>
            <w:vAlign w:val="bottom"/>
            <w:hideMark/>
          </w:tcPr>
          <w:p w14:paraId="2069741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23.0%</w:t>
            </w:r>
          </w:p>
        </w:tc>
        <w:tc>
          <w:tcPr>
            <w:tcW w:w="1984" w:type="dxa"/>
            <w:tcBorders>
              <w:top w:val="nil"/>
              <w:left w:val="nil"/>
              <w:bottom w:val="nil"/>
              <w:right w:val="single" w:sz="4" w:space="0" w:color="auto"/>
            </w:tcBorders>
            <w:shd w:val="clear" w:color="000000" w:fill="FBE2D5"/>
            <w:noWrap/>
            <w:vAlign w:val="bottom"/>
            <w:hideMark/>
          </w:tcPr>
          <w:p w14:paraId="0897AE3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26.7%</w:t>
            </w:r>
          </w:p>
        </w:tc>
        <w:tc>
          <w:tcPr>
            <w:tcW w:w="1843" w:type="dxa"/>
            <w:tcBorders>
              <w:top w:val="nil"/>
              <w:left w:val="nil"/>
              <w:bottom w:val="nil"/>
              <w:right w:val="single" w:sz="4" w:space="0" w:color="auto"/>
            </w:tcBorders>
            <w:shd w:val="clear" w:color="000000" w:fill="DAF2D0"/>
            <w:noWrap/>
            <w:vAlign w:val="bottom"/>
            <w:hideMark/>
          </w:tcPr>
          <w:p w14:paraId="3E0414C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25.6%</w:t>
            </w:r>
          </w:p>
        </w:tc>
        <w:tc>
          <w:tcPr>
            <w:tcW w:w="1701" w:type="dxa"/>
            <w:tcBorders>
              <w:top w:val="nil"/>
              <w:left w:val="single" w:sz="4" w:space="0" w:color="auto"/>
              <w:bottom w:val="nil"/>
              <w:right w:val="nil"/>
            </w:tcBorders>
            <w:shd w:val="clear" w:color="000000" w:fill="DAF2D0"/>
            <w:noWrap/>
            <w:vAlign w:val="bottom"/>
            <w:hideMark/>
          </w:tcPr>
          <w:p w14:paraId="3D9D0B9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17.4%</w:t>
            </w:r>
          </w:p>
        </w:tc>
        <w:tc>
          <w:tcPr>
            <w:tcW w:w="1559" w:type="dxa"/>
            <w:tcBorders>
              <w:top w:val="nil"/>
              <w:left w:val="nil"/>
              <w:bottom w:val="nil"/>
              <w:right w:val="single" w:sz="4" w:space="0" w:color="auto"/>
            </w:tcBorders>
            <w:shd w:val="clear" w:color="000000" w:fill="DAF2D0"/>
            <w:noWrap/>
            <w:vAlign w:val="bottom"/>
            <w:hideMark/>
          </w:tcPr>
          <w:p w14:paraId="4CD2E47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34.1%</w:t>
            </w:r>
          </w:p>
        </w:tc>
      </w:tr>
      <w:tr w:rsidR="005C170A" w:rsidRPr="002D7C87" w14:paraId="5CFD9C98" w14:textId="77777777" w:rsidTr="00EC1BB6">
        <w:trPr>
          <w:trHeight w:val="320"/>
        </w:trPr>
        <w:tc>
          <w:tcPr>
            <w:tcW w:w="1628" w:type="dxa"/>
            <w:vMerge/>
            <w:tcBorders>
              <w:top w:val="nil"/>
              <w:left w:val="single" w:sz="4" w:space="0" w:color="auto"/>
              <w:bottom w:val="nil"/>
              <w:right w:val="nil"/>
            </w:tcBorders>
            <w:vAlign w:val="center"/>
            <w:hideMark/>
          </w:tcPr>
          <w:p w14:paraId="26AFF1D4"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46DD1D05"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Moderately confident</w:t>
            </w:r>
          </w:p>
        </w:tc>
        <w:tc>
          <w:tcPr>
            <w:tcW w:w="2127" w:type="dxa"/>
            <w:tcBorders>
              <w:top w:val="nil"/>
              <w:left w:val="nil"/>
              <w:bottom w:val="nil"/>
              <w:right w:val="single" w:sz="4" w:space="0" w:color="auto"/>
            </w:tcBorders>
            <w:shd w:val="clear" w:color="000000" w:fill="FBE2D5"/>
            <w:noWrap/>
            <w:vAlign w:val="bottom"/>
            <w:hideMark/>
          </w:tcPr>
          <w:p w14:paraId="2BAF1BD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30.6%</w:t>
            </w:r>
          </w:p>
        </w:tc>
        <w:tc>
          <w:tcPr>
            <w:tcW w:w="2126" w:type="dxa"/>
            <w:tcBorders>
              <w:top w:val="nil"/>
              <w:left w:val="single" w:sz="4" w:space="0" w:color="auto"/>
              <w:bottom w:val="nil"/>
              <w:right w:val="nil"/>
            </w:tcBorders>
            <w:shd w:val="clear" w:color="000000" w:fill="FBE2D5"/>
            <w:noWrap/>
            <w:vAlign w:val="bottom"/>
            <w:hideMark/>
          </w:tcPr>
          <w:p w14:paraId="77CBC47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27.9%</w:t>
            </w:r>
          </w:p>
        </w:tc>
        <w:tc>
          <w:tcPr>
            <w:tcW w:w="1984" w:type="dxa"/>
            <w:tcBorders>
              <w:top w:val="nil"/>
              <w:left w:val="nil"/>
              <w:bottom w:val="nil"/>
              <w:right w:val="single" w:sz="4" w:space="0" w:color="auto"/>
            </w:tcBorders>
            <w:shd w:val="clear" w:color="000000" w:fill="FBE2D5"/>
            <w:noWrap/>
            <w:vAlign w:val="bottom"/>
            <w:hideMark/>
          </w:tcPr>
          <w:p w14:paraId="5F3D26B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33.3%</w:t>
            </w:r>
          </w:p>
        </w:tc>
        <w:tc>
          <w:tcPr>
            <w:tcW w:w="1843" w:type="dxa"/>
            <w:tcBorders>
              <w:top w:val="nil"/>
              <w:left w:val="nil"/>
              <w:bottom w:val="nil"/>
              <w:right w:val="single" w:sz="4" w:space="0" w:color="auto"/>
            </w:tcBorders>
            <w:shd w:val="clear" w:color="000000" w:fill="DAF2D0"/>
            <w:noWrap/>
            <w:vAlign w:val="bottom"/>
            <w:hideMark/>
          </w:tcPr>
          <w:p w14:paraId="4803A66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32.2%</w:t>
            </w:r>
          </w:p>
        </w:tc>
        <w:tc>
          <w:tcPr>
            <w:tcW w:w="1701" w:type="dxa"/>
            <w:tcBorders>
              <w:top w:val="nil"/>
              <w:left w:val="single" w:sz="4" w:space="0" w:color="auto"/>
              <w:bottom w:val="nil"/>
              <w:right w:val="nil"/>
            </w:tcBorders>
            <w:shd w:val="clear" w:color="000000" w:fill="DAF2D0"/>
            <w:noWrap/>
            <w:vAlign w:val="bottom"/>
            <w:hideMark/>
          </w:tcPr>
          <w:p w14:paraId="4F14A34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37.0%</w:t>
            </w:r>
          </w:p>
        </w:tc>
        <w:tc>
          <w:tcPr>
            <w:tcW w:w="1559" w:type="dxa"/>
            <w:tcBorders>
              <w:top w:val="nil"/>
              <w:left w:val="nil"/>
              <w:bottom w:val="nil"/>
              <w:right w:val="single" w:sz="4" w:space="0" w:color="auto"/>
            </w:tcBorders>
            <w:shd w:val="clear" w:color="000000" w:fill="DAF2D0"/>
            <w:noWrap/>
            <w:vAlign w:val="bottom"/>
            <w:hideMark/>
          </w:tcPr>
          <w:p w14:paraId="65C8A20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27.3%</w:t>
            </w:r>
          </w:p>
        </w:tc>
      </w:tr>
      <w:tr w:rsidR="005C170A" w:rsidRPr="002D7C87" w14:paraId="33DCEDC3" w14:textId="77777777" w:rsidTr="00EC1BB6">
        <w:trPr>
          <w:trHeight w:val="320"/>
        </w:trPr>
        <w:tc>
          <w:tcPr>
            <w:tcW w:w="1628" w:type="dxa"/>
            <w:vMerge/>
            <w:tcBorders>
              <w:top w:val="nil"/>
              <w:left w:val="single" w:sz="4" w:space="0" w:color="auto"/>
              <w:bottom w:val="nil"/>
              <w:right w:val="nil"/>
            </w:tcBorders>
            <w:vAlign w:val="center"/>
            <w:hideMark/>
          </w:tcPr>
          <w:p w14:paraId="086D6530"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67CFA07A"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Very confident</w:t>
            </w:r>
          </w:p>
        </w:tc>
        <w:tc>
          <w:tcPr>
            <w:tcW w:w="2127" w:type="dxa"/>
            <w:tcBorders>
              <w:top w:val="nil"/>
              <w:left w:val="nil"/>
              <w:bottom w:val="nil"/>
              <w:right w:val="single" w:sz="4" w:space="0" w:color="auto"/>
            </w:tcBorders>
            <w:shd w:val="clear" w:color="000000" w:fill="FBE2D5"/>
            <w:noWrap/>
            <w:vAlign w:val="bottom"/>
            <w:hideMark/>
          </w:tcPr>
          <w:p w14:paraId="234C517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13.2%</w:t>
            </w:r>
          </w:p>
        </w:tc>
        <w:tc>
          <w:tcPr>
            <w:tcW w:w="2126" w:type="dxa"/>
            <w:tcBorders>
              <w:top w:val="nil"/>
              <w:left w:val="single" w:sz="4" w:space="0" w:color="auto"/>
              <w:bottom w:val="nil"/>
              <w:right w:val="nil"/>
            </w:tcBorders>
            <w:shd w:val="clear" w:color="000000" w:fill="FBE2D5"/>
            <w:noWrap/>
            <w:vAlign w:val="bottom"/>
            <w:hideMark/>
          </w:tcPr>
          <w:p w14:paraId="41DD562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14.8%</w:t>
            </w:r>
          </w:p>
        </w:tc>
        <w:tc>
          <w:tcPr>
            <w:tcW w:w="1984" w:type="dxa"/>
            <w:tcBorders>
              <w:top w:val="nil"/>
              <w:left w:val="nil"/>
              <w:bottom w:val="nil"/>
              <w:right w:val="single" w:sz="4" w:space="0" w:color="auto"/>
            </w:tcBorders>
            <w:shd w:val="clear" w:color="000000" w:fill="FBE2D5"/>
            <w:noWrap/>
            <w:vAlign w:val="bottom"/>
            <w:hideMark/>
          </w:tcPr>
          <w:p w14:paraId="634025C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11.7%</w:t>
            </w:r>
          </w:p>
        </w:tc>
        <w:tc>
          <w:tcPr>
            <w:tcW w:w="1843" w:type="dxa"/>
            <w:tcBorders>
              <w:top w:val="nil"/>
              <w:left w:val="nil"/>
              <w:bottom w:val="nil"/>
              <w:right w:val="single" w:sz="4" w:space="0" w:color="auto"/>
            </w:tcBorders>
            <w:shd w:val="clear" w:color="000000" w:fill="DAF2D0"/>
            <w:noWrap/>
            <w:vAlign w:val="bottom"/>
            <w:hideMark/>
          </w:tcPr>
          <w:p w14:paraId="2EF577C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12.2%</w:t>
            </w:r>
          </w:p>
        </w:tc>
        <w:tc>
          <w:tcPr>
            <w:tcW w:w="1701" w:type="dxa"/>
            <w:tcBorders>
              <w:top w:val="nil"/>
              <w:left w:val="single" w:sz="4" w:space="0" w:color="auto"/>
              <w:bottom w:val="nil"/>
              <w:right w:val="nil"/>
            </w:tcBorders>
            <w:shd w:val="clear" w:color="000000" w:fill="DAF2D0"/>
            <w:noWrap/>
            <w:vAlign w:val="bottom"/>
            <w:hideMark/>
          </w:tcPr>
          <w:p w14:paraId="1A007073"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15.2%</w:t>
            </w:r>
          </w:p>
        </w:tc>
        <w:tc>
          <w:tcPr>
            <w:tcW w:w="1559" w:type="dxa"/>
            <w:tcBorders>
              <w:top w:val="nil"/>
              <w:left w:val="nil"/>
              <w:bottom w:val="nil"/>
              <w:right w:val="single" w:sz="4" w:space="0" w:color="auto"/>
            </w:tcBorders>
            <w:shd w:val="clear" w:color="000000" w:fill="DAF2D0"/>
            <w:noWrap/>
            <w:vAlign w:val="bottom"/>
            <w:hideMark/>
          </w:tcPr>
          <w:p w14:paraId="1DE6A1E1"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9.1%</w:t>
            </w:r>
          </w:p>
        </w:tc>
      </w:tr>
      <w:tr w:rsidR="005C170A" w:rsidRPr="002D7C87" w14:paraId="6B027AB6" w14:textId="77777777" w:rsidTr="00EC1BB6">
        <w:trPr>
          <w:trHeight w:val="320"/>
        </w:trPr>
        <w:tc>
          <w:tcPr>
            <w:tcW w:w="1628" w:type="dxa"/>
            <w:vMerge/>
            <w:tcBorders>
              <w:top w:val="nil"/>
              <w:left w:val="single" w:sz="4" w:space="0" w:color="auto"/>
              <w:bottom w:val="nil"/>
              <w:right w:val="nil"/>
            </w:tcBorders>
            <w:vAlign w:val="center"/>
            <w:hideMark/>
          </w:tcPr>
          <w:p w14:paraId="3D9A0E15"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5A1B16F7"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Extremely confident</w:t>
            </w:r>
          </w:p>
        </w:tc>
        <w:tc>
          <w:tcPr>
            <w:tcW w:w="2127" w:type="dxa"/>
            <w:tcBorders>
              <w:top w:val="nil"/>
              <w:left w:val="nil"/>
              <w:bottom w:val="nil"/>
              <w:right w:val="single" w:sz="4" w:space="0" w:color="auto"/>
            </w:tcBorders>
            <w:shd w:val="clear" w:color="000000" w:fill="FBE2D5"/>
            <w:noWrap/>
            <w:vAlign w:val="bottom"/>
            <w:hideMark/>
          </w:tcPr>
          <w:p w14:paraId="5C4CEBA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4.1%</w:t>
            </w:r>
          </w:p>
        </w:tc>
        <w:tc>
          <w:tcPr>
            <w:tcW w:w="2126" w:type="dxa"/>
            <w:tcBorders>
              <w:top w:val="nil"/>
              <w:left w:val="single" w:sz="4" w:space="0" w:color="auto"/>
              <w:bottom w:val="nil"/>
              <w:right w:val="nil"/>
            </w:tcBorders>
            <w:shd w:val="clear" w:color="000000" w:fill="FBE2D5"/>
            <w:noWrap/>
            <w:vAlign w:val="bottom"/>
            <w:hideMark/>
          </w:tcPr>
          <w:p w14:paraId="0DFA45E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4.9%</w:t>
            </w:r>
          </w:p>
        </w:tc>
        <w:tc>
          <w:tcPr>
            <w:tcW w:w="1984" w:type="dxa"/>
            <w:tcBorders>
              <w:top w:val="nil"/>
              <w:left w:val="nil"/>
              <w:bottom w:val="nil"/>
              <w:right w:val="single" w:sz="4" w:space="0" w:color="auto"/>
            </w:tcBorders>
            <w:shd w:val="clear" w:color="000000" w:fill="FBE2D5"/>
            <w:noWrap/>
            <w:vAlign w:val="bottom"/>
            <w:hideMark/>
          </w:tcPr>
          <w:p w14:paraId="5558AB00"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843" w:type="dxa"/>
            <w:tcBorders>
              <w:top w:val="nil"/>
              <w:left w:val="nil"/>
              <w:bottom w:val="nil"/>
              <w:right w:val="single" w:sz="4" w:space="0" w:color="auto"/>
            </w:tcBorders>
            <w:shd w:val="clear" w:color="000000" w:fill="DAF2D0"/>
            <w:noWrap/>
            <w:vAlign w:val="bottom"/>
            <w:hideMark/>
          </w:tcPr>
          <w:p w14:paraId="45A4F10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701" w:type="dxa"/>
            <w:tcBorders>
              <w:top w:val="nil"/>
              <w:left w:val="single" w:sz="4" w:space="0" w:color="auto"/>
              <w:bottom w:val="nil"/>
              <w:right w:val="nil"/>
            </w:tcBorders>
            <w:shd w:val="clear" w:color="000000" w:fill="DAF2D0"/>
            <w:noWrap/>
            <w:vAlign w:val="bottom"/>
            <w:hideMark/>
          </w:tcPr>
          <w:p w14:paraId="63C02F3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2.2%</w:t>
            </w:r>
          </w:p>
        </w:tc>
        <w:tc>
          <w:tcPr>
            <w:tcW w:w="1559" w:type="dxa"/>
            <w:tcBorders>
              <w:top w:val="nil"/>
              <w:left w:val="nil"/>
              <w:bottom w:val="nil"/>
              <w:right w:val="single" w:sz="4" w:space="0" w:color="auto"/>
            </w:tcBorders>
            <w:shd w:val="clear" w:color="000000" w:fill="DAF2D0"/>
            <w:noWrap/>
            <w:vAlign w:val="bottom"/>
            <w:hideMark/>
          </w:tcPr>
          <w:p w14:paraId="5EE0A40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4.5%</w:t>
            </w:r>
          </w:p>
        </w:tc>
      </w:tr>
      <w:tr w:rsidR="005C170A" w:rsidRPr="002D7C87" w14:paraId="278269D5" w14:textId="77777777" w:rsidTr="00EC1BB6">
        <w:trPr>
          <w:trHeight w:val="320"/>
        </w:trPr>
        <w:tc>
          <w:tcPr>
            <w:tcW w:w="1628" w:type="dxa"/>
            <w:vMerge w:val="restart"/>
            <w:tcBorders>
              <w:top w:val="single" w:sz="4" w:space="0" w:color="auto"/>
              <w:left w:val="single" w:sz="4" w:space="0" w:color="auto"/>
              <w:bottom w:val="single" w:sz="4" w:space="0" w:color="000000"/>
              <w:right w:val="nil"/>
            </w:tcBorders>
            <w:vAlign w:val="center"/>
            <w:hideMark/>
          </w:tcPr>
          <w:p w14:paraId="592A78D9" w14:textId="77777777" w:rsidR="005C170A" w:rsidRPr="002D7C87" w:rsidRDefault="005C170A" w:rsidP="007416B6">
            <w:pPr>
              <w:spacing w:line="240" w:lineRule="auto"/>
              <w:jc w:val="center"/>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What do you know about myeloma?</w:t>
            </w:r>
          </w:p>
        </w:tc>
        <w:tc>
          <w:tcPr>
            <w:tcW w:w="2336" w:type="dxa"/>
            <w:tcBorders>
              <w:top w:val="single" w:sz="4" w:space="0" w:color="auto"/>
              <w:left w:val="single" w:sz="4" w:space="0" w:color="auto"/>
              <w:bottom w:val="nil"/>
              <w:right w:val="single" w:sz="4" w:space="0" w:color="auto"/>
            </w:tcBorders>
            <w:noWrap/>
            <w:vAlign w:val="bottom"/>
            <w:hideMark/>
          </w:tcPr>
          <w:p w14:paraId="4D6B09DA"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No response</w:t>
            </w:r>
          </w:p>
        </w:tc>
        <w:tc>
          <w:tcPr>
            <w:tcW w:w="2127" w:type="dxa"/>
            <w:tcBorders>
              <w:top w:val="single" w:sz="4" w:space="0" w:color="auto"/>
              <w:left w:val="nil"/>
              <w:bottom w:val="nil"/>
              <w:right w:val="single" w:sz="4" w:space="0" w:color="auto"/>
            </w:tcBorders>
            <w:shd w:val="clear" w:color="000000" w:fill="FBE2D5"/>
            <w:noWrap/>
            <w:vAlign w:val="bottom"/>
            <w:hideMark/>
          </w:tcPr>
          <w:p w14:paraId="1E65D50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5.0%</w:t>
            </w:r>
          </w:p>
        </w:tc>
        <w:tc>
          <w:tcPr>
            <w:tcW w:w="2126" w:type="dxa"/>
            <w:tcBorders>
              <w:top w:val="single" w:sz="4" w:space="0" w:color="auto"/>
              <w:left w:val="single" w:sz="4" w:space="0" w:color="auto"/>
              <w:bottom w:val="nil"/>
              <w:right w:val="nil"/>
            </w:tcBorders>
            <w:shd w:val="clear" w:color="000000" w:fill="FBE2D5"/>
            <w:noWrap/>
            <w:vAlign w:val="bottom"/>
            <w:hideMark/>
          </w:tcPr>
          <w:p w14:paraId="43AB19E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6.6%</w:t>
            </w:r>
          </w:p>
        </w:tc>
        <w:tc>
          <w:tcPr>
            <w:tcW w:w="1984" w:type="dxa"/>
            <w:tcBorders>
              <w:top w:val="single" w:sz="4" w:space="0" w:color="auto"/>
              <w:left w:val="nil"/>
              <w:bottom w:val="nil"/>
              <w:right w:val="single" w:sz="4" w:space="0" w:color="auto"/>
            </w:tcBorders>
            <w:shd w:val="clear" w:color="000000" w:fill="FBE2D5"/>
            <w:noWrap/>
            <w:vAlign w:val="bottom"/>
            <w:hideMark/>
          </w:tcPr>
          <w:p w14:paraId="160EA0D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843" w:type="dxa"/>
            <w:tcBorders>
              <w:top w:val="single" w:sz="4" w:space="0" w:color="auto"/>
              <w:left w:val="nil"/>
              <w:bottom w:val="nil"/>
              <w:right w:val="single" w:sz="4" w:space="0" w:color="auto"/>
            </w:tcBorders>
            <w:shd w:val="clear" w:color="000000" w:fill="DAF2D0"/>
            <w:noWrap/>
            <w:vAlign w:val="bottom"/>
            <w:hideMark/>
          </w:tcPr>
          <w:p w14:paraId="4A3E439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701" w:type="dxa"/>
            <w:tcBorders>
              <w:top w:val="single" w:sz="4" w:space="0" w:color="auto"/>
              <w:left w:val="single" w:sz="4" w:space="0" w:color="auto"/>
              <w:bottom w:val="nil"/>
              <w:right w:val="nil"/>
            </w:tcBorders>
            <w:shd w:val="clear" w:color="000000" w:fill="DAF2D0"/>
            <w:noWrap/>
            <w:vAlign w:val="bottom"/>
            <w:hideMark/>
          </w:tcPr>
          <w:p w14:paraId="51B38A4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4.3%</w:t>
            </w:r>
          </w:p>
        </w:tc>
        <w:tc>
          <w:tcPr>
            <w:tcW w:w="1559" w:type="dxa"/>
            <w:tcBorders>
              <w:top w:val="single" w:sz="4" w:space="0" w:color="auto"/>
              <w:left w:val="nil"/>
              <w:bottom w:val="nil"/>
              <w:right w:val="single" w:sz="4" w:space="0" w:color="auto"/>
            </w:tcBorders>
            <w:shd w:val="clear" w:color="000000" w:fill="DAF2D0"/>
            <w:noWrap/>
            <w:vAlign w:val="bottom"/>
            <w:hideMark/>
          </w:tcPr>
          <w:p w14:paraId="6FCD069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2.3%</w:t>
            </w:r>
          </w:p>
        </w:tc>
      </w:tr>
      <w:tr w:rsidR="005C170A" w:rsidRPr="002D7C87" w14:paraId="6EDF40B8" w14:textId="77777777" w:rsidTr="00EC1BB6">
        <w:trPr>
          <w:trHeight w:val="320"/>
        </w:trPr>
        <w:tc>
          <w:tcPr>
            <w:tcW w:w="1628" w:type="dxa"/>
            <w:vMerge/>
            <w:tcBorders>
              <w:top w:val="single" w:sz="4" w:space="0" w:color="auto"/>
              <w:left w:val="single" w:sz="4" w:space="0" w:color="auto"/>
              <w:bottom w:val="single" w:sz="4" w:space="0" w:color="000000"/>
              <w:right w:val="nil"/>
            </w:tcBorders>
            <w:vAlign w:val="center"/>
            <w:hideMark/>
          </w:tcPr>
          <w:p w14:paraId="5122D2D7"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3FFF605E"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I do not know what myeloma is.</w:t>
            </w:r>
          </w:p>
        </w:tc>
        <w:tc>
          <w:tcPr>
            <w:tcW w:w="2127" w:type="dxa"/>
            <w:tcBorders>
              <w:top w:val="nil"/>
              <w:left w:val="nil"/>
              <w:bottom w:val="nil"/>
              <w:right w:val="single" w:sz="4" w:space="0" w:color="auto"/>
            </w:tcBorders>
            <w:shd w:val="clear" w:color="000000" w:fill="FBE2D5"/>
            <w:noWrap/>
            <w:vAlign w:val="bottom"/>
            <w:hideMark/>
          </w:tcPr>
          <w:p w14:paraId="4320BCF5"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80.2%</w:t>
            </w:r>
          </w:p>
        </w:tc>
        <w:tc>
          <w:tcPr>
            <w:tcW w:w="2126" w:type="dxa"/>
            <w:tcBorders>
              <w:top w:val="nil"/>
              <w:left w:val="single" w:sz="4" w:space="0" w:color="auto"/>
              <w:bottom w:val="nil"/>
              <w:right w:val="nil"/>
            </w:tcBorders>
            <w:shd w:val="clear" w:color="000000" w:fill="FBE2D5"/>
            <w:noWrap/>
            <w:vAlign w:val="bottom"/>
            <w:hideMark/>
          </w:tcPr>
          <w:p w14:paraId="59FDCF6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73.8%</w:t>
            </w:r>
          </w:p>
        </w:tc>
        <w:tc>
          <w:tcPr>
            <w:tcW w:w="1984" w:type="dxa"/>
            <w:tcBorders>
              <w:top w:val="nil"/>
              <w:left w:val="nil"/>
              <w:bottom w:val="nil"/>
              <w:right w:val="single" w:sz="4" w:space="0" w:color="auto"/>
            </w:tcBorders>
            <w:shd w:val="clear" w:color="000000" w:fill="FBE2D5"/>
            <w:noWrap/>
            <w:vAlign w:val="bottom"/>
            <w:hideMark/>
          </w:tcPr>
          <w:p w14:paraId="790B934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86.7%</w:t>
            </w:r>
          </w:p>
        </w:tc>
        <w:tc>
          <w:tcPr>
            <w:tcW w:w="1843" w:type="dxa"/>
            <w:tcBorders>
              <w:top w:val="nil"/>
              <w:left w:val="nil"/>
              <w:bottom w:val="nil"/>
              <w:right w:val="single" w:sz="4" w:space="0" w:color="auto"/>
            </w:tcBorders>
            <w:shd w:val="clear" w:color="000000" w:fill="DAF2D0"/>
            <w:noWrap/>
            <w:vAlign w:val="bottom"/>
            <w:hideMark/>
          </w:tcPr>
          <w:p w14:paraId="4C1E600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82.2%</w:t>
            </w:r>
          </w:p>
        </w:tc>
        <w:tc>
          <w:tcPr>
            <w:tcW w:w="1701" w:type="dxa"/>
            <w:tcBorders>
              <w:top w:val="nil"/>
              <w:left w:val="single" w:sz="4" w:space="0" w:color="auto"/>
              <w:bottom w:val="nil"/>
              <w:right w:val="nil"/>
            </w:tcBorders>
            <w:shd w:val="clear" w:color="000000" w:fill="DAF2D0"/>
            <w:noWrap/>
            <w:vAlign w:val="bottom"/>
            <w:hideMark/>
          </w:tcPr>
          <w:p w14:paraId="4457378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82.6%</w:t>
            </w:r>
          </w:p>
        </w:tc>
        <w:tc>
          <w:tcPr>
            <w:tcW w:w="1559" w:type="dxa"/>
            <w:tcBorders>
              <w:top w:val="nil"/>
              <w:left w:val="nil"/>
              <w:bottom w:val="nil"/>
              <w:right w:val="single" w:sz="4" w:space="0" w:color="auto"/>
            </w:tcBorders>
            <w:shd w:val="clear" w:color="000000" w:fill="DAF2D0"/>
            <w:noWrap/>
            <w:vAlign w:val="bottom"/>
            <w:hideMark/>
          </w:tcPr>
          <w:p w14:paraId="60F9EBFD"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81.8%</w:t>
            </w:r>
          </w:p>
        </w:tc>
      </w:tr>
      <w:tr w:rsidR="005C170A" w:rsidRPr="002D7C87" w14:paraId="2363CA98" w14:textId="77777777" w:rsidTr="00EC1BB6">
        <w:trPr>
          <w:trHeight w:val="320"/>
        </w:trPr>
        <w:tc>
          <w:tcPr>
            <w:tcW w:w="1628" w:type="dxa"/>
            <w:vMerge/>
            <w:tcBorders>
              <w:top w:val="single" w:sz="4" w:space="0" w:color="auto"/>
              <w:left w:val="single" w:sz="4" w:space="0" w:color="auto"/>
              <w:bottom w:val="single" w:sz="4" w:space="0" w:color="000000"/>
              <w:right w:val="nil"/>
            </w:tcBorders>
            <w:vAlign w:val="center"/>
            <w:hideMark/>
          </w:tcPr>
          <w:p w14:paraId="05C2BDB2"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1AF409E4"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I know a little bit about myeloma.</w:t>
            </w:r>
          </w:p>
        </w:tc>
        <w:tc>
          <w:tcPr>
            <w:tcW w:w="2127" w:type="dxa"/>
            <w:tcBorders>
              <w:top w:val="nil"/>
              <w:left w:val="nil"/>
              <w:bottom w:val="nil"/>
              <w:right w:val="single" w:sz="4" w:space="0" w:color="auto"/>
            </w:tcBorders>
            <w:shd w:val="clear" w:color="000000" w:fill="FBE2D5"/>
            <w:noWrap/>
            <w:vAlign w:val="bottom"/>
            <w:hideMark/>
          </w:tcPr>
          <w:p w14:paraId="1F2C3A7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9.9%</w:t>
            </w:r>
          </w:p>
        </w:tc>
        <w:tc>
          <w:tcPr>
            <w:tcW w:w="2126" w:type="dxa"/>
            <w:tcBorders>
              <w:top w:val="nil"/>
              <w:left w:val="single" w:sz="4" w:space="0" w:color="auto"/>
              <w:bottom w:val="nil"/>
              <w:right w:val="nil"/>
            </w:tcBorders>
            <w:shd w:val="clear" w:color="000000" w:fill="FBE2D5"/>
            <w:noWrap/>
            <w:vAlign w:val="bottom"/>
            <w:hideMark/>
          </w:tcPr>
          <w:p w14:paraId="7ECB710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13.1%</w:t>
            </w:r>
          </w:p>
        </w:tc>
        <w:tc>
          <w:tcPr>
            <w:tcW w:w="1984" w:type="dxa"/>
            <w:tcBorders>
              <w:top w:val="nil"/>
              <w:left w:val="nil"/>
              <w:bottom w:val="nil"/>
              <w:right w:val="single" w:sz="4" w:space="0" w:color="auto"/>
            </w:tcBorders>
            <w:shd w:val="clear" w:color="000000" w:fill="FBE2D5"/>
            <w:noWrap/>
            <w:vAlign w:val="bottom"/>
            <w:hideMark/>
          </w:tcPr>
          <w:p w14:paraId="5DBCAB5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6.7%</w:t>
            </w:r>
          </w:p>
        </w:tc>
        <w:tc>
          <w:tcPr>
            <w:tcW w:w="1843" w:type="dxa"/>
            <w:tcBorders>
              <w:top w:val="nil"/>
              <w:left w:val="nil"/>
              <w:bottom w:val="nil"/>
              <w:right w:val="single" w:sz="4" w:space="0" w:color="auto"/>
            </w:tcBorders>
            <w:shd w:val="clear" w:color="000000" w:fill="DAF2D0"/>
            <w:noWrap/>
            <w:vAlign w:val="bottom"/>
            <w:hideMark/>
          </w:tcPr>
          <w:p w14:paraId="2A05AAC8"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10.0%</w:t>
            </w:r>
          </w:p>
        </w:tc>
        <w:tc>
          <w:tcPr>
            <w:tcW w:w="1701" w:type="dxa"/>
            <w:tcBorders>
              <w:top w:val="nil"/>
              <w:left w:val="single" w:sz="4" w:space="0" w:color="auto"/>
              <w:bottom w:val="nil"/>
              <w:right w:val="nil"/>
            </w:tcBorders>
            <w:shd w:val="clear" w:color="000000" w:fill="DAF2D0"/>
            <w:noWrap/>
            <w:vAlign w:val="bottom"/>
            <w:hideMark/>
          </w:tcPr>
          <w:p w14:paraId="36757866"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8.7%</w:t>
            </w:r>
          </w:p>
        </w:tc>
        <w:tc>
          <w:tcPr>
            <w:tcW w:w="1559" w:type="dxa"/>
            <w:tcBorders>
              <w:top w:val="nil"/>
              <w:left w:val="nil"/>
              <w:bottom w:val="nil"/>
              <w:right w:val="single" w:sz="4" w:space="0" w:color="auto"/>
            </w:tcBorders>
            <w:shd w:val="clear" w:color="000000" w:fill="DAF2D0"/>
            <w:noWrap/>
            <w:vAlign w:val="bottom"/>
            <w:hideMark/>
          </w:tcPr>
          <w:p w14:paraId="5398AE4E"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11.4%</w:t>
            </w:r>
          </w:p>
        </w:tc>
      </w:tr>
      <w:tr w:rsidR="005C170A" w:rsidRPr="002D7C87" w14:paraId="10F4E8BC" w14:textId="77777777" w:rsidTr="00EC1BB6">
        <w:trPr>
          <w:trHeight w:val="320"/>
        </w:trPr>
        <w:tc>
          <w:tcPr>
            <w:tcW w:w="1628" w:type="dxa"/>
            <w:vMerge/>
            <w:tcBorders>
              <w:top w:val="single" w:sz="4" w:space="0" w:color="auto"/>
              <w:left w:val="single" w:sz="4" w:space="0" w:color="auto"/>
              <w:bottom w:val="single" w:sz="4" w:space="0" w:color="000000"/>
              <w:right w:val="nil"/>
            </w:tcBorders>
            <w:vAlign w:val="center"/>
            <w:hideMark/>
          </w:tcPr>
          <w:p w14:paraId="465FDE0B"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nil"/>
              <w:right w:val="single" w:sz="4" w:space="0" w:color="auto"/>
            </w:tcBorders>
            <w:noWrap/>
            <w:vAlign w:val="bottom"/>
            <w:hideMark/>
          </w:tcPr>
          <w:p w14:paraId="66D62802"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I know a moderate amount about myeloma.</w:t>
            </w:r>
          </w:p>
        </w:tc>
        <w:tc>
          <w:tcPr>
            <w:tcW w:w="2127" w:type="dxa"/>
            <w:tcBorders>
              <w:top w:val="nil"/>
              <w:left w:val="nil"/>
              <w:bottom w:val="nil"/>
              <w:right w:val="single" w:sz="4" w:space="0" w:color="auto"/>
            </w:tcBorders>
            <w:shd w:val="clear" w:color="000000" w:fill="FBE2D5"/>
            <w:noWrap/>
            <w:vAlign w:val="bottom"/>
            <w:hideMark/>
          </w:tcPr>
          <w:p w14:paraId="40C9B0A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4.1%</w:t>
            </w:r>
          </w:p>
        </w:tc>
        <w:tc>
          <w:tcPr>
            <w:tcW w:w="2126" w:type="dxa"/>
            <w:tcBorders>
              <w:top w:val="nil"/>
              <w:left w:val="single" w:sz="4" w:space="0" w:color="auto"/>
              <w:bottom w:val="nil"/>
              <w:right w:val="nil"/>
            </w:tcBorders>
            <w:shd w:val="clear" w:color="000000" w:fill="FBE2D5"/>
            <w:noWrap/>
            <w:vAlign w:val="bottom"/>
            <w:hideMark/>
          </w:tcPr>
          <w:p w14:paraId="148B3EBB"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4.9%</w:t>
            </w:r>
          </w:p>
        </w:tc>
        <w:tc>
          <w:tcPr>
            <w:tcW w:w="1984" w:type="dxa"/>
            <w:tcBorders>
              <w:top w:val="nil"/>
              <w:left w:val="nil"/>
              <w:bottom w:val="nil"/>
              <w:right w:val="single" w:sz="4" w:space="0" w:color="auto"/>
            </w:tcBorders>
            <w:shd w:val="clear" w:color="000000" w:fill="FBE2D5"/>
            <w:noWrap/>
            <w:vAlign w:val="bottom"/>
            <w:hideMark/>
          </w:tcPr>
          <w:p w14:paraId="3CF23EA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3.3%</w:t>
            </w:r>
          </w:p>
        </w:tc>
        <w:tc>
          <w:tcPr>
            <w:tcW w:w="1843" w:type="dxa"/>
            <w:tcBorders>
              <w:top w:val="nil"/>
              <w:left w:val="nil"/>
              <w:bottom w:val="nil"/>
              <w:right w:val="single" w:sz="4" w:space="0" w:color="auto"/>
            </w:tcBorders>
            <w:shd w:val="clear" w:color="000000" w:fill="DAF2D0"/>
            <w:noWrap/>
            <w:vAlign w:val="bottom"/>
            <w:hideMark/>
          </w:tcPr>
          <w:p w14:paraId="345AB21C"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4.4%</w:t>
            </w:r>
          </w:p>
        </w:tc>
        <w:tc>
          <w:tcPr>
            <w:tcW w:w="1701" w:type="dxa"/>
            <w:tcBorders>
              <w:top w:val="nil"/>
              <w:left w:val="single" w:sz="4" w:space="0" w:color="auto"/>
              <w:bottom w:val="nil"/>
              <w:right w:val="nil"/>
            </w:tcBorders>
            <w:shd w:val="clear" w:color="000000" w:fill="DAF2D0"/>
            <w:noWrap/>
            <w:vAlign w:val="bottom"/>
            <w:hideMark/>
          </w:tcPr>
          <w:p w14:paraId="166FB869"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4.3%</w:t>
            </w:r>
          </w:p>
        </w:tc>
        <w:tc>
          <w:tcPr>
            <w:tcW w:w="1559" w:type="dxa"/>
            <w:tcBorders>
              <w:top w:val="nil"/>
              <w:left w:val="nil"/>
              <w:bottom w:val="nil"/>
              <w:right w:val="single" w:sz="4" w:space="0" w:color="auto"/>
            </w:tcBorders>
            <w:shd w:val="clear" w:color="000000" w:fill="DAF2D0"/>
            <w:noWrap/>
            <w:vAlign w:val="bottom"/>
            <w:hideMark/>
          </w:tcPr>
          <w:p w14:paraId="57025E9F"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4.5%</w:t>
            </w:r>
          </w:p>
        </w:tc>
      </w:tr>
      <w:tr w:rsidR="005C170A" w:rsidRPr="002D7C87" w14:paraId="688A5502" w14:textId="77777777" w:rsidTr="00EC1BB6">
        <w:trPr>
          <w:trHeight w:val="320"/>
        </w:trPr>
        <w:tc>
          <w:tcPr>
            <w:tcW w:w="1628" w:type="dxa"/>
            <w:vMerge/>
            <w:tcBorders>
              <w:top w:val="single" w:sz="4" w:space="0" w:color="auto"/>
              <w:left w:val="single" w:sz="4" w:space="0" w:color="auto"/>
              <w:bottom w:val="single" w:sz="4" w:space="0" w:color="000000"/>
              <w:right w:val="nil"/>
            </w:tcBorders>
            <w:vAlign w:val="center"/>
            <w:hideMark/>
          </w:tcPr>
          <w:p w14:paraId="1E912826" w14:textId="77777777" w:rsidR="005C170A" w:rsidRPr="002D7C87" w:rsidRDefault="005C170A" w:rsidP="007416B6">
            <w:pPr>
              <w:spacing w:line="240" w:lineRule="auto"/>
              <w:rPr>
                <w:rFonts w:eastAsia="Times New Roman" w:cs="Calibri"/>
                <w:color w:val="000000"/>
                <w:kern w:val="0"/>
                <w:lang w:eastAsia="en-GB"/>
                <w14:ligatures w14:val="none"/>
              </w:rPr>
            </w:pPr>
          </w:p>
        </w:tc>
        <w:tc>
          <w:tcPr>
            <w:tcW w:w="2336" w:type="dxa"/>
            <w:tcBorders>
              <w:top w:val="nil"/>
              <w:left w:val="single" w:sz="4" w:space="0" w:color="auto"/>
              <w:bottom w:val="single" w:sz="4" w:space="0" w:color="auto"/>
              <w:right w:val="single" w:sz="4" w:space="0" w:color="auto"/>
            </w:tcBorders>
            <w:noWrap/>
            <w:vAlign w:val="bottom"/>
            <w:hideMark/>
          </w:tcPr>
          <w:p w14:paraId="41BE07F5" w14:textId="77777777" w:rsidR="005C170A" w:rsidRPr="002D7C87" w:rsidRDefault="005C170A" w:rsidP="007416B6">
            <w:pPr>
              <w:spacing w:line="240" w:lineRule="auto"/>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I know a large amount about myeloma.</w:t>
            </w:r>
          </w:p>
        </w:tc>
        <w:tc>
          <w:tcPr>
            <w:tcW w:w="2127" w:type="dxa"/>
            <w:tcBorders>
              <w:top w:val="nil"/>
              <w:left w:val="nil"/>
              <w:bottom w:val="single" w:sz="4" w:space="0" w:color="auto"/>
              <w:right w:val="single" w:sz="4" w:space="0" w:color="auto"/>
            </w:tcBorders>
            <w:shd w:val="clear" w:color="000000" w:fill="FBE2D5"/>
            <w:noWrap/>
            <w:vAlign w:val="bottom"/>
            <w:hideMark/>
          </w:tcPr>
          <w:p w14:paraId="324406C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0.8%</w:t>
            </w:r>
          </w:p>
        </w:tc>
        <w:tc>
          <w:tcPr>
            <w:tcW w:w="2126" w:type="dxa"/>
            <w:tcBorders>
              <w:top w:val="nil"/>
              <w:left w:val="single" w:sz="4" w:space="0" w:color="auto"/>
              <w:bottom w:val="single" w:sz="4" w:space="0" w:color="auto"/>
              <w:right w:val="nil"/>
            </w:tcBorders>
            <w:shd w:val="clear" w:color="000000" w:fill="FBE2D5"/>
            <w:noWrap/>
            <w:vAlign w:val="bottom"/>
            <w:hideMark/>
          </w:tcPr>
          <w:p w14:paraId="76C5437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1.6%</w:t>
            </w:r>
          </w:p>
        </w:tc>
        <w:tc>
          <w:tcPr>
            <w:tcW w:w="1984" w:type="dxa"/>
            <w:tcBorders>
              <w:top w:val="nil"/>
              <w:left w:val="nil"/>
              <w:bottom w:val="single" w:sz="4" w:space="0" w:color="auto"/>
              <w:right w:val="single" w:sz="4" w:space="0" w:color="auto"/>
            </w:tcBorders>
            <w:shd w:val="clear" w:color="000000" w:fill="FBE2D5"/>
            <w:noWrap/>
            <w:vAlign w:val="bottom"/>
            <w:hideMark/>
          </w:tcPr>
          <w:p w14:paraId="08BAA632"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c>
          <w:tcPr>
            <w:tcW w:w="1843" w:type="dxa"/>
            <w:tcBorders>
              <w:top w:val="nil"/>
              <w:left w:val="nil"/>
              <w:bottom w:val="single" w:sz="4" w:space="0" w:color="auto"/>
              <w:right w:val="single" w:sz="4" w:space="0" w:color="auto"/>
            </w:tcBorders>
            <w:shd w:val="clear" w:color="000000" w:fill="DAF2D0"/>
            <w:noWrap/>
            <w:vAlign w:val="bottom"/>
            <w:hideMark/>
          </w:tcPr>
          <w:p w14:paraId="7B867DD7"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c>
          <w:tcPr>
            <w:tcW w:w="1701" w:type="dxa"/>
            <w:tcBorders>
              <w:top w:val="nil"/>
              <w:left w:val="single" w:sz="4" w:space="0" w:color="auto"/>
              <w:bottom w:val="single" w:sz="4" w:space="0" w:color="auto"/>
              <w:right w:val="nil"/>
            </w:tcBorders>
            <w:shd w:val="clear" w:color="000000" w:fill="DAF2D0"/>
            <w:noWrap/>
            <w:vAlign w:val="bottom"/>
            <w:hideMark/>
          </w:tcPr>
          <w:p w14:paraId="71968B5A"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c>
          <w:tcPr>
            <w:tcW w:w="1559" w:type="dxa"/>
            <w:tcBorders>
              <w:top w:val="nil"/>
              <w:left w:val="nil"/>
              <w:bottom w:val="single" w:sz="4" w:space="0" w:color="auto"/>
              <w:right w:val="single" w:sz="4" w:space="0" w:color="auto"/>
            </w:tcBorders>
            <w:shd w:val="clear" w:color="000000" w:fill="DAF2D0"/>
            <w:noWrap/>
            <w:vAlign w:val="bottom"/>
            <w:hideMark/>
          </w:tcPr>
          <w:p w14:paraId="376CEB44" w14:textId="77777777" w:rsidR="005C170A" w:rsidRPr="002D7C87" w:rsidRDefault="005C170A" w:rsidP="007416B6">
            <w:pPr>
              <w:spacing w:line="240" w:lineRule="auto"/>
              <w:jc w:val="right"/>
              <w:rPr>
                <w:rFonts w:eastAsia="Times New Roman" w:cs="Calibri"/>
                <w:color w:val="000000"/>
                <w:kern w:val="0"/>
                <w:lang w:eastAsia="en-GB"/>
                <w14:ligatures w14:val="none"/>
              </w:rPr>
            </w:pPr>
            <w:r w:rsidRPr="002D7C87">
              <w:rPr>
                <w:rFonts w:eastAsia="Times New Roman" w:cs="Calibri"/>
                <w:color w:val="000000"/>
                <w:kern w:val="0"/>
                <w:lang w:eastAsia="en-GB"/>
                <w14:ligatures w14:val="none"/>
              </w:rPr>
              <w:t>0.0%</w:t>
            </w:r>
          </w:p>
        </w:tc>
      </w:tr>
    </w:tbl>
    <w:p w14:paraId="7D390BC1" w14:textId="77777777" w:rsidR="005C170A" w:rsidRPr="002D7C87" w:rsidRDefault="005C170A" w:rsidP="005C170A">
      <w:pPr>
        <w:ind w:left="425" w:hanging="425"/>
        <w:rPr>
          <w:rFonts w:cs="Calibri"/>
          <w:u w:val="single"/>
        </w:rPr>
      </w:pPr>
      <w:r w:rsidRPr="002D7C87">
        <w:rPr>
          <w:rFonts w:cs="Calibri"/>
          <w:u w:val="single"/>
        </w:rPr>
        <w:br w:type="page"/>
      </w:r>
    </w:p>
    <w:p w14:paraId="1084E314" w14:textId="07B0DB59" w:rsidR="005C170A" w:rsidRPr="002D7C87" w:rsidRDefault="005C170A" w:rsidP="005C170A">
      <w:pPr>
        <w:rPr>
          <w:rFonts w:cs="Calibri"/>
        </w:rPr>
      </w:pPr>
      <w:r w:rsidRPr="00EB4A83">
        <w:rPr>
          <w:b/>
          <w:bCs/>
        </w:rPr>
        <w:lastRenderedPageBreak/>
        <w:t>Supplementary Table 2</w:t>
      </w:r>
      <w:r w:rsidR="00EB4A83">
        <w:rPr>
          <w:b/>
          <w:bCs/>
        </w:rPr>
        <w:t xml:space="preserve">: </w:t>
      </w:r>
      <w:r w:rsidRPr="002D7C87">
        <w:rPr>
          <w:rFonts w:cs="Calibri"/>
        </w:rPr>
        <w:t>Summary of primary outcomes</w:t>
      </w:r>
      <w:r w:rsidR="004B0ADA" w:rsidRPr="002D7C87">
        <w:rPr>
          <w:rFonts w:cs="Calibri"/>
        </w:rPr>
        <w:t xml:space="preserve"> by randomisation status.</w:t>
      </w:r>
      <w:r w:rsidRPr="002D7C87">
        <w:rPr>
          <w:rFonts w:cs="Calibri"/>
        </w:rPr>
        <w:t xml:space="preserve"> Odds ratios were calculated from univariate and multivariate regression models - the latter were adjusted for all demographic characteristics captured in Supplementary Table 1. Additionally, the Consent Component multivariate model was adjusted for Booklet Component randomisation status, because the Consent Component took place after the Booklet Component, with the same participants included.</w:t>
      </w:r>
    </w:p>
    <w:p w14:paraId="55082266" w14:textId="77777777" w:rsidR="005C170A" w:rsidRPr="002D7C87" w:rsidRDefault="005C170A" w:rsidP="005C170A">
      <w:pPr>
        <w:rPr>
          <w:rFonts w:cs="Calibri"/>
          <w:b/>
          <w:bCs/>
        </w:rPr>
      </w:pPr>
    </w:p>
    <w:tbl>
      <w:tblPr>
        <w:tblW w:w="0" w:type="auto"/>
        <w:tblLook w:val="04A0" w:firstRow="1" w:lastRow="0" w:firstColumn="1" w:lastColumn="0" w:noHBand="0" w:noVBand="1"/>
      </w:tblPr>
      <w:tblGrid>
        <w:gridCol w:w="3799"/>
        <w:gridCol w:w="2436"/>
        <w:gridCol w:w="565"/>
        <w:gridCol w:w="1088"/>
        <w:gridCol w:w="1088"/>
        <w:gridCol w:w="1088"/>
        <w:gridCol w:w="972"/>
        <w:gridCol w:w="1088"/>
        <w:gridCol w:w="1088"/>
        <w:gridCol w:w="1088"/>
        <w:gridCol w:w="1088"/>
      </w:tblGrid>
      <w:tr w:rsidR="005C170A" w:rsidRPr="002D7C87" w14:paraId="7A908525" w14:textId="77777777" w:rsidTr="00EC1BB6">
        <w:trPr>
          <w:trHeight w:val="320"/>
        </w:trPr>
        <w:tc>
          <w:tcPr>
            <w:tcW w:w="0" w:type="auto"/>
            <w:tcBorders>
              <w:top w:val="single" w:sz="4" w:space="0" w:color="auto"/>
              <w:left w:val="single" w:sz="4" w:space="0" w:color="auto"/>
              <w:bottom w:val="nil"/>
              <w:right w:val="nil"/>
            </w:tcBorders>
            <w:noWrap/>
            <w:vAlign w:val="bottom"/>
            <w:hideMark/>
          </w:tcPr>
          <w:p w14:paraId="341C7C5F" w14:textId="77777777" w:rsidR="005C170A" w:rsidRPr="002D7C87" w:rsidRDefault="005C170A" w:rsidP="00EB4A83">
            <w:pPr>
              <w:spacing w:line="240" w:lineRule="auto"/>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 </w:t>
            </w:r>
          </w:p>
        </w:tc>
        <w:tc>
          <w:tcPr>
            <w:tcW w:w="0" w:type="auto"/>
            <w:gridSpan w:val="2"/>
            <w:tcBorders>
              <w:top w:val="single" w:sz="4" w:space="0" w:color="auto"/>
              <w:left w:val="nil"/>
              <w:bottom w:val="single" w:sz="4" w:space="0" w:color="auto"/>
              <w:right w:val="single" w:sz="4" w:space="0" w:color="auto"/>
            </w:tcBorders>
            <w:noWrap/>
            <w:vAlign w:val="bottom"/>
            <w:hideMark/>
          </w:tcPr>
          <w:p w14:paraId="43DC0FC5" w14:textId="77777777" w:rsidR="005C170A" w:rsidRPr="002D7C87" w:rsidRDefault="005C170A" w:rsidP="00EB4A83">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 </w:t>
            </w:r>
          </w:p>
        </w:tc>
        <w:tc>
          <w:tcPr>
            <w:tcW w:w="0" w:type="auto"/>
            <w:gridSpan w:val="4"/>
            <w:tcBorders>
              <w:top w:val="single" w:sz="4" w:space="0" w:color="auto"/>
              <w:left w:val="single" w:sz="4" w:space="0" w:color="auto"/>
              <w:bottom w:val="single" w:sz="4" w:space="0" w:color="auto"/>
              <w:right w:val="single" w:sz="4" w:space="0" w:color="000000"/>
            </w:tcBorders>
            <w:noWrap/>
            <w:vAlign w:val="bottom"/>
            <w:hideMark/>
          </w:tcPr>
          <w:p w14:paraId="6C55C870" w14:textId="77777777" w:rsidR="005C170A" w:rsidRPr="002D7C87" w:rsidRDefault="005C170A" w:rsidP="00EB4A83">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Univariate</w:t>
            </w:r>
          </w:p>
        </w:tc>
        <w:tc>
          <w:tcPr>
            <w:tcW w:w="0" w:type="auto"/>
            <w:gridSpan w:val="4"/>
            <w:tcBorders>
              <w:top w:val="single" w:sz="4" w:space="0" w:color="auto"/>
              <w:left w:val="nil"/>
              <w:bottom w:val="single" w:sz="4" w:space="0" w:color="auto"/>
              <w:right w:val="single" w:sz="4" w:space="0" w:color="000000"/>
            </w:tcBorders>
            <w:noWrap/>
            <w:vAlign w:val="bottom"/>
            <w:hideMark/>
          </w:tcPr>
          <w:p w14:paraId="31F762A8" w14:textId="77777777" w:rsidR="005C170A" w:rsidRPr="002D7C87" w:rsidRDefault="005C170A" w:rsidP="00EB4A83">
            <w:pPr>
              <w:spacing w:line="240" w:lineRule="auto"/>
              <w:jc w:val="center"/>
              <w:rPr>
                <w:rFonts w:eastAsia="Times New Roman" w:cs="Calibri"/>
                <w:b/>
                <w:bCs/>
                <w:color w:val="000000"/>
                <w:kern w:val="0"/>
                <w:lang w:eastAsia="en-GB"/>
                <w14:ligatures w14:val="none"/>
              </w:rPr>
            </w:pPr>
            <w:r w:rsidRPr="002D7C87">
              <w:rPr>
                <w:rFonts w:eastAsia="Times New Roman" w:cs="Calibri"/>
                <w:b/>
                <w:bCs/>
                <w:color w:val="000000"/>
                <w:kern w:val="0"/>
                <w:lang w:eastAsia="en-GB"/>
                <w14:ligatures w14:val="none"/>
              </w:rPr>
              <w:t xml:space="preserve">Multivariate </w:t>
            </w:r>
          </w:p>
        </w:tc>
      </w:tr>
      <w:tr w:rsidR="005C170A" w:rsidRPr="002D7C87" w14:paraId="00F5B8A5" w14:textId="77777777" w:rsidTr="00EC1BB6">
        <w:trPr>
          <w:trHeight w:val="320"/>
        </w:trPr>
        <w:tc>
          <w:tcPr>
            <w:tcW w:w="0" w:type="auto"/>
            <w:tcBorders>
              <w:top w:val="single" w:sz="4" w:space="0" w:color="auto"/>
              <w:left w:val="single" w:sz="4" w:space="0" w:color="auto"/>
              <w:bottom w:val="single" w:sz="4" w:space="0" w:color="auto"/>
              <w:right w:val="nil"/>
            </w:tcBorders>
            <w:noWrap/>
            <w:vAlign w:val="bottom"/>
            <w:hideMark/>
          </w:tcPr>
          <w:p w14:paraId="1550CC89"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Outcome</w:t>
            </w:r>
          </w:p>
        </w:tc>
        <w:tc>
          <w:tcPr>
            <w:tcW w:w="0" w:type="auto"/>
            <w:tcBorders>
              <w:top w:val="nil"/>
              <w:left w:val="single" w:sz="4" w:space="0" w:color="auto"/>
              <w:bottom w:val="single" w:sz="4" w:space="0" w:color="auto"/>
              <w:right w:val="single" w:sz="4" w:space="0" w:color="auto"/>
            </w:tcBorders>
            <w:noWrap/>
            <w:vAlign w:val="bottom"/>
            <w:hideMark/>
          </w:tcPr>
          <w:p w14:paraId="57C3736B"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Exposure</w:t>
            </w:r>
          </w:p>
        </w:tc>
        <w:tc>
          <w:tcPr>
            <w:tcW w:w="0" w:type="auto"/>
            <w:tcBorders>
              <w:top w:val="nil"/>
              <w:left w:val="nil"/>
              <w:bottom w:val="single" w:sz="4" w:space="0" w:color="auto"/>
              <w:right w:val="single" w:sz="4" w:space="0" w:color="auto"/>
            </w:tcBorders>
            <w:vAlign w:val="bottom"/>
          </w:tcPr>
          <w:p w14:paraId="002FACF0"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N</w:t>
            </w:r>
          </w:p>
        </w:tc>
        <w:tc>
          <w:tcPr>
            <w:tcW w:w="0" w:type="auto"/>
            <w:tcBorders>
              <w:top w:val="nil"/>
              <w:left w:val="single" w:sz="4" w:space="0" w:color="auto"/>
              <w:bottom w:val="single" w:sz="4" w:space="0" w:color="auto"/>
              <w:right w:val="nil"/>
            </w:tcBorders>
            <w:noWrap/>
            <w:vAlign w:val="bottom"/>
            <w:hideMark/>
          </w:tcPr>
          <w:p w14:paraId="400A173A"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OR</w:t>
            </w:r>
          </w:p>
        </w:tc>
        <w:tc>
          <w:tcPr>
            <w:tcW w:w="0" w:type="auto"/>
            <w:tcBorders>
              <w:top w:val="nil"/>
              <w:left w:val="single" w:sz="4" w:space="0" w:color="auto"/>
              <w:bottom w:val="single" w:sz="4" w:space="0" w:color="auto"/>
              <w:right w:val="single" w:sz="4" w:space="0" w:color="auto"/>
            </w:tcBorders>
            <w:noWrap/>
            <w:vAlign w:val="bottom"/>
            <w:hideMark/>
          </w:tcPr>
          <w:p w14:paraId="5E29F412"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CIU</w:t>
            </w:r>
          </w:p>
        </w:tc>
        <w:tc>
          <w:tcPr>
            <w:tcW w:w="0" w:type="auto"/>
            <w:tcBorders>
              <w:top w:val="nil"/>
              <w:left w:val="nil"/>
              <w:bottom w:val="single" w:sz="4" w:space="0" w:color="auto"/>
              <w:right w:val="nil"/>
            </w:tcBorders>
            <w:noWrap/>
            <w:vAlign w:val="bottom"/>
            <w:hideMark/>
          </w:tcPr>
          <w:p w14:paraId="0A854343"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CIL</w:t>
            </w:r>
          </w:p>
        </w:tc>
        <w:tc>
          <w:tcPr>
            <w:tcW w:w="0" w:type="auto"/>
            <w:tcBorders>
              <w:top w:val="nil"/>
              <w:left w:val="single" w:sz="4" w:space="0" w:color="auto"/>
              <w:bottom w:val="single" w:sz="4" w:space="0" w:color="auto"/>
              <w:right w:val="single" w:sz="4" w:space="0" w:color="auto"/>
            </w:tcBorders>
            <w:noWrap/>
            <w:vAlign w:val="bottom"/>
            <w:hideMark/>
          </w:tcPr>
          <w:p w14:paraId="35722A52"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P</w:t>
            </w:r>
          </w:p>
        </w:tc>
        <w:tc>
          <w:tcPr>
            <w:tcW w:w="0" w:type="auto"/>
            <w:tcBorders>
              <w:top w:val="nil"/>
              <w:left w:val="nil"/>
              <w:bottom w:val="single" w:sz="4" w:space="0" w:color="auto"/>
              <w:right w:val="nil"/>
            </w:tcBorders>
            <w:noWrap/>
            <w:vAlign w:val="bottom"/>
            <w:hideMark/>
          </w:tcPr>
          <w:p w14:paraId="77CE627A"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OR</w:t>
            </w:r>
          </w:p>
        </w:tc>
        <w:tc>
          <w:tcPr>
            <w:tcW w:w="0" w:type="auto"/>
            <w:tcBorders>
              <w:top w:val="nil"/>
              <w:left w:val="single" w:sz="4" w:space="0" w:color="auto"/>
              <w:bottom w:val="single" w:sz="4" w:space="0" w:color="auto"/>
              <w:right w:val="single" w:sz="4" w:space="0" w:color="auto"/>
            </w:tcBorders>
            <w:noWrap/>
            <w:vAlign w:val="bottom"/>
            <w:hideMark/>
          </w:tcPr>
          <w:p w14:paraId="43A4E898"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CIU</w:t>
            </w:r>
          </w:p>
        </w:tc>
        <w:tc>
          <w:tcPr>
            <w:tcW w:w="0" w:type="auto"/>
            <w:tcBorders>
              <w:top w:val="nil"/>
              <w:left w:val="nil"/>
              <w:bottom w:val="single" w:sz="4" w:space="0" w:color="auto"/>
              <w:right w:val="nil"/>
            </w:tcBorders>
            <w:noWrap/>
            <w:vAlign w:val="bottom"/>
            <w:hideMark/>
          </w:tcPr>
          <w:p w14:paraId="287BD5E1"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CIL</w:t>
            </w:r>
          </w:p>
        </w:tc>
        <w:tc>
          <w:tcPr>
            <w:tcW w:w="0" w:type="auto"/>
            <w:tcBorders>
              <w:top w:val="nil"/>
              <w:left w:val="single" w:sz="4" w:space="0" w:color="auto"/>
              <w:bottom w:val="single" w:sz="4" w:space="0" w:color="auto"/>
              <w:right w:val="single" w:sz="4" w:space="0" w:color="auto"/>
            </w:tcBorders>
            <w:noWrap/>
            <w:vAlign w:val="bottom"/>
            <w:hideMark/>
          </w:tcPr>
          <w:p w14:paraId="31C8D73B" w14:textId="77777777" w:rsidR="005C170A" w:rsidRPr="002D7C87" w:rsidRDefault="005C170A" w:rsidP="00EB4A83">
            <w:pPr>
              <w:spacing w:line="240" w:lineRule="auto"/>
              <w:rPr>
                <w:rFonts w:eastAsia="Times New Roman" w:cs="Calibri"/>
                <w:b/>
                <w:bCs/>
                <w:color w:val="212121"/>
                <w:kern w:val="0"/>
                <w:lang w:eastAsia="en-GB"/>
                <w14:ligatures w14:val="none"/>
              </w:rPr>
            </w:pPr>
            <w:r w:rsidRPr="002D7C87">
              <w:rPr>
                <w:rFonts w:eastAsia="Times New Roman" w:cs="Calibri"/>
                <w:b/>
                <w:bCs/>
                <w:color w:val="212121"/>
                <w:kern w:val="0"/>
                <w:lang w:eastAsia="en-GB"/>
                <w14:ligatures w14:val="none"/>
              </w:rPr>
              <w:t>P</w:t>
            </w:r>
          </w:p>
        </w:tc>
      </w:tr>
      <w:tr w:rsidR="005C170A" w:rsidRPr="002D7C87" w14:paraId="179C8C66" w14:textId="77777777" w:rsidTr="00EC1BB6">
        <w:trPr>
          <w:trHeight w:val="320"/>
        </w:trPr>
        <w:tc>
          <w:tcPr>
            <w:tcW w:w="0" w:type="auto"/>
            <w:tcBorders>
              <w:top w:val="nil"/>
              <w:left w:val="single" w:sz="4" w:space="0" w:color="auto"/>
              <w:bottom w:val="nil"/>
              <w:right w:val="nil"/>
            </w:tcBorders>
            <w:noWrap/>
            <w:vAlign w:val="bottom"/>
            <w:hideMark/>
          </w:tcPr>
          <w:p w14:paraId="6DB94CFC" w14:textId="77777777" w:rsidR="005C170A" w:rsidRPr="002D7C87" w:rsidRDefault="005C170A" w:rsidP="00EB4A83">
            <w:pPr>
              <w:spacing w:line="240" w:lineRule="auto"/>
              <w:rPr>
                <w:rFonts w:eastAsia="Times New Roman" w:cs="Calibri"/>
                <w:color w:val="212121"/>
                <w:kern w:val="0"/>
                <w:lang w:eastAsia="en-GB"/>
                <w14:ligatures w14:val="none"/>
              </w:rPr>
            </w:pPr>
            <w:r w:rsidRPr="002D7C87">
              <w:rPr>
                <w:rFonts w:eastAsia="Times New Roman" w:cs="Calibri"/>
                <w:color w:val="212121"/>
                <w:kern w:val="0"/>
                <w:lang w:eastAsia="en-GB"/>
                <w14:ligatures w14:val="none"/>
              </w:rPr>
              <w:t>Booklet Component Primary outcome</w:t>
            </w:r>
          </w:p>
        </w:tc>
        <w:tc>
          <w:tcPr>
            <w:tcW w:w="0" w:type="auto"/>
            <w:tcBorders>
              <w:top w:val="nil"/>
              <w:left w:val="single" w:sz="4" w:space="0" w:color="auto"/>
              <w:bottom w:val="nil"/>
              <w:right w:val="single" w:sz="4" w:space="0" w:color="auto"/>
            </w:tcBorders>
            <w:noWrap/>
            <w:vAlign w:val="bottom"/>
            <w:hideMark/>
          </w:tcPr>
          <w:p w14:paraId="78CB3E7B" w14:textId="77777777" w:rsidR="005C170A" w:rsidRPr="002D7C87" w:rsidRDefault="005C170A" w:rsidP="00EB4A83">
            <w:pPr>
              <w:spacing w:line="240" w:lineRule="auto"/>
              <w:rPr>
                <w:rFonts w:eastAsia="Times New Roman" w:cs="Calibri"/>
                <w:color w:val="212121"/>
                <w:kern w:val="0"/>
                <w:lang w:eastAsia="en-GB"/>
                <w14:ligatures w14:val="none"/>
              </w:rPr>
            </w:pPr>
            <w:r w:rsidRPr="002D7C87">
              <w:rPr>
                <w:rFonts w:eastAsia="Times New Roman" w:cs="Calibri"/>
                <w:color w:val="212121"/>
                <w:kern w:val="0"/>
                <w:lang w:eastAsia="en-GB"/>
                <w14:ligatures w14:val="none"/>
              </w:rPr>
              <w:t>Booklet Randomisation</w:t>
            </w:r>
          </w:p>
        </w:tc>
        <w:tc>
          <w:tcPr>
            <w:tcW w:w="0" w:type="auto"/>
            <w:tcBorders>
              <w:top w:val="nil"/>
              <w:left w:val="nil"/>
              <w:bottom w:val="nil"/>
              <w:right w:val="single" w:sz="4" w:space="0" w:color="auto"/>
            </w:tcBorders>
            <w:vAlign w:val="bottom"/>
          </w:tcPr>
          <w:p w14:paraId="2828DF4F" w14:textId="77777777" w:rsidR="005C170A" w:rsidRPr="002D7C87" w:rsidRDefault="005C170A" w:rsidP="00EB4A83">
            <w:pPr>
              <w:spacing w:line="240" w:lineRule="auto"/>
              <w:rPr>
                <w:rFonts w:cs="Calibri"/>
                <w:color w:val="000000"/>
              </w:rPr>
            </w:pPr>
            <w:r w:rsidRPr="002D7C87">
              <w:rPr>
                <w:rFonts w:cs="Calibri"/>
                <w:color w:val="000000"/>
              </w:rPr>
              <w:t>121</w:t>
            </w:r>
          </w:p>
        </w:tc>
        <w:tc>
          <w:tcPr>
            <w:tcW w:w="0" w:type="auto"/>
            <w:tcBorders>
              <w:top w:val="nil"/>
              <w:left w:val="single" w:sz="4" w:space="0" w:color="auto"/>
              <w:bottom w:val="nil"/>
              <w:right w:val="nil"/>
            </w:tcBorders>
            <w:noWrap/>
            <w:vAlign w:val="bottom"/>
            <w:hideMark/>
          </w:tcPr>
          <w:p w14:paraId="430B9F75" w14:textId="77777777" w:rsidR="005C170A" w:rsidRPr="002D7C87" w:rsidRDefault="005C170A" w:rsidP="00EB4A83">
            <w:pPr>
              <w:spacing w:line="240" w:lineRule="auto"/>
              <w:rPr>
                <w:rFonts w:eastAsia="Times New Roman" w:cs="Calibri"/>
                <w:color w:val="000000"/>
                <w:kern w:val="0"/>
                <w:lang w:eastAsia="en-GB"/>
                <w14:ligatures w14:val="none"/>
              </w:rPr>
            </w:pPr>
            <w:r w:rsidRPr="002D7C87">
              <w:rPr>
                <w:rFonts w:cs="Calibri"/>
                <w:color w:val="000000"/>
              </w:rPr>
              <w:t>1.154684</w:t>
            </w:r>
          </w:p>
        </w:tc>
        <w:tc>
          <w:tcPr>
            <w:tcW w:w="0" w:type="auto"/>
            <w:tcBorders>
              <w:top w:val="nil"/>
              <w:left w:val="single" w:sz="4" w:space="0" w:color="auto"/>
              <w:bottom w:val="nil"/>
              <w:right w:val="single" w:sz="4" w:space="0" w:color="auto"/>
            </w:tcBorders>
            <w:noWrap/>
            <w:vAlign w:val="bottom"/>
            <w:hideMark/>
          </w:tcPr>
          <w:p w14:paraId="2FF12977"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3.074114</w:t>
            </w:r>
          </w:p>
        </w:tc>
        <w:tc>
          <w:tcPr>
            <w:tcW w:w="0" w:type="auto"/>
            <w:tcBorders>
              <w:top w:val="nil"/>
              <w:left w:val="nil"/>
              <w:bottom w:val="nil"/>
              <w:right w:val="nil"/>
            </w:tcBorders>
            <w:noWrap/>
            <w:vAlign w:val="bottom"/>
            <w:hideMark/>
          </w:tcPr>
          <w:p w14:paraId="51D08B87"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0.433717</w:t>
            </w:r>
          </w:p>
        </w:tc>
        <w:tc>
          <w:tcPr>
            <w:tcW w:w="0" w:type="auto"/>
            <w:tcBorders>
              <w:top w:val="nil"/>
              <w:left w:val="single" w:sz="4" w:space="0" w:color="auto"/>
              <w:bottom w:val="nil"/>
              <w:right w:val="single" w:sz="4" w:space="0" w:color="auto"/>
            </w:tcBorders>
            <w:noWrap/>
            <w:vAlign w:val="bottom"/>
            <w:hideMark/>
          </w:tcPr>
          <w:p w14:paraId="488596F4"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0.77343</w:t>
            </w:r>
          </w:p>
        </w:tc>
        <w:tc>
          <w:tcPr>
            <w:tcW w:w="0" w:type="auto"/>
            <w:tcBorders>
              <w:top w:val="nil"/>
              <w:left w:val="nil"/>
              <w:bottom w:val="nil"/>
              <w:right w:val="nil"/>
            </w:tcBorders>
            <w:noWrap/>
            <w:vAlign w:val="bottom"/>
            <w:hideMark/>
          </w:tcPr>
          <w:p w14:paraId="47FCF179"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0.989736</w:t>
            </w:r>
          </w:p>
        </w:tc>
        <w:tc>
          <w:tcPr>
            <w:tcW w:w="0" w:type="auto"/>
            <w:tcBorders>
              <w:top w:val="nil"/>
              <w:left w:val="single" w:sz="4" w:space="0" w:color="auto"/>
              <w:bottom w:val="nil"/>
              <w:right w:val="single" w:sz="4" w:space="0" w:color="auto"/>
            </w:tcBorders>
            <w:noWrap/>
            <w:vAlign w:val="bottom"/>
            <w:hideMark/>
          </w:tcPr>
          <w:p w14:paraId="4DC878D6"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2.993242</w:t>
            </w:r>
          </w:p>
        </w:tc>
        <w:tc>
          <w:tcPr>
            <w:tcW w:w="0" w:type="auto"/>
            <w:tcBorders>
              <w:top w:val="nil"/>
              <w:left w:val="nil"/>
              <w:bottom w:val="nil"/>
              <w:right w:val="nil"/>
            </w:tcBorders>
            <w:noWrap/>
            <w:vAlign w:val="bottom"/>
            <w:hideMark/>
          </w:tcPr>
          <w:p w14:paraId="1ED08754"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0.327263</w:t>
            </w:r>
          </w:p>
        </w:tc>
        <w:tc>
          <w:tcPr>
            <w:tcW w:w="0" w:type="auto"/>
            <w:tcBorders>
              <w:top w:val="nil"/>
              <w:left w:val="single" w:sz="4" w:space="0" w:color="auto"/>
              <w:bottom w:val="nil"/>
              <w:right w:val="single" w:sz="4" w:space="0" w:color="auto"/>
            </w:tcBorders>
            <w:noWrap/>
            <w:vAlign w:val="bottom"/>
            <w:hideMark/>
          </w:tcPr>
          <w:p w14:paraId="40E47656"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0.985422</w:t>
            </w:r>
          </w:p>
        </w:tc>
      </w:tr>
      <w:tr w:rsidR="005C170A" w:rsidRPr="002D7C87" w14:paraId="358A3CD6" w14:textId="77777777" w:rsidTr="00EC1BB6">
        <w:trPr>
          <w:trHeight w:val="320"/>
        </w:trPr>
        <w:tc>
          <w:tcPr>
            <w:tcW w:w="0" w:type="auto"/>
            <w:tcBorders>
              <w:top w:val="nil"/>
              <w:left w:val="single" w:sz="4" w:space="0" w:color="auto"/>
              <w:bottom w:val="single" w:sz="4" w:space="0" w:color="auto"/>
              <w:right w:val="nil"/>
            </w:tcBorders>
            <w:noWrap/>
            <w:vAlign w:val="bottom"/>
            <w:hideMark/>
          </w:tcPr>
          <w:p w14:paraId="6BC2DFA5" w14:textId="77777777" w:rsidR="005C170A" w:rsidRPr="002D7C87" w:rsidRDefault="005C170A" w:rsidP="00EB4A83">
            <w:pPr>
              <w:spacing w:line="240" w:lineRule="auto"/>
              <w:rPr>
                <w:rFonts w:eastAsia="Times New Roman" w:cs="Calibri"/>
                <w:color w:val="212121"/>
                <w:kern w:val="0"/>
                <w:lang w:eastAsia="en-GB"/>
                <w14:ligatures w14:val="none"/>
              </w:rPr>
            </w:pPr>
            <w:r w:rsidRPr="002D7C87">
              <w:rPr>
                <w:rFonts w:eastAsia="Times New Roman" w:cs="Calibri"/>
                <w:color w:val="212121"/>
                <w:kern w:val="0"/>
                <w:lang w:eastAsia="en-GB"/>
                <w14:ligatures w14:val="none"/>
              </w:rPr>
              <w:t>Consent Component Primary outcome</w:t>
            </w:r>
          </w:p>
        </w:tc>
        <w:tc>
          <w:tcPr>
            <w:tcW w:w="0" w:type="auto"/>
            <w:tcBorders>
              <w:top w:val="nil"/>
              <w:left w:val="single" w:sz="4" w:space="0" w:color="auto"/>
              <w:bottom w:val="single" w:sz="4" w:space="0" w:color="auto"/>
              <w:right w:val="single" w:sz="4" w:space="0" w:color="auto"/>
            </w:tcBorders>
            <w:noWrap/>
            <w:vAlign w:val="bottom"/>
            <w:hideMark/>
          </w:tcPr>
          <w:p w14:paraId="2E0ABECB" w14:textId="77777777" w:rsidR="005C170A" w:rsidRPr="002D7C87" w:rsidRDefault="005C170A" w:rsidP="00EB4A83">
            <w:pPr>
              <w:spacing w:line="240" w:lineRule="auto"/>
              <w:rPr>
                <w:rFonts w:eastAsia="Times New Roman" w:cs="Calibri"/>
                <w:color w:val="212121"/>
                <w:kern w:val="0"/>
                <w:lang w:eastAsia="en-GB"/>
                <w14:ligatures w14:val="none"/>
              </w:rPr>
            </w:pPr>
            <w:r w:rsidRPr="002D7C87">
              <w:rPr>
                <w:rFonts w:eastAsia="Times New Roman" w:cs="Calibri"/>
                <w:color w:val="212121"/>
                <w:kern w:val="0"/>
                <w:lang w:eastAsia="en-GB"/>
                <w14:ligatures w14:val="none"/>
              </w:rPr>
              <w:t>Consent Randomisation</w:t>
            </w:r>
          </w:p>
        </w:tc>
        <w:tc>
          <w:tcPr>
            <w:tcW w:w="0" w:type="auto"/>
            <w:tcBorders>
              <w:top w:val="nil"/>
              <w:left w:val="nil"/>
              <w:bottom w:val="single" w:sz="4" w:space="0" w:color="auto"/>
              <w:right w:val="single" w:sz="4" w:space="0" w:color="auto"/>
            </w:tcBorders>
            <w:vAlign w:val="bottom"/>
          </w:tcPr>
          <w:p w14:paraId="6D464357" w14:textId="77777777" w:rsidR="005C170A" w:rsidRPr="002D7C87" w:rsidRDefault="005C170A" w:rsidP="00EB4A83">
            <w:pPr>
              <w:spacing w:line="240" w:lineRule="auto"/>
              <w:rPr>
                <w:rFonts w:cs="Calibri"/>
                <w:color w:val="000000"/>
              </w:rPr>
            </w:pPr>
            <w:r w:rsidRPr="002D7C87">
              <w:rPr>
                <w:rFonts w:cs="Calibri"/>
                <w:color w:val="000000"/>
              </w:rPr>
              <w:t>91</w:t>
            </w:r>
          </w:p>
        </w:tc>
        <w:tc>
          <w:tcPr>
            <w:tcW w:w="0" w:type="auto"/>
            <w:tcBorders>
              <w:top w:val="nil"/>
              <w:left w:val="single" w:sz="4" w:space="0" w:color="auto"/>
              <w:bottom w:val="single" w:sz="4" w:space="0" w:color="auto"/>
              <w:right w:val="nil"/>
            </w:tcBorders>
            <w:noWrap/>
            <w:vAlign w:val="bottom"/>
            <w:hideMark/>
          </w:tcPr>
          <w:p w14:paraId="3B925964" w14:textId="77777777" w:rsidR="005C170A" w:rsidRPr="002D7C87" w:rsidRDefault="005C170A" w:rsidP="00EB4A83">
            <w:pPr>
              <w:spacing w:line="240" w:lineRule="auto"/>
              <w:rPr>
                <w:rFonts w:eastAsia="Times New Roman" w:cs="Calibri"/>
                <w:color w:val="000000"/>
                <w:kern w:val="0"/>
                <w:lang w:eastAsia="en-GB"/>
                <w14:ligatures w14:val="none"/>
              </w:rPr>
            </w:pPr>
            <w:r w:rsidRPr="002D7C87">
              <w:rPr>
                <w:rFonts w:cs="Calibri"/>
                <w:color w:val="000000"/>
              </w:rPr>
              <w:t>2.8125</w:t>
            </w:r>
          </w:p>
        </w:tc>
        <w:tc>
          <w:tcPr>
            <w:tcW w:w="0" w:type="auto"/>
            <w:tcBorders>
              <w:top w:val="nil"/>
              <w:left w:val="single" w:sz="4" w:space="0" w:color="auto"/>
              <w:bottom w:val="single" w:sz="4" w:space="0" w:color="auto"/>
              <w:right w:val="single" w:sz="4" w:space="0" w:color="auto"/>
            </w:tcBorders>
            <w:noWrap/>
            <w:vAlign w:val="bottom"/>
            <w:hideMark/>
          </w:tcPr>
          <w:p w14:paraId="787C23AC"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6.585509</w:t>
            </w:r>
          </w:p>
        </w:tc>
        <w:tc>
          <w:tcPr>
            <w:tcW w:w="0" w:type="auto"/>
            <w:tcBorders>
              <w:top w:val="nil"/>
              <w:left w:val="nil"/>
              <w:bottom w:val="single" w:sz="4" w:space="0" w:color="auto"/>
              <w:right w:val="nil"/>
            </w:tcBorders>
            <w:noWrap/>
            <w:vAlign w:val="bottom"/>
            <w:hideMark/>
          </w:tcPr>
          <w:p w14:paraId="4D716F3A"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1.201146</w:t>
            </w:r>
          </w:p>
        </w:tc>
        <w:tc>
          <w:tcPr>
            <w:tcW w:w="0" w:type="auto"/>
            <w:tcBorders>
              <w:top w:val="nil"/>
              <w:left w:val="single" w:sz="4" w:space="0" w:color="auto"/>
              <w:bottom w:val="single" w:sz="4" w:space="0" w:color="auto"/>
              <w:right w:val="single" w:sz="4" w:space="0" w:color="auto"/>
            </w:tcBorders>
            <w:noWrap/>
            <w:vAlign w:val="bottom"/>
            <w:hideMark/>
          </w:tcPr>
          <w:p w14:paraId="13C4D392"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0.0172</w:t>
            </w:r>
          </w:p>
        </w:tc>
        <w:tc>
          <w:tcPr>
            <w:tcW w:w="0" w:type="auto"/>
            <w:tcBorders>
              <w:top w:val="nil"/>
              <w:left w:val="nil"/>
              <w:bottom w:val="single" w:sz="4" w:space="0" w:color="auto"/>
              <w:right w:val="nil"/>
            </w:tcBorders>
            <w:noWrap/>
            <w:vAlign w:val="bottom"/>
            <w:hideMark/>
          </w:tcPr>
          <w:p w14:paraId="00F5572B"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3.733396</w:t>
            </w:r>
          </w:p>
        </w:tc>
        <w:tc>
          <w:tcPr>
            <w:tcW w:w="0" w:type="auto"/>
            <w:tcBorders>
              <w:top w:val="nil"/>
              <w:left w:val="single" w:sz="4" w:space="0" w:color="auto"/>
              <w:bottom w:val="single" w:sz="4" w:space="0" w:color="auto"/>
              <w:right w:val="single" w:sz="4" w:space="0" w:color="auto"/>
            </w:tcBorders>
            <w:noWrap/>
            <w:vAlign w:val="bottom"/>
            <w:hideMark/>
          </w:tcPr>
          <w:p w14:paraId="5F1DB8E7"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10.13592</w:t>
            </w:r>
          </w:p>
        </w:tc>
        <w:tc>
          <w:tcPr>
            <w:tcW w:w="0" w:type="auto"/>
            <w:tcBorders>
              <w:top w:val="nil"/>
              <w:left w:val="nil"/>
              <w:bottom w:val="single" w:sz="4" w:space="0" w:color="auto"/>
              <w:right w:val="nil"/>
            </w:tcBorders>
            <w:noWrap/>
            <w:vAlign w:val="bottom"/>
            <w:hideMark/>
          </w:tcPr>
          <w:p w14:paraId="124B5D2C"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1.375134</w:t>
            </w:r>
          </w:p>
        </w:tc>
        <w:tc>
          <w:tcPr>
            <w:tcW w:w="0" w:type="auto"/>
            <w:tcBorders>
              <w:top w:val="nil"/>
              <w:left w:val="single" w:sz="4" w:space="0" w:color="auto"/>
              <w:bottom w:val="single" w:sz="4" w:space="0" w:color="auto"/>
              <w:right w:val="single" w:sz="4" w:space="0" w:color="auto"/>
            </w:tcBorders>
            <w:noWrap/>
            <w:vAlign w:val="bottom"/>
            <w:hideMark/>
          </w:tcPr>
          <w:p w14:paraId="70422B76" w14:textId="77777777" w:rsidR="005C170A" w:rsidRPr="002D7C87" w:rsidRDefault="005C170A" w:rsidP="00EB4A83">
            <w:pPr>
              <w:spacing w:line="240" w:lineRule="auto"/>
              <w:jc w:val="right"/>
              <w:rPr>
                <w:rFonts w:eastAsia="Times New Roman" w:cs="Calibri"/>
                <w:color w:val="000000"/>
                <w:kern w:val="0"/>
                <w:lang w:eastAsia="en-GB"/>
                <w14:ligatures w14:val="none"/>
              </w:rPr>
            </w:pPr>
            <w:r w:rsidRPr="002D7C87">
              <w:rPr>
                <w:rFonts w:cs="Calibri"/>
                <w:color w:val="000000"/>
              </w:rPr>
              <w:t>0.009734</w:t>
            </w:r>
          </w:p>
        </w:tc>
      </w:tr>
    </w:tbl>
    <w:p w14:paraId="134CB809" w14:textId="77777777" w:rsidR="005C170A" w:rsidRPr="002D7C87" w:rsidRDefault="005C170A" w:rsidP="005C170A">
      <w:pPr>
        <w:rPr>
          <w:rFonts w:cs="Calibri"/>
          <w:u w:val="single"/>
        </w:rPr>
      </w:pPr>
    </w:p>
    <w:p w14:paraId="653122AE" w14:textId="77777777" w:rsidR="005C170A" w:rsidRPr="002D7C87" w:rsidRDefault="005C170A" w:rsidP="002655FB">
      <w:pPr>
        <w:rPr>
          <w:rFonts w:cs="Calibri"/>
          <w:b/>
          <w:bCs/>
        </w:rPr>
      </w:pPr>
    </w:p>
    <w:p w14:paraId="153C8EE2" w14:textId="77777777" w:rsidR="005C170A" w:rsidRPr="002D7C87" w:rsidRDefault="005C170A">
      <w:pPr>
        <w:ind w:left="425" w:hanging="425"/>
        <w:rPr>
          <w:rFonts w:cs="Calibri"/>
          <w:b/>
          <w:bCs/>
        </w:rPr>
      </w:pPr>
      <w:r w:rsidRPr="002D7C87">
        <w:rPr>
          <w:rFonts w:cs="Calibri"/>
          <w:b/>
          <w:bCs/>
        </w:rPr>
        <w:br w:type="page"/>
      </w:r>
    </w:p>
    <w:p w14:paraId="7F231FB0" w14:textId="659DBC18" w:rsidR="002655FB" w:rsidRPr="002D7C87" w:rsidRDefault="002655FB" w:rsidP="00EB4A83">
      <w:r w:rsidRPr="002D7C87">
        <w:rPr>
          <w:b/>
          <w:bCs/>
        </w:rPr>
        <w:lastRenderedPageBreak/>
        <w:t>Supplementary Figure 1</w:t>
      </w:r>
      <w:r w:rsidR="00EB4A83">
        <w:t xml:space="preserve">: </w:t>
      </w:r>
      <w:r w:rsidR="009214D2" w:rsidRPr="002D7C87">
        <w:t>Booklet</w:t>
      </w:r>
      <w:r w:rsidR="00405CE7" w:rsidRPr="002D7C87">
        <w:t xml:space="preserve"> </w:t>
      </w:r>
      <w:r w:rsidR="00960535" w:rsidRPr="002D7C87">
        <w:t>c</w:t>
      </w:r>
      <w:r w:rsidR="00405CE7" w:rsidRPr="002D7C87">
        <w:t>omponent</w:t>
      </w:r>
      <w:r w:rsidR="00734D65" w:rsidRPr="002D7C87">
        <w:t xml:space="preserve"> </w:t>
      </w:r>
      <w:r w:rsidR="00960535" w:rsidRPr="002D7C87">
        <w:t>p</w:t>
      </w:r>
      <w:r w:rsidR="004E4035" w:rsidRPr="002D7C87">
        <w:t xml:space="preserve">rimary </w:t>
      </w:r>
      <w:r w:rsidR="00960535" w:rsidRPr="002D7C87">
        <w:t>o</w:t>
      </w:r>
      <w:r w:rsidR="004E4035" w:rsidRPr="002D7C87">
        <w:t xml:space="preserve">utcome </w:t>
      </w:r>
      <w:r w:rsidR="00960535" w:rsidRPr="002D7C87">
        <w:t>a</w:t>
      </w:r>
      <w:r w:rsidR="004E4035" w:rsidRPr="002D7C87">
        <w:t xml:space="preserve">ssociations with </w:t>
      </w:r>
      <w:r w:rsidR="00960535" w:rsidRPr="002D7C87">
        <w:t>d</w:t>
      </w:r>
      <w:r w:rsidR="004E4035" w:rsidRPr="002D7C87">
        <w:t xml:space="preserve">emographic </w:t>
      </w:r>
      <w:r w:rsidR="00960535" w:rsidRPr="002D7C87">
        <w:t>v</w:t>
      </w:r>
      <w:r w:rsidR="004E4035" w:rsidRPr="002D7C87">
        <w:t xml:space="preserve">ariables and </w:t>
      </w:r>
      <w:r w:rsidR="00960535" w:rsidRPr="002D7C87">
        <w:t>r</w:t>
      </w:r>
      <w:r w:rsidR="004E4035" w:rsidRPr="002D7C87">
        <w:t xml:space="preserve">andomisation </w:t>
      </w:r>
      <w:r w:rsidR="00960535" w:rsidRPr="002D7C87">
        <w:t>s</w:t>
      </w:r>
      <w:r w:rsidR="004E4035" w:rsidRPr="002D7C87">
        <w:t>tatus</w:t>
      </w:r>
    </w:p>
    <w:p w14:paraId="0183A385" w14:textId="1DE10914" w:rsidR="002655FB" w:rsidRPr="002D7C87" w:rsidRDefault="00CE74DD" w:rsidP="002655FB">
      <w:pPr>
        <w:rPr>
          <w:rFonts w:cs="Calibri"/>
          <w:b/>
          <w:bCs/>
        </w:rPr>
      </w:pPr>
      <w:r w:rsidRPr="002D7C87">
        <w:rPr>
          <w:rFonts w:cs="Calibri"/>
          <w:noProof/>
        </w:rPr>
        <w:drawing>
          <wp:inline distT="0" distB="0" distL="0" distR="0" wp14:anchorId="5D260B39" wp14:editId="32D95221">
            <wp:extent cx="9777730" cy="4888865"/>
            <wp:effectExtent l="0" t="0" r="0" b="6985"/>
            <wp:docPr id="783557787" name="Picture 1"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57787" name="Picture 1" descr="A diagram of a number of number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77730" cy="4888865"/>
                    </a:xfrm>
                    <a:prstGeom prst="rect">
                      <a:avLst/>
                    </a:prstGeom>
                  </pic:spPr>
                </pic:pic>
              </a:graphicData>
            </a:graphic>
          </wp:inline>
        </w:drawing>
      </w:r>
      <w:r w:rsidR="004E4035" w:rsidRPr="002D7C87">
        <w:rPr>
          <w:rFonts w:cs="Calibri"/>
          <w:noProof/>
        </w:rPr>
        <w:t xml:space="preserve"> </w:t>
      </w:r>
    </w:p>
    <w:p w14:paraId="6195B8E3" w14:textId="154F7D42" w:rsidR="009F1CA5" w:rsidRPr="002D7C87" w:rsidRDefault="009F1CA5" w:rsidP="005C170A">
      <w:pPr>
        <w:rPr>
          <w:rFonts w:cs="Calibri"/>
          <w:noProof/>
        </w:rPr>
      </w:pPr>
      <w:r w:rsidRPr="002D7C87">
        <w:rPr>
          <w:rFonts w:cs="Calibri"/>
          <w:u w:val="single"/>
        </w:rPr>
        <w:br w:type="page"/>
      </w:r>
      <w:r w:rsidR="0020752F" w:rsidRPr="002D7C87">
        <w:rPr>
          <w:rFonts w:cs="Calibri"/>
          <w:b/>
          <w:bCs/>
        </w:rPr>
        <w:lastRenderedPageBreak/>
        <w:t>Supplementary Figure 2</w:t>
      </w:r>
      <w:r w:rsidR="00B50BD4">
        <w:rPr>
          <w:rFonts w:cs="Calibri"/>
          <w:b/>
          <w:bCs/>
        </w:rPr>
        <w:t xml:space="preserve">: </w:t>
      </w:r>
      <w:r w:rsidR="0020752F" w:rsidRPr="002D7C87">
        <w:rPr>
          <w:rFonts w:cs="Calibri"/>
        </w:rPr>
        <w:t>Histogram</w:t>
      </w:r>
      <w:r w:rsidR="0020752F" w:rsidRPr="002D7C87">
        <w:rPr>
          <w:rFonts w:cs="Calibri"/>
          <w:b/>
          <w:bCs/>
        </w:rPr>
        <w:t xml:space="preserve"> </w:t>
      </w:r>
      <w:r w:rsidR="0020752F" w:rsidRPr="002D7C87">
        <w:rPr>
          <w:rFonts w:cs="Calibri"/>
        </w:rPr>
        <w:t>of Consent Component Total Comprehension Score.</w:t>
      </w:r>
      <w:r w:rsidR="00DD2CA9" w:rsidRPr="002D7C87">
        <w:rPr>
          <w:rFonts w:cs="Calibri"/>
        </w:rPr>
        <w:t xml:space="preserve"> A score of 0 represents no correct answers, and 6 represents all questions correctly answered.</w:t>
      </w:r>
      <w:r w:rsidR="0020752F" w:rsidRPr="002D7C87">
        <w:rPr>
          <w:rFonts w:cs="Calibri"/>
        </w:rPr>
        <w:t xml:space="preserve"> </w:t>
      </w:r>
      <w:r w:rsidR="00DD2CA9" w:rsidRPr="002D7C87">
        <w:rPr>
          <w:rFonts w:cs="Calibri"/>
        </w:rPr>
        <w:t>T</w:t>
      </w:r>
      <w:r w:rsidR="0020752F" w:rsidRPr="002D7C87">
        <w:rPr>
          <w:rFonts w:cs="Calibri"/>
        </w:rPr>
        <w:t>op panel</w:t>
      </w:r>
      <w:r w:rsidR="00DD2CA9" w:rsidRPr="002D7C87">
        <w:rPr>
          <w:rFonts w:cs="Calibri"/>
        </w:rPr>
        <w:t xml:space="preserve">: </w:t>
      </w:r>
      <w:r w:rsidR="00890EAA" w:rsidRPr="002D7C87">
        <w:rPr>
          <w:rFonts w:cs="Calibri"/>
        </w:rPr>
        <w:t xml:space="preserve">score </w:t>
      </w:r>
      <w:r w:rsidR="0020752F" w:rsidRPr="002D7C87">
        <w:rPr>
          <w:rFonts w:cs="Calibri"/>
        </w:rPr>
        <w:t>distribution for participants randomised to the bilingual consent form</w:t>
      </w:r>
      <w:r w:rsidR="00DD2CA9" w:rsidRPr="002D7C87">
        <w:rPr>
          <w:rFonts w:cs="Calibri"/>
        </w:rPr>
        <w:t>. B</w:t>
      </w:r>
      <w:r w:rsidR="0020752F" w:rsidRPr="002D7C87">
        <w:rPr>
          <w:rFonts w:cs="Calibri"/>
        </w:rPr>
        <w:t>ottom panel</w:t>
      </w:r>
      <w:r w:rsidR="00DD2CA9" w:rsidRPr="002D7C87">
        <w:rPr>
          <w:rFonts w:cs="Calibri"/>
        </w:rPr>
        <w:t xml:space="preserve">: </w:t>
      </w:r>
      <w:r w:rsidR="0020752F" w:rsidRPr="002D7C87">
        <w:rPr>
          <w:rFonts w:cs="Calibri"/>
        </w:rPr>
        <w:t>score distribution</w:t>
      </w:r>
      <w:r w:rsidR="00DD2CA9" w:rsidRPr="002D7C87">
        <w:rPr>
          <w:rFonts w:cs="Calibri"/>
        </w:rPr>
        <w:t xml:space="preserve"> for participants randomised to the English-only consent form.</w:t>
      </w:r>
      <w:r w:rsidR="00DD2CA9" w:rsidRPr="002D7C87">
        <w:rPr>
          <w:rFonts w:cs="Calibri"/>
          <w:noProof/>
        </w:rPr>
        <w:t xml:space="preserve"> </w:t>
      </w:r>
    </w:p>
    <w:p w14:paraId="095AA32C" w14:textId="2FFFC0CE" w:rsidR="00CE74DD" w:rsidRPr="002D7C87" w:rsidRDefault="00CE74DD" w:rsidP="005C170A">
      <w:pPr>
        <w:rPr>
          <w:rFonts w:cs="Calibri"/>
          <w:b/>
          <w:bCs/>
        </w:rPr>
      </w:pPr>
      <w:r w:rsidRPr="002D7C87">
        <w:rPr>
          <w:rFonts w:cs="Calibri"/>
          <w:b/>
          <w:bCs/>
          <w:noProof/>
        </w:rPr>
        <w:drawing>
          <wp:inline distT="0" distB="0" distL="0" distR="0" wp14:anchorId="019469D8" wp14:editId="0BDCC8A0">
            <wp:extent cx="3345020" cy="4770120"/>
            <wp:effectExtent l="0" t="0" r="8255" b="0"/>
            <wp:docPr id="663107061" name="Picture 3"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07061" name="Picture 3" descr="A graph of different colored bars&#10;&#10;AI-generated content may be incorrect."/>
                    <pic:cNvPicPr/>
                  </pic:nvPicPr>
                  <pic:blipFill rotWithShape="1">
                    <a:blip r:embed="rId23" cstate="print">
                      <a:extLst>
                        <a:ext uri="{28A0092B-C50C-407E-A947-70E740481C1C}">
                          <a14:useLocalDpi xmlns:a14="http://schemas.microsoft.com/office/drawing/2010/main" val="0"/>
                        </a:ext>
                      </a:extLst>
                    </a:blip>
                    <a:srcRect t="4936"/>
                    <a:stretch>
                      <a:fillRect/>
                    </a:stretch>
                  </pic:blipFill>
                  <pic:spPr bwMode="auto">
                    <a:xfrm>
                      <a:off x="0" y="0"/>
                      <a:ext cx="3345979" cy="4771488"/>
                    </a:xfrm>
                    <a:prstGeom prst="rect">
                      <a:avLst/>
                    </a:prstGeom>
                    <a:ln>
                      <a:noFill/>
                    </a:ln>
                    <a:extLst>
                      <a:ext uri="{53640926-AAD7-44D8-BBD7-CCE9431645EC}">
                        <a14:shadowObscured xmlns:a14="http://schemas.microsoft.com/office/drawing/2010/main"/>
                      </a:ext>
                    </a:extLst>
                  </pic:spPr>
                </pic:pic>
              </a:graphicData>
            </a:graphic>
          </wp:inline>
        </w:drawing>
      </w:r>
    </w:p>
    <w:sectPr w:rsidR="00CE74DD" w:rsidRPr="002D7C87" w:rsidSect="00CE74D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5F231" w14:textId="77777777" w:rsidR="00D7659E" w:rsidRDefault="00D7659E" w:rsidP="002655FB">
      <w:r>
        <w:separator/>
      </w:r>
    </w:p>
  </w:endnote>
  <w:endnote w:type="continuationSeparator" w:id="0">
    <w:p w14:paraId="49691E86" w14:textId="77777777" w:rsidR="00D7659E" w:rsidRDefault="00D7659E" w:rsidP="00265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6612996"/>
      <w:docPartObj>
        <w:docPartGallery w:val="Page Numbers (Bottom of Page)"/>
        <w:docPartUnique/>
      </w:docPartObj>
    </w:sdtPr>
    <w:sdtEndPr>
      <w:rPr>
        <w:rStyle w:val="PageNumber"/>
      </w:rPr>
    </w:sdtEndPr>
    <w:sdtContent>
      <w:p w14:paraId="712A4C58" w14:textId="57B706B8" w:rsidR="003D1234" w:rsidRDefault="003D1234" w:rsidP="00EB6C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C73F3">
          <w:rPr>
            <w:rStyle w:val="PageNumber"/>
            <w:noProof/>
          </w:rPr>
          <w:t>23</w:t>
        </w:r>
        <w:r>
          <w:rPr>
            <w:rStyle w:val="PageNumber"/>
          </w:rPr>
          <w:fldChar w:fldCharType="end"/>
        </w:r>
      </w:p>
    </w:sdtContent>
  </w:sdt>
  <w:p w14:paraId="151B6AB4" w14:textId="77777777" w:rsidR="003D1234" w:rsidRDefault="003D1234" w:rsidP="003D12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006788"/>
      <w:docPartObj>
        <w:docPartGallery w:val="Page Numbers (Bottom of Page)"/>
        <w:docPartUnique/>
      </w:docPartObj>
    </w:sdtPr>
    <w:sdtEndPr>
      <w:rPr>
        <w:rFonts w:ascii="Calibri" w:hAnsi="Calibri" w:cs="Calibri"/>
        <w:noProof/>
        <w:szCs w:val="24"/>
      </w:rPr>
    </w:sdtEndPr>
    <w:sdtContent>
      <w:p w14:paraId="26186915" w14:textId="0C574F91" w:rsidR="002655FB" w:rsidRPr="00F25982" w:rsidRDefault="00F25982" w:rsidP="00F25982">
        <w:pPr>
          <w:pStyle w:val="Footer"/>
          <w:jc w:val="center"/>
          <w:rPr>
            <w:rFonts w:ascii="Calibri" w:hAnsi="Calibri" w:cs="Calibri"/>
            <w:szCs w:val="24"/>
          </w:rPr>
        </w:pPr>
        <w:r w:rsidRPr="00F25982">
          <w:rPr>
            <w:rFonts w:ascii="Calibri" w:hAnsi="Calibri" w:cs="Calibri"/>
            <w:szCs w:val="24"/>
          </w:rPr>
          <w:fldChar w:fldCharType="begin"/>
        </w:r>
        <w:r w:rsidRPr="00F25982">
          <w:rPr>
            <w:rFonts w:ascii="Calibri" w:hAnsi="Calibri" w:cs="Calibri"/>
            <w:szCs w:val="24"/>
          </w:rPr>
          <w:instrText xml:space="preserve"> PAGE   \* MERGEFORMAT </w:instrText>
        </w:r>
        <w:r w:rsidRPr="00F25982">
          <w:rPr>
            <w:rFonts w:ascii="Calibri" w:hAnsi="Calibri" w:cs="Calibri"/>
            <w:szCs w:val="24"/>
          </w:rPr>
          <w:fldChar w:fldCharType="separate"/>
        </w:r>
        <w:r w:rsidRPr="00F25982">
          <w:rPr>
            <w:rFonts w:ascii="Calibri" w:hAnsi="Calibri" w:cs="Calibri"/>
            <w:noProof/>
            <w:szCs w:val="24"/>
          </w:rPr>
          <w:t>2</w:t>
        </w:r>
        <w:r w:rsidRPr="00F25982">
          <w:rPr>
            <w:rFonts w:ascii="Calibri" w:hAnsi="Calibri" w:cs="Calibri"/>
            <w:noProof/>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7F298" w14:textId="77777777" w:rsidR="00D7659E" w:rsidRDefault="00D7659E" w:rsidP="002655FB">
      <w:r>
        <w:separator/>
      </w:r>
    </w:p>
  </w:footnote>
  <w:footnote w:type="continuationSeparator" w:id="0">
    <w:p w14:paraId="67050B77" w14:textId="77777777" w:rsidR="00D7659E" w:rsidRDefault="00D7659E" w:rsidP="00265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6F3B"/>
    <w:multiLevelType w:val="hybridMultilevel"/>
    <w:tmpl w:val="D0642B5E"/>
    <w:lvl w:ilvl="0" w:tplc="152CB466">
      <w:start w:val="1"/>
      <w:numFmt w:val="lowerLetter"/>
      <w:lvlText w:val="☐   %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 w15:restartNumberingAfterBreak="0">
    <w:nsid w:val="247F4AC1"/>
    <w:multiLevelType w:val="multilevel"/>
    <w:tmpl w:val="7CE61D2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8"/>
      <w:numFmt w:val="bullet"/>
      <w:lvlText w:val="-"/>
      <w:lvlJc w:val="left"/>
      <w:pPr>
        <w:ind w:left="2160" w:hanging="360"/>
      </w:pPr>
      <w:rPr>
        <w:rFonts w:ascii="Aptos" w:eastAsiaTheme="minorHAnsi" w:hAnsi="Aptos"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30287"/>
    <w:multiLevelType w:val="hybridMultilevel"/>
    <w:tmpl w:val="C62C31D8"/>
    <w:lvl w:ilvl="0" w:tplc="FFFFFFFF">
      <w:start w:val="1"/>
      <w:numFmt w:val="lowerLetter"/>
      <w:lvlText w:val="☐   %1."/>
      <w:lvlJc w:val="left"/>
      <w:pPr>
        <w:ind w:left="9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A910F1"/>
    <w:multiLevelType w:val="hybridMultilevel"/>
    <w:tmpl w:val="1D00F766"/>
    <w:lvl w:ilvl="0" w:tplc="4A6C72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CA076A"/>
    <w:multiLevelType w:val="hybridMultilevel"/>
    <w:tmpl w:val="22068BB0"/>
    <w:lvl w:ilvl="0" w:tplc="152CB466">
      <w:start w:val="1"/>
      <w:numFmt w:val="lowerLetter"/>
      <w:lvlText w:val="☐   %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5" w15:restartNumberingAfterBreak="0">
    <w:nsid w:val="44470A63"/>
    <w:multiLevelType w:val="hybridMultilevel"/>
    <w:tmpl w:val="72049416"/>
    <w:lvl w:ilvl="0" w:tplc="E702C64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9364FB7"/>
    <w:multiLevelType w:val="multilevel"/>
    <w:tmpl w:val="2AE4E8CC"/>
    <w:styleLink w:val="Style1"/>
    <w:lvl w:ilvl="0">
      <w:start w:val="1"/>
      <mc:AlternateContent>
        <mc:Choice Requires="w14">
          <w:numFmt w:val="custom" w:format="0001, 0002, 0003, ..."/>
        </mc:Choice>
        <mc:Fallback>
          <w:numFmt w:val="decimal"/>
        </mc:Fallback>
      </mc:AlternateContent>
      <w:suff w:val="space"/>
      <w:lvlText w:val="Participant %1"/>
      <w:lvlJc w:val="left"/>
      <w:pPr>
        <w:ind w:left="0" w:firstLine="0"/>
      </w:pPr>
      <w:rPr>
        <w:rFonts w:asciiTheme="majorHAnsi" w:hAnsiTheme="majorHAnsi" w:hint="default"/>
        <w:sz w:val="16"/>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4995106C"/>
    <w:multiLevelType w:val="hybridMultilevel"/>
    <w:tmpl w:val="69CAEADA"/>
    <w:lvl w:ilvl="0" w:tplc="152CB466">
      <w:start w:val="1"/>
      <w:numFmt w:val="lowerLetter"/>
      <w:lvlText w:val="☐   %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8" w15:restartNumberingAfterBreak="0">
    <w:nsid w:val="4D7E1085"/>
    <w:multiLevelType w:val="hybridMultilevel"/>
    <w:tmpl w:val="FA96D2B8"/>
    <w:lvl w:ilvl="0" w:tplc="152CB466">
      <w:start w:val="1"/>
      <w:numFmt w:val="lowerLetter"/>
      <w:lvlText w:val="☐   %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9" w15:restartNumberingAfterBreak="0">
    <w:nsid w:val="4E8635BE"/>
    <w:multiLevelType w:val="hybridMultilevel"/>
    <w:tmpl w:val="5596E004"/>
    <w:lvl w:ilvl="0" w:tplc="8C52C83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AB2994"/>
    <w:multiLevelType w:val="hybridMultilevel"/>
    <w:tmpl w:val="C62C31D8"/>
    <w:lvl w:ilvl="0" w:tplc="FFFFFFFF">
      <w:start w:val="1"/>
      <w:numFmt w:val="lowerLetter"/>
      <w:lvlText w:val="☐   %1."/>
      <w:lvlJc w:val="left"/>
      <w:pPr>
        <w:ind w:left="333" w:hanging="360"/>
      </w:pPr>
      <w:rPr>
        <w:rFonts w:hint="default"/>
      </w:rPr>
    </w:lvl>
    <w:lvl w:ilvl="1" w:tplc="FFFFFFFF" w:tentative="1">
      <w:start w:val="1"/>
      <w:numFmt w:val="lowerLetter"/>
      <w:lvlText w:val="%2."/>
      <w:lvlJc w:val="left"/>
      <w:pPr>
        <w:ind w:left="872" w:hanging="360"/>
      </w:pPr>
    </w:lvl>
    <w:lvl w:ilvl="2" w:tplc="FFFFFFFF" w:tentative="1">
      <w:start w:val="1"/>
      <w:numFmt w:val="lowerRoman"/>
      <w:lvlText w:val="%3."/>
      <w:lvlJc w:val="right"/>
      <w:pPr>
        <w:ind w:left="1592" w:hanging="180"/>
      </w:pPr>
    </w:lvl>
    <w:lvl w:ilvl="3" w:tplc="FFFFFFFF" w:tentative="1">
      <w:start w:val="1"/>
      <w:numFmt w:val="decimal"/>
      <w:lvlText w:val="%4."/>
      <w:lvlJc w:val="left"/>
      <w:pPr>
        <w:ind w:left="2312" w:hanging="360"/>
      </w:pPr>
    </w:lvl>
    <w:lvl w:ilvl="4" w:tplc="FFFFFFFF" w:tentative="1">
      <w:start w:val="1"/>
      <w:numFmt w:val="lowerLetter"/>
      <w:lvlText w:val="%5."/>
      <w:lvlJc w:val="left"/>
      <w:pPr>
        <w:ind w:left="3032" w:hanging="360"/>
      </w:pPr>
    </w:lvl>
    <w:lvl w:ilvl="5" w:tplc="FFFFFFFF" w:tentative="1">
      <w:start w:val="1"/>
      <w:numFmt w:val="lowerRoman"/>
      <w:lvlText w:val="%6."/>
      <w:lvlJc w:val="right"/>
      <w:pPr>
        <w:ind w:left="3752" w:hanging="180"/>
      </w:pPr>
    </w:lvl>
    <w:lvl w:ilvl="6" w:tplc="FFFFFFFF" w:tentative="1">
      <w:start w:val="1"/>
      <w:numFmt w:val="decimal"/>
      <w:lvlText w:val="%7."/>
      <w:lvlJc w:val="left"/>
      <w:pPr>
        <w:ind w:left="4472" w:hanging="360"/>
      </w:pPr>
    </w:lvl>
    <w:lvl w:ilvl="7" w:tplc="FFFFFFFF" w:tentative="1">
      <w:start w:val="1"/>
      <w:numFmt w:val="lowerLetter"/>
      <w:lvlText w:val="%8."/>
      <w:lvlJc w:val="left"/>
      <w:pPr>
        <w:ind w:left="5192" w:hanging="360"/>
      </w:pPr>
    </w:lvl>
    <w:lvl w:ilvl="8" w:tplc="FFFFFFFF" w:tentative="1">
      <w:start w:val="1"/>
      <w:numFmt w:val="lowerRoman"/>
      <w:lvlText w:val="%9."/>
      <w:lvlJc w:val="right"/>
      <w:pPr>
        <w:ind w:left="5912" w:hanging="180"/>
      </w:pPr>
    </w:lvl>
  </w:abstractNum>
  <w:abstractNum w:abstractNumId="11" w15:restartNumberingAfterBreak="0">
    <w:nsid w:val="504D57A6"/>
    <w:multiLevelType w:val="hybridMultilevel"/>
    <w:tmpl w:val="6B96E40C"/>
    <w:lvl w:ilvl="0" w:tplc="152CB466">
      <w:start w:val="1"/>
      <w:numFmt w:val="lowerLetter"/>
      <w:lvlText w:val="☐   %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2" w15:restartNumberingAfterBreak="0">
    <w:nsid w:val="5835303A"/>
    <w:multiLevelType w:val="hybridMultilevel"/>
    <w:tmpl w:val="D1427B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6557FF"/>
    <w:multiLevelType w:val="hybridMultilevel"/>
    <w:tmpl w:val="2A988460"/>
    <w:lvl w:ilvl="0" w:tplc="152CB466">
      <w:start w:val="1"/>
      <w:numFmt w:val="lowerLetter"/>
      <w:lvlText w:val="☐   %1."/>
      <w:lvlJc w:val="left"/>
      <w:pPr>
        <w:ind w:left="1797" w:hanging="36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4" w15:restartNumberingAfterBreak="0">
    <w:nsid w:val="79980734"/>
    <w:multiLevelType w:val="hybridMultilevel"/>
    <w:tmpl w:val="E02EF464"/>
    <w:lvl w:ilvl="0" w:tplc="513E1F46">
      <w:start w:val="1"/>
      <w:numFmt w:val="decimal"/>
      <w:lvlText w:val="Q%1."/>
      <w:lvlJc w:val="left"/>
      <w:pPr>
        <w:ind w:left="36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99671636">
    <w:abstractNumId w:val="14"/>
  </w:num>
  <w:num w:numId="2" w16cid:durableId="1223711681">
    <w:abstractNumId w:val="10"/>
  </w:num>
  <w:num w:numId="3" w16cid:durableId="2032880446">
    <w:abstractNumId w:val="13"/>
  </w:num>
  <w:num w:numId="4" w16cid:durableId="119764207">
    <w:abstractNumId w:val="8"/>
  </w:num>
  <w:num w:numId="5" w16cid:durableId="125393250">
    <w:abstractNumId w:val="4"/>
  </w:num>
  <w:num w:numId="6" w16cid:durableId="1342662669">
    <w:abstractNumId w:val="0"/>
  </w:num>
  <w:num w:numId="7" w16cid:durableId="188491042">
    <w:abstractNumId w:val="11"/>
  </w:num>
  <w:num w:numId="8" w16cid:durableId="1545099064">
    <w:abstractNumId w:val="7"/>
  </w:num>
  <w:num w:numId="9" w16cid:durableId="1805345160">
    <w:abstractNumId w:val="6"/>
  </w:num>
  <w:num w:numId="10" w16cid:durableId="824783367">
    <w:abstractNumId w:val="2"/>
  </w:num>
  <w:num w:numId="11" w16cid:durableId="1412000569">
    <w:abstractNumId w:val="9"/>
  </w:num>
  <w:num w:numId="12" w16cid:durableId="971403445">
    <w:abstractNumId w:val="3"/>
  </w:num>
  <w:num w:numId="13" w16cid:durableId="710226566">
    <w:abstractNumId w:val="1"/>
  </w:num>
  <w:num w:numId="14" w16cid:durableId="2015718142">
    <w:abstractNumId w:val="12"/>
  </w:num>
  <w:num w:numId="15" w16cid:durableId="4046492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5FB"/>
    <w:rsid w:val="000120A6"/>
    <w:rsid w:val="00012524"/>
    <w:rsid w:val="0002067C"/>
    <w:rsid w:val="00036B3A"/>
    <w:rsid w:val="000450E3"/>
    <w:rsid w:val="000456A1"/>
    <w:rsid w:val="00046EF1"/>
    <w:rsid w:val="00054C78"/>
    <w:rsid w:val="000563DA"/>
    <w:rsid w:val="00067695"/>
    <w:rsid w:val="00090BFB"/>
    <w:rsid w:val="00093EA8"/>
    <w:rsid w:val="00096B9A"/>
    <w:rsid w:val="000B3520"/>
    <w:rsid w:val="000C631F"/>
    <w:rsid w:val="000D0C96"/>
    <w:rsid w:val="000D4819"/>
    <w:rsid w:val="000D4C63"/>
    <w:rsid w:val="000E5F5F"/>
    <w:rsid w:val="000F5BEE"/>
    <w:rsid w:val="000F771D"/>
    <w:rsid w:val="001067CD"/>
    <w:rsid w:val="00114396"/>
    <w:rsid w:val="001178F9"/>
    <w:rsid w:val="00120DEA"/>
    <w:rsid w:val="00122570"/>
    <w:rsid w:val="001242DF"/>
    <w:rsid w:val="001265D5"/>
    <w:rsid w:val="00130765"/>
    <w:rsid w:val="0014252A"/>
    <w:rsid w:val="001470F6"/>
    <w:rsid w:val="001507CD"/>
    <w:rsid w:val="00155FF5"/>
    <w:rsid w:val="001827E4"/>
    <w:rsid w:val="001834BA"/>
    <w:rsid w:val="001A5501"/>
    <w:rsid w:val="001D0587"/>
    <w:rsid w:val="001D3C17"/>
    <w:rsid w:val="001F2CDA"/>
    <w:rsid w:val="001F7FA6"/>
    <w:rsid w:val="0020752F"/>
    <w:rsid w:val="002137B4"/>
    <w:rsid w:val="002141FA"/>
    <w:rsid w:val="002210DB"/>
    <w:rsid w:val="00223E27"/>
    <w:rsid w:val="00225ADF"/>
    <w:rsid w:val="0022684E"/>
    <w:rsid w:val="00233AC9"/>
    <w:rsid w:val="002453E1"/>
    <w:rsid w:val="00246014"/>
    <w:rsid w:val="00246C2B"/>
    <w:rsid w:val="00256BF0"/>
    <w:rsid w:val="0026010D"/>
    <w:rsid w:val="002655FB"/>
    <w:rsid w:val="00271F0A"/>
    <w:rsid w:val="00276BB2"/>
    <w:rsid w:val="00282B78"/>
    <w:rsid w:val="0028625E"/>
    <w:rsid w:val="00286A18"/>
    <w:rsid w:val="0029528D"/>
    <w:rsid w:val="00296B4B"/>
    <w:rsid w:val="002A41EE"/>
    <w:rsid w:val="002A5363"/>
    <w:rsid w:val="002A6685"/>
    <w:rsid w:val="002C021A"/>
    <w:rsid w:val="002C1470"/>
    <w:rsid w:val="002D5359"/>
    <w:rsid w:val="002D7C87"/>
    <w:rsid w:val="002E0815"/>
    <w:rsid w:val="002E0F48"/>
    <w:rsid w:val="002E4A7A"/>
    <w:rsid w:val="002E65CF"/>
    <w:rsid w:val="002E7997"/>
    <w:rsid w:val="00305CA3"/>
    <w:rsid w:val="00311759"/>
    <w:rsid w:val="00312474"/>
    <w:rsid w:val="00321F85"/>
    <w:rsid w:val="00325A14"/>
    <w:rsid w:val="00327022"/>
    <w:rsid w:val="00333169"/>
    <w:rsid w:val="00336707"/>
    <w:rsid w:val="003372AF"/>
    <w:rsid w:val="0034480E"/>
    <w:rsid w:val="003456A6"/>
    <w:rsid w:val="00353F2B"/>
    <w:rsid w:val="00357AD8"/>
    <w:rsid w:val="00361037"/>
    <w:rsid w:val="00365B1A"/>
    <w:rsid w:val="00371958"/>
    <w:rsid w:val="003746F8"/>
    <w:rsid w:val="00374C07"/>
    <w:rsid w:val="00375423"/>
    <w:rsid w:val="00375CC3"/>
    <w:rsid w:val="00387715"/>
    <w:rsid w:val="00390828"/>
    <w:rsid w:val="00393E3D"/>
    <w:rsid w:val="0039650A"/>
    <w:rsid w:val="003B10EB"/>
    <w:rsid w:val="003B445B"/>
    <w:rsid w:val="003C791A"/>
    <w:rsid w:val="003D0B61"/>
    <w:rsid w:val="003D1234"/>
    <w:rsid w:val="003D59FA"/>
    <w:rsid w:val="003D633E"/>
    <w:rsid w:val="003E5237"/>
    <w:rsid w:val="003F7493"/>
    <w:rsid w:val="00402541"/>
    <w:rsid w:val="00404EFF"/>
    <w:rsid w:val="00405CE7"/>
    <w:rsid w:val="004216BE"/>
    <w:rsid w:val="00426EB3"/>
    <w:rsid w:val="00451AEA"/>
    <w:rsid w:val="0045300E"/>
    <w:rsid w:val="004556D0"/>
    <w:rsid w:val="00456EDF"/>
    <w:rsid w:val="004924B2"/>
    <w:rsid w:val="004A20DC"/>
    <w:rsid w:val="004A5311"/>
    <w:rsid w:val="004B0ADA"/>
    <w:rsid w:val="004C27FD"/>
    <w:rsid w:val="004D7375"/>
    <w:rsid w:val="004E1EDD"/>
    <w:rsid w:val="004E4035"/>
    <w:rsid w:val="004E5CDA"/>
    <w:rsid w:val="004F135A"/>
    <w:rsid w:val="004F50F6"/>
    <w:rsid w:val="00500BB4"/>
    <w:rsid w:val="005050CA"/>
    <w:rsid w:val="00507F84"/>
    <w:rsid w:val="00515210"/>
    <w:rsid w:val="0051686F"/>
    <w:rsid w:val="00516CED"/>
    <w:rsid w:val="00517EDC"/>
    <w:rsid w:val="005272CD"/>
    <w:rsid w:val="00545BCD"/>
    <w:rsid w:val="00546EA5"/>
    <w:rsid w:val="00554C33"/>
    <w:rsid w:val="00564421"/>
    <w:rsid w:val="00575428"/>
    <w:rsid w:val="0058725C"/>
    <w:rsid w:val="00587D91"/>
    <w:rsid w:val="005951CD"/>
    <w:rsid w:val="005A5D5A"/>
    <w:rsid w:val="005B3813"/>
    <w:rsid w:val="005B7449"/>
    <w:rsid w:val="005C01A8"/>
    <w:rsid w:val="005C170A"/>
    <w:rsid w:val="005C4231"/>
    <w:rsid w:val="005D3D0C"/>
    <w:rsid w:val="005E0F6D"/>
    <w:rsid w:val="005F0AC3"/>
    <w:rsid w:val="005F0BB1"/>
    <w:rsid w:val="005F1812"/>
    <w:rsid w:val="005F5378"/>
    <w:rsid w:val="0060228D"/>
    <w:rsid w:val="006131DE"/>
    <w:rsid w:val="006300D5"/>
    <w:rsid w:val="00636752"/>
    <w:rsid w:val="00640B2E"/>
    <w:rsid w:val="0065491B"/>
    <w:rsid w:val="0065690C"/>
    <w:rsid w:val="0066418C"/>
    <w:rsid w:val="00670816"/>
    <w:rsid w:val="00673921"/>
    <w:rsid w:val="006743AF"/>
    <w:rsid w:val="0068118B"/>
    <w:rsid w:val="0068171B"/>
    <w:rsid w:val="00685A53"/>
    <w:rsid w:val="006900AF"/>
    <w:rsid w:val="00694D74"/>
    <w:rsid w:val="006962CD"/>
    <w:rsid w:val="006A2D8C"/>
    <w:rsid w:val="006B7B90"/>
    <w:rsid w:val="006C0A58"/>
    <w:rsid w:val="006D1861"/>
    <w:rsid w:val="006D28EE"/>
    <w:rsid w:val="006D358A"/>
    <w:rsid w:val="006D5D32"/>
    <w:rsid w:val="006D690C"/>
    <w:rsid w:val="0072626C"/>
    <w:rsid w:val="00733B06"/>
    <w:rsid w:val="00734D65"/>
    <w:rsid w:val="007416B6"/>
    <w:rsid w:val="007446C9"/>
    <w:rsid w:val="007463A7"/>
    <w:rsid w:val="007536D6"/>
    <w:rsid w:val="00776B31"/>
    <w:rsid w:val="00792609"/>
    <w:rsid w:val="007A58B9"/>
    <w:rsid w:val="007B2399"/>
    <w:rsid w:val="007B77CB"/>
    <w:rsid w:val="007C1435"/>
    <w:rsid w:val="007E23DC"/>
    <w:rsid w:val="008001FD"/>
    <w:rsid w:val="0081775B"/>
    <w:rsid w:val="00817BDD"/>
    <w:rsid w:val="0082619A"/>
    <w:rsid w:val="00827C6C"/>
    <w:rsid w:val="0083186D"/>
    <w:rsid w:val="00833351"/>
    <w:rsid w:val="00834029"/>
    <w:rsid w:val="008377D9"/>
    <w:rsid w:val="00847F06"/>
    <w:rsid w:val="00863A91"/>
    <w:rsid w:val="008707DC"/>
    <w:rsid w:val="00874E58"/>
    <w:rsid w:val="00876945"/>
    <w:rsid w:val="00884EBD"/>
    <w:rsid w:val="00886173"/>
    <w:rsid w:val="00886DD2"/>
    <w:rsid w:val="00890EAA"/>
    <w:rsid w:val="00894BA9"/>
    <w:rsid w:val="008A0C06"/>
    <w:rsid w:val="008A2584"/>
    <w:rsid w:val="008A6541"/>
    <w:rsid w:val="008B21B1"/>
    <w:rsid w:val="008E2D37"/>
    <w:rsid w:val="008E7B4C"/>
    <w:rsid w:val="008F1701"/>
    <w:rsid w:val="00904817"/>
    <w:rsid w:val="00905ABE"/>
    <w:rsid w:val="00906D9E"/>
    <w:rsid w:val="00911CE4"/>
    <w:rsid w:val="0092034E"/>
    <w:rsid w:val="00920368"/>
    <w:rsid w:val="009214D2"/>
    <w:rsid w:val="0092217D"/>
    <w:rsid w:val="00931F81"/>
    <w:rsid w:val="00933DF6"/>
    <w:rsid w:val="009342F5"/>
    <w:rsid w:val="00943EFF"/>
    <w:rsid w:val="00945AC1"/>
    <w:rsid w:val="00960535"/>
    <w:rsid w:val="00977239"/>
    <w:rsid w:val="00980861"/>
    <w:rsid w:val="00994FF5"/>
    <w:rsid w:val="009969B3"/>
    <w:rsid w:val="009B17CF"/>
    <w:rsid w:val="009D1351"/>
    <w:rsid w:val="009D268E"/>
    <w:rsid w:val="009D309E"/>
    <w:rsid w:val="009D5A3B"/>
    <w:rsid w:val="009D5C06"/>
    <w:rsid w:val="009D7FB8"/>
    <w:rsid w:val="009E45B3"/>
    <w:rsid w:val="009E5505"/>
    <w:rsid w:val="009E594E"/>
    <w:rsid w:val="009E6582"/>
    <w:rsid w:val="009F1CA5"/>
    <w:rsid w:val="009F3770"/>
    <w:rsid w:val="009F4B13"/>
    <w:rsid w:val="00A0734C"/>
    <w:rsid w:val="00A12961"/>
    <w:rsid w:val="00A2544D"/>
    <w:rsid w:val="00A3031C"/>
    <w:rsid w:val="00A31B4B"/>
    <w:rsid w:val="00A34416"/>
    <w:rsid w:val="00A432CE"/>
    <w:rsid w:val="00A545EE"/>
    <w:rsid w:val="00A5794B"/>
    <w:rsid w:val="00A65A1B"/>
    <w:rsid w:val="00A66CB4"/>
    <w:rsid w:val="00A86B1D"/>
    <w:rsid w:val="00A90053"/>
    <w:rsid w:val="00AA04C0"/>
    <w:rsid w:val="00AA53CD"/>
    <w:rsid w:val="00AB1597"/>
    <w:rsid w:val="00AB7C9D"/>
    <w:rsid w:val="00AC1E2F"/>
    <w:rsid w:val="00AC73F3"/>
    <w:rsid w:val="00AD40FD"/>
    <w:rsid w:val="00AD4AA3"/>
    <w:rsid w:val="00AD6D05"/>
    <w:rsid w:val="00AE44E9"/>
    <w:rsid w:val="00AF0616"/>
    <w:rsid w:val="00AF6465"/>
    <w:rsid w:val="00B00672"/>
    <w:rsid w:val="00B232FF"/>
    <w:rsid w:val="00B236D4"/>
    <w:rsid w:val="00B32246"/>
    <w:rsid w:val="00B50BD4"/>
    <w:rsid w:val="00B55CD4"/>
    <w:rsid w:val="00B56F1A"/>
    <w:rsid w:val="00B66B2D"/>
    <w:rsid w:val="00B809B6"/>
    <w:rsid w:val="00B84EB5"/>
    <w:rsid w:val="00BA0CC7"/>
    <w:rsid w:val="00BA62A6"/>
    <w:rsid w:val="00BB1BAC"/>
    <w:rsid w:val="00BB2B23"/>
    <w:rsid w:val="00BC1CB8"/>
    <w:rsid w:val="00BD2FF9"/>
    <w:rsid w:val="00BE40EF"/>
    <w:rsid w:val="00C01F07"/>
    <w:rsid w:val="00C10BB0"/>
    <w:rsid w:val="00C30217"/>
    <w:rsid w:val="00C45238"/>
    <w:rsid w:val="00C51448"/>
    <w:rsid w:val="00C5694F"/>
    <w:rsid w:val="00C57C04"/>
    <w:rsid w:val="00C753CA"/>
    <w:rsid w:val="00C77F31"/>
    <w:rsid w:val="00C922D6"/>
    <w:rsid w:val="00C94CAC"/>
    <w:rsid w:val="00CC17F0"/>
    <w:rsid w:val="00CC1ACA"/>
    <w:rsid w:val="00CC2775"/>
    <w:rsid w:val="00CD542C"/>
    <w:rsid w:val="00CE74DD"/>
    <w:rsid w:val="00CF090E"/>
    <w:rsid w:val="00CF0D15"/>
    <w:rsid w:val="00CF17CC"/>
    <w:rsid w:val="00CF36EC"/>
    <w:rsid w:val="00D0295E"/>
    <w:rsid w:val="00D033CD"/>
    <w:rsid w:val="00D03DA4"/>
    <w:rsid w:val="00D07908"/>
    <w:rsid w:val="00D30829"/>
    <w:rsid w:val="00D34339"/>
    <w:rsid w:val="00D56F9F"/>
    <w:rsid w:val="00D7659E"/>
    <w:rsid w:val="00DA0021"/>
    <w:rsid w:val="00DB1CC6"/>
    <w:rsid w:val="00DC015F"/>
    <w:rsid w:val="00DC23BE"/>
    <w:rsid w:val="00DD2CA9"/>
    <w:rsid w:val="00DF1E55"/>
    <w:rsid w:val="00DF4F66"/>
    <w:rsid w:val="00E007BD"/>
    <w:rsid w:val="00E15366"/>
    <w:rsid w:val="00E32785"/>
    <w:rsid w:val="00E36411"/>
    <w:rsid w:val="00E46EAA"/>
    <w:rsid w:val="00E56508"/>
    <w:rsid w:val="00E56919"/>
    <w:rsid w:val="00E57848"/>
    <w:rsid w:val="00E649AA"/>
    <w:rsid w:val="00E65F7A"/>
    <w:rsid w:val="00E70B0F"/>
    <w:rsid w:val="00E71060"/>
    <w:rsid w:val="00E901EB"/>
    <w:rsid w:val="00E95818"/>
    <w:rsid w:val="00E97929"/>
    <w:rsid w:val="00EA5177"/>
    <w:rsid w:val="00EB092F"/>
    <w:rsid w:val="00EB3499"/>
    <w:rsid w:val="00EB4A83"/>
    <w:rsid w:val="00EE66A5"/>
    <w:rsid w:val="00EF76A7"/>
    <w:rsid w:val="00F1203B"/>
    <w:rsid w:val="00F250CA"/>
    <w:rsid w:val="00F25982"/>
    <w:rsid w:val="00F319DF"/>
    <w:rsid w:val="00F31EFF"/>
    <w:rsid w:val="00F45220"/>
    <w:rsid w:val="00F50442"/>
    <w:rsid w:val="00F53FCB"/>
    <w:rsid w:val="00F705E7"/>
    <w:rsid w:val="00F74337"/>
    <w:rsid w:val="00F761C6"/>
    <w:rsid w:val="00F92632"/>
    <w:rsid w:val="00F93B85"/>
    <w:rsid w:val="00FA7FA0"/>
    <w:rsid w:val="00FB0D54"/>
    <w:rsid w:val="00FB3BCE"/>
    <w:rsid w:val="00FB49D6"/>
    <w:rsid w:val="00FC1C04"/>
    <w:rsid w:val="00FC28C5"/>
    <w:rsid w:val="00FD00FA"/>
    <w:rsid w:val="00FD464B"/>
    <w:rsid w:val="00FE171E"/>
    <w:rsid w:val="00FF7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30B6D"/>
  <w15:chartTrackingRefBased/>
  <w15:docId w15:val="{7D84AE88-D563-3D48-A12D-6C885EEF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ind w:left="425" w:hanging="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C87"/>
    <w:pPr>
      <w:spacing w:line="480" w:lineRule="auto"/>
      <w:ind w:left="0" w:firstLine="0"/>
    </w:pPr>
    <w:rPr>
      <w:rFonts w:ascii="Calibri" w:hAnsi="Calibri"/>
      <w:color w:val="000000" w:themeColor="text1"/>
    </w:rPr>
  </w:style>
  <w:style w:type="paragraph" w:styleId="Heading1">
    <w:name w:val="heading 1"/>
    <w:basedOn w:val="Normal"/>
    <w:next w:val="Normal"/>
    <w:link w:val="Heading1Char"/>
    <w:uiPriority w:val="9"/>
    <w:qFormat/>
    <w:rsid w:val="00233AC9"/>
    <w:pPr>
      <w:outlineLvl w:val="0"/>
    </w:pPr>
    <w:rPr>
      <w:b/>
      <w:bCs/>
    </w:rPr>
  </w:style>
  <w:style w:type="paragraph" w:styleId="Heading2">
    <w:name w:val="heading 2"/>
    <w:basedOn w:val="Normal"/>
    <w:next w:val="Normal"/>
    <w:link w:val="Heading2Char"/>
    <w:uiPriority w:val="9"/>
    <w:unhideWhenUsed/>
    <w:qFormat/>
    <w:rsid w:val="002D7C87"/>
    <w:pPr>
      <w:outlineLvl w:val="1"/>
    </w:pPr>
    <w:rPr>
      <w:b/>
      <w:bCs/>
      <w:u w:val="single"/>
    </w:rPr>
  </w:style>
  <w:style w:type="paragraph" w:styleId="Heading3">
    <w:name w:val="heading 3"/>
    <w:basedOn w:val="Normal"/>
    <w:next w:val="Normal"/>
    <w:link w:val="Heading3Char"/>
    <w:uiPriority w:val="9"/>
    <w:unhideWhenUsed/>
    <w:qFormat/>
    <w:rsid w:val="00233AC9"/>
    <w:pPr>
      <w:outlineLvl w:val="2"/>
    </w:pPr>
    <w:rPr>
      <w:rFonts w:cs="Calibri"/>
      <w:i/>
      <w:iCs/>
      <w:u w:val="single"/>
    </w:rPr>
  </w:style>
  <w:style w:type="paragraph" w:styleId="Heading4">
    <w:name w:val="heading 4"/>
    <w:basedOn w:val="Normal"/>
    <w:next w:val="Normal"/>
    <w:link w:val="Heading4Char"/>
    <w:uiPriority w:val="9"/>
    <w:unhideWhenUsed/>
    <w:qFormat/>
    <w:rsid w:val="00233AC9"/>
    <w:pPr>
      <w:outlineLvl w:val="3"/>
    </w:pPr>
    <w:rPr>
      <w:rFonts w:cs="Calibri"/>
      <w:i/>
      <w:iCs/>
    </w:rPr>
  </w:style>
  <w:style w:type="paragraph" w:styleId="Heading5">
    <w:name w:val="heading 5"/>
    <w:basedOn w:val="Normal"/>
    <w:next w:val="Normal"/>
    <w:link w:val="Heading5Char"/>
    <w:uiPriority w:val="9"/>
    <w:semiHidden/>
    <w:unhideWhenUsed/>
    <w:qFormat/>
    <w:rsid w:val="00265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AC9"/>
    <w:rPr>
      <w:rFonts w:ascii="Calibri" w:hAnsi="Calibri"/>
      <w:b/>
      <w:bCs/>
      <w:color w:val="000000" w:themeColor="text1"/>
    </w:rPr>
  </w:style>
  <w:style w:type="character" w:customStyle="1" w:styleId="Heading2Char">
    <w:name w:val="Heading 2 Char"/>
    <w:basedOn w:val="DefaultParagraphFont"/>
    <w:link w:val="Heading2"/>
    <w:uiPriority w:val="9"/>
    <w:rsid w:val="002D7C87"/>
    <w:rPr>
      <w:b/>
      <w:bCs/>
      <w:u w:val="single"/>
    </w:rPr>
  </w:style>
  <w:style w:type="character" w:customStyle="1" w:styleId="Heading3Char">
    <w:name w:val="Heading 3 Char"/>
    <w:basedOn w:val="DefaultParagraphFont"/>
    <w:link w:val="Heading3"/>
    <w:uiPriority w:val="9"/>
    <w:rsid w:val="00233AC9"/>
    <w:rPr>
      <w:rFonts w:ascii="Calibri" w:hAnsi="Calibri" w:cs="Calibri"/>
      <w:i/>
      <w:iCs/>
      <w:color w:val="000000" w:themeColor="text1"/>
      <w:u w:val="single"/>
    </w:rPr>
  </w:style>
  <w:style w:type="character" w:customStyle="1" w:styleId="Heading4Char">
    <w:name w:val="Heading 4 Char"/>
    <w:basedOn w:val="DefaultParagraphFont"/>
    <w:link w:val="Heading4"/>
    <w:uiPriority w:val="9"/>
    <w:rsid w:val="00233AC9"/>
    <w:rPr>
      <w:rFonts w:ascii="Calibri" w:hAnsi="Calibri" w:cs="Calibri"/>
      <w:i/>
      <w:iCs/>
      <w:color w:val="000000" w:themeColor="text1"/>
    </w:rPr>
  </w:style>
  <w:style w:type="character" w:customStyle="1" w:styleId="Heading5Char">
    <w:name w:val="Heading 5 Char"/>
    <w:basedOn w:val="DefaultParagraphFont"/>
    <w:link w:val="Heading5"/>
    <w:uiPriority w:val="9"/>
    <w:semiHidden/>
    <w:rsid w:val="00265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5FB"/>
    <w:rPr>
      <w:rFonts w:eastAsiaTheme="majorEastAsia" w:cstheme="majorBidi"/>
      <w:color w:val="272727" w:themeColor="text1" w:themeTint="D8"/>
    </w:rPr>
  </w:style>
  <w:style w:type="paragraph" w:styleId="Title">
    <w:name w:val="Title"/>
    <w:basedOn w:val="Normal"/>
    <w:next w:val="Normal"/>
    <w:link w:val="TitleChar"/>
    <w:uiPriority w:val="10"/>
    <w:qFormat/>
    <w:rsid w:val="002655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5FB"/>
    <w:pPr>
      <w:numPr>
        <w:ilvl w:val="1"/>
      </w:numPr>
      <w:spacing w:after="160"/>
      <w:ind w:left="425" w:hanging="42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5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55FB"/>
    <w:rPr>
      <w:i/>
      <w:iCs/>
      <w:color w:val="404040" w:themeColor="text1" w:themeTint="BF"/>
    </w:rPr>
  </w:style>
  <w:style w:type="paragraph" w:styleId="ListParagraph">
    <w:name w:val="List Paragraph"/>
    <w:basedOn w:val="Normal"/>
    <w:uiPriority w:val="34"/>
    <w:qFormat/>
    <w:rsid w:val="002655FB"/>
    <w:pPr>
      <w:ind w:left="720"/>
      <w:contextualSpacing/>
    </w:pPr>
  </w:style>
  <w:style w:type="character" w:styleId="IntenseEmphasis">
    <w:name w:val="Intense Emphasis"/>
    <w:basedOn w:val="DefaultParagraphFont"/>
    <w:uiPriority w:val="21"/>
    <w:qFormat/>
    <w:rsid w:val="002655FB"/>
    <w:rPr>
      <w:i/>
      <w:iCs/>
      <w:color w:val="0F4761" w:themeColor="accent1" w:themeShade="BF"/>
    </w:rPr>
  </w:style>
  <w:style w:type="paragraph" w:styleId="IntenseQuote">
    <w:name w:val="Intense Quote"/>
    <w:basedOn w:val="Normal"/>
    <w:next w:val="Normal"/>
    <w:link w:val="IntenseQuoteChar"/>
    <w:uiPriority w:val="30"/>
    <w:qFormat/>
    <w:rsid w:val="00265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5FB"/>
    <w:rPr>
      <w:i/>
      <w:iCs/>
      <w:color w:val="0F4761" w:themeColor="accent1" w:themeShade="BF"/>
    </w:rPr>
  </w:style>
  <w:style w:type="character" w:styleId="IntenseReference">
    <w:name w:val="Intense Reference"/>
    <w:basedOn w:val="DefaultParagraphFont"/>
    <w:uiPriority w:val="32"/>
    <w:qFormat/>
    <w:rsid w:val="002655FB"/>
    <w:rPr>
      <w:b/>
      <w:bCs/>
      <w:smallCaps/>
      <w:color w:val="0F4761" w:themeColor="accent1" w:themeShade="BF"/>
      <w:spacing w:val="5"/>
    </w:rPr>
  </w:style>
  <w:style w:type="paragraph" w:customStyle="1" w:styleId="NormalNewParts">
    <w:name w:val="Normal New Parts"/>
    <w:basedOn w:val="Normal"/>
    <w:link w:val="NormalNewPartsChar"/>
    <w:qFormat/>
    <w:rsid w:val="002655FB"/>
    <w:pPr>
      <w:spacing w:before="120" w:after="120" w:line="276" w:lineRule="auto"/>
      <w:jc w:val="both"/>
    </w:pPr>
    <w:rPr>
      <w:rFonts w:ascii="Avenir Next LT Pro" w:eastAsiaTheme="minorEastAsia" w:hAnsi="Avenir Next LT Pro"/>
      <w:kern w:val="0"/>
      <w:szCs w:val="22"/>
      <w:lang w:eastAsia="zh-CN"/>
      <w14:ligatures w14:val="none"/>
    </w:rPr>
  </w:style>
  <w:style w:type="character" w:customStyle="1" w:styleId="NormalNewPartsChar">
    <w:name w:val="Normal New Parts Char"/>
    <w:basedOn w:val="DefaultParagraphFont"/>
    <w:link w:val="NormalNewParts"/>
    <w:rsid w:val="002655FB"/>
    <w:rPr>
      <w:rFonts w:ascii="Avenir Next LT Pro" w:eastAsiaTheme="minorEastAsia" w:hAnsi="Avenir Next LT Pro"/>
      <w:color w:val="000000" w:themeColor="text1"/>
      <w:kern w:val="0"/>
      <w:szCs w:val="22"/>
      <w:lang w:eastAsia="zh-CN"/>
      <w14:ligatures w14:val="none"/>
    </w:rPr>
  </w:style>
  <w:style w:type="paragraph" w:styleId="Header">
    <w:name w:val="header"/>
    <w:basedOn w:val="Normal"/>
    <w:link w:val="HeaderChar"/>
    <w:uiPriority w:val="99"/>
    <w:unhideWhenUsed/>
    <w:rsid w:val="002655FB"/>
    <w:pPr>
      <w:tabs>
        <w:tab w:val="center" w:pos="4513"/>
        <w:tab w:val="right" w:pos="9026"/>
      </w:tabs>
    </w:pPr>
    <w:rPr>
      <w:rFonts w:ascii="Avenir Next LT Pro" w:eastAsiaTheme="minorEastAsia" w:hAnsi="Avenir Next LT Pro"/>
      <w:kern w:val="0"/>
      <w:szCs w:val="22"/>
      <w:lang w:eastAsia="zh-CN"/>
      <w14:ligatures w14:val="none"/>
    </w:rPr>
  </w:style>
  <w:style w:type="character" w:customStyle="1" w:styleId="HeaderChar">
    <w:name w:val="Header Char"/>
    <w:basedOn w:val="DefaultParagraphFont"/>
    <w:link w:val="Header"/>
    <w:uiPriority w:val="99"/>
    <w:rsid w:val="002655FB"/>
    <w:rPr>
      <w:rFonts w:ascii="Avenir Next LT Pro" w:eastAsiaTheme="minorEastAsia" w:hAnsi="Avenir Next LT Pro"/>
      <w:kern w:val="0"/>
      <w:szCs w:val="22"/>
      <w:lang w:eastAsia="zh-CN"/>
      <w14:ligatures w14:val="none"/>
    </w:rPr>
  </w:style>
  <w:style w:type="paragraph" w:styleId="Footer">
    <w:name w:val="footer"/>
    <w:basedOn w:val="Normal"/>
    <w:link w:val="FooterChar"/>
    <w:uiPriority w:val="99"/>
    <w:unhideWhenUsed/>
    <w:rsid w:val="002655FB"/>
    <w:pPr>
      <w:tabs>
        <w:tab w:val="center" w:pos="4513"/>
        <w:tab w:val="right" w:pos="9026"/>
      </w:tabs>
    </w:pPr>
    <w:rPr>
      <w:rFonts w:ascii="Avenir Next LT Pro" w:eastAsiaTheme="minorEastAsia" w:hAnsi="Avenir Next LT Pro"/>
      <w:kern w:val="0"/>
      <w:szCs w:val="22"/>
      <w:lang w:eastAsia="zh-CN"/>
      <w14:ligatures w14:val="none"/>
    </w:rPr>
  </w:style>
  <w:style w:type="character" w:customStyle="1" w:styleId="FooterChar">
    <w:name w:val="Footer Char"/>
    <w:basedOn w:val="DefaultParagraphFont"/>
    <w:link w:val="Footer"/>
    <w:uiPriority w:val="99"/>
    <w:rsid w:val="002655FB"/>
    <w:rPr>
      <w:rFonts w:ascii="Avenir Next LT Pro" w:eastAsiaTheme="minorEastAsia" w:hAnsi="Avenir Next LT Pro"/>
      <w:kern w:val="0"/>
      <w:szCs w:val="22"/>
      <w:lang w:eastAsia="zh-CN"/>
      <w14:ligatures w14:val="none"/>
    </w:rPr>
  </w:style>
  <w:style w:type="table" w:styleId="TableGrid">
    <w:name w:val="Table Grid"/>
    <w:basedOn w:val="TableNormal"/>
    <w:uiPriority w:val="39"/>
    <w:rsid w:val="002655FB"/>
    <w:pPr>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2655FB"/>
    <w:pPr>
      <w:numPr>
        <w:numId w:val="9"/>
      </w:numPr>
    </w:pPr>
  </w:style>
  <w:style w:type="character" w:styleId="CommentReference">
    <w:name w:val="annotation reference"/>
    <w:basedOn w:val="DefaultParagraphFont"/>
    <w:uiPriority w:val="99"/>
    <w:semiHidden/>
    <w:unhideWhenUsed/>
    <w:rsid w:val="000D0C96"/>
    <w:rPr>
      <w:sz w:val="16"/>
      <w:szCs w:val="16"/>
    </w:rPr>
  </w:style>
  <w:style w:type="paragraph" w:styleId="CommentText">
    <w:name w:val="annotation text"/>
    <w:basedOn w:val="Normal"/>
    <w:link w:val="CommentTextChar"/>
    <w:uiPriority w:val="99"/>
    <w:unhideWhenUsed/>
    <w:rsid w:val="000D0C96"/>
    <w:rPr>
      <w:sz w:val="20"/>
      <w:szCs w:val="20"/>
    </w:rPr>
  </w:style>
  <w:style w:type="character" w:customStyle="1" w:styleId="CommentTextChar">
    <w:name w:val="Comment Text Char"/>
    <w:basedOn w:val="DefaultParagraphFont"/>
    <w:link w:val="CommentText"/>
    <w:uiPriority w:val="99"/>
    <w:rsid w:val="000D0C96"/>
    <w:rPr>
      <w:sz w:val="20"/>
      <w:szCs w:val="20"/>
    </w:rPr>
  </w:style>
  <w:style w:type="paragraph" w:styleId="CommentSubject">
    <w:name w:val="annotation subject"/>
    <w:basedOn w:val="CommentText"/>
    <w:next w:val="CommentText"/>
    <w:link w:val="CommentSubjectChar"/>
    <w:uiPriority w:val="99"/>
    <w:semiHidden/>
    <w:unhideWhenUsed/>
    <w:rsid w:val="000D0C96"/>
    <w:rPr>
      <w:b/>
      <w:bCs/>
    </w:rPr>
  </w:style>
  <w:style w:type="character" w:customStyle="1" w:styleId="CommentSubjectChar">
    <w:name w:val="Comment Subject Char"/>
    <w:basedOn w:val="CommentTextChar"/>
    <w:link w:val="CommentSubject"/>
    <w:uiPriority w:val="99"/>
    <w:semiHidden/>
    <w:rsid w:val="000D0C96"/>
    <w:rPr>
      <w:b/>
      <w:bCs/>
      <w:sz w:val="20"/>
      <w:szCs w:val="20"/>
    </w:rPr>
  </w:style>
  <w:style w:type="paragraph" w:styleId="Revision">
    <w:name w:val="Revision"/>
    <w:hidden/>
    <w:uiPriority w:val="99"/>
    <w:semiHidden/>
    <w:rsid w:val="002E0815"/>
    <w:pPr>
      <w:ind w:left="0" w:firstLine="0"/>
    </w:pPr>
  </w:style>
  <w:style w:type="paragraph" w:styleId="Bibliography">
    <w:name w:val="Bibliography"/>
    <w:basedOn w:val="Normal"/>
    <w:next w:val="Normal"/>
    <w:uiPriority w:val="37"/>
    <w:unhideWhenUsed/>
    <w:rsid w:val="002E0F48"/>
    <w:pPr>
      <w:tabs>
        <w:tab w:val="left" w:pos="260"/>
      </w:tabs>
      <w:spacing w:after="240"/>
      <w:ind w:left="264" w:hanging="264"/>
    </w:pPr>
  </w:style>
  <w:style w:type="character" w:styleId="PageNumber">
    <w:name w:val="page number"/>
    <w:basedOn w:val="DefaultParagraphFont"/>
    <w:uiPriority w:val="99"/>
    <w:semiHidden/>
    <w:unhideWhenUsed/>
    <w:rsid w:val="003D1234"/>
  </w:style>
  <w:style w:type="character" w:styleId="Hyperlink">
    <w:name w:val="Hyperlink"/>
    <w:basedOn w:val="DefaultParagraphFont"/>
    <w:uiPriority w:val="99"/>
    <w:unhideWhenUsed/>
    <w:rsid w:val="003746F8"/>
    <w:rPr>
      <w:color w:val="467886" w:themeColor="hyperlink"/>
      <w:u w:val="single"/>
    </w:rPr>
  </w:style>
  <w:style w:type="character" w:styleId="UnresolvedMention">
    <w:name w:val="Unresolved Mention"/>
    <w:basedOn w:val="DefaultParagraphFont"/>
    <w:uiPriority w:val="99"/>
    <w:semiHidden/>
    <w:unhideWhenUsed/>
    <w:rsid w:val="003746F8"/>
    <w:rPr>
      <w:color w:val="605E5C"/>
      <w:shd w:val="clear" w:color="auto" w:fill="E1DFDD"/>
    </w:rPr>
  </w:style>
  <w:style w:type="character" w:styleId="LineNumber">
    <w:name w:val="line number"/>
    <w:basedOn w:val="DefaultParagraphFont"/>
    <w:uiPriority w:val="99"/>
    <w:semiHidden/>
    <w:unhideWhenUsed/>
    <w:rsid w:val="002D7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myeloma.org.uk/library/easy-read-how-is-myeloma-treated/"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jpeg"/><Relationship Id="rId10" Type="http://schemas.openxmlformats.org/officeDocument/2006/relationships/endnotes" Target="endnotes.xml"/><Relationship Id="rId19" Type="http://schemas.openxmlformats.org/officeDocument/2006/relationships/hyperlink" Target="https://www.cancerresearchuk.org/health-professional/treatment-and-other-post-diagnosis-issues/consent-forms-for-sact-systemic-anti-cancer-therap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de1ada-3168-495a-beb5-57952525dcfb" xsi:nil="true"/>
    <lcf76f155ced4ddcb4097134ff3c332f xmlns="38529df5-5b2e-41b4-9632-f3c3d98f3a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B23766331FD64DA85483873FDDEEE9" ma:contentTypeVersion="13" ma:contentTypeDescription="Create a new document." ma:contentTypeScope="" ma:versionID="74ca9ce2e5e61ea0ddd490ada4022b2e">
  <xsd:schema xmlns:xsd="http://www.w3.org/2001/XMLSchema" xmlns:xs="http://www.w3.org/2001/XMLSchema" xmlns:p="http://schemas.microsoft.com/office/2006/metadata/properties" xmlns:ns2="38529df5-5b2e-41b4-9632-f3c3d98f3a72" xmlns:ns3="60de1ada-3168-495a-beb5-57952525dcfb" targetNamespace="http://schemas.microsoft.com/office/2006/metadata/properties" ma:root="true" ma:fieldsID="e2d595d5f0f0ca6e92ca84dd224db205" ns2:_="" ns3:_="">
    <xsd:import namespace="38529df5-5b2e-41b4-9632-f3c3d98f3a72"/>
    <xsd:import namespace="60de1ada-3168-495a-beb5-57952525dc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529df5-5b2e-41b4-9632-f3c3d98f3a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41d1912-1cd2-448f-a9a9-b2e1ab74974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de1ada-3168-495a-beb5-57952525dcf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90e7b52-5bd9-4329-8122-428dc8922f5e}" ma:internalName="TaxCatchAll" ma:showField="CatchAllData" ma:web="60de1ada-3168-495a-beb5-57952525dc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5E425-1439-4C40-9E78-E82A10C2B90C}">
  <ds:schemaRefs>
    <ds:schemaRef ds:uri="http://schemas.microsoft.com/sharepoint/v3/contenttype/forms"/>
  </ds:schemaRefs>
</ds:datastoreItem>
</file>

<file path=customXml/itemProps2.xml><?xml version="1.0" encoding="utf-8"?>
<ds:datastoreItem xmlns:ds="http://schemas.openxmlformats.org/officeDocument/2006/customXml" ds:itemID="{0B04A1AB-D4BB-4214-B857-25C5B64DE452}">
  <ds:schemaRefs>
    <ds:schemaRef ds:uri="http://schemas.microsoft.com/office/2006/metadata/properties"/>
    <ds:schemaRef ds:uri="http://schemas.microsoft.com/office/infopath/2007/PartnerControls"/>
    <ds:schemaRef ds:uri="60de1ada-3168-495a-beb5-57952525dcfb"/>
    <ds:schemaRef ds:uri="38529df5-5b2e-41b4-9632-f3c3d98f3a72"/>
  </ds:schemaRefs>
</ds:datastoreItem>
</file>

<file path=customXml/itemProps3.xml><?xml version="1.0" encoding="utf-8"?>
<ds:datastoreItem xmlns:ds="http://schemas.openxmlformats.org/officeDocument/2006/customXml" ds:itemID="{616F6192-D793-43FD-ACE9-B704ECD7B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529df5-5b2e-41b4-9632-f3c3d98f3a72"/>
    <ds:schemaRef ds:uri="60de1ada-3168-495a-beb5-57952525d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F58080-37EB-40BD-8C9F-6AD6200E278B}">
  <ds:schemaRefs>
    <ds:schemaRef ds:uri="http://schemas.openxmlformats.org/officeDocument/2006/bibliography"/>
  </ds:schemaRefs>
</ds:datastoreItem>
</file>

<file path=docMetadata/LabelInfo.xml><?xml version="1.0" encoding="utf-8"?>
<clbl:labelList xmlns:clbl="http://schemas.microsoft.com/office/2020/mipLabelMetadata">
  <clbl:label id="{569df091-b013-40e3-86ee-bd9cb9e25814}" enabled="0" method="" siteId="{569df091-b013-40e3-86ee-bd9cb9e2581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4325</Words>
  <Characters>24439</Characters>
  <Application>Microsoft Office Word</Application>
  <DocSecurity>0</DocSecurity>
  <Lines>872</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Peter Hibbs</dc:creator>
  <cp:keywords/>
  <dc:description/>
  <cp:lastModifiedBy>Stephen Peter Hibbs</cp:lastModifiedBy>
  <cp:revision>3</cp:revision>
  <dcterms:created xsi:type="dcterms:W3CDTF">2026-02-06T07:40:00Z</dcterms:created>
  <dcterms:modified xsi:type="dcterms:W3CDTF">2026-02-06T07:40:00Z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2748df33-6dc9-41b5-8174-ad4736b92899</vt:lpwstr>
  </property>
  <property fmtid="{D5CDD505-2E9C-101B-9397-08002B2CF9AE}" pid="3" name="ZOTERO_PREF_1">
    <vt:lpwstr>&lt;data data-version="3" zotero-version="7.0.26"&gt;&lt;session id="m0nlwYLX"/&gt;&lt;style id="http://www.zotero.org/styles/american-medical-association" hasBibliography="1" bibliographyStyleHasBeenSet="1"/&gt;&lt;prefs&gt;&lt;pref name="fieldType" value="Field"/&gt;&lt;/prefs&gt;&lt;/data&gt;</vt:lpwstr>
  </property>
  <property fmtid="{D5CDD505-2E9C-101B-9397-08002B2CF9AE}" pid="4" name="ContentTypeId">
    <vt:lpwstr>0x010100FFB23766331FD64DA85483873FDDEEE9</vt:lpwstr>
  </property>
  <property fmtid="{D5CDD505-2E9C-101B-9397-08002B2CF9AE}" pid="5" name="MediaServiceImageTags">
    <vt:lpwstr/>
  </property>
</Properties>
</file>