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Supplementary Table S1: Patient Characteristics</w:t>
      </w:r>
    </w:p>
    <w:p>
      <w:pPr>
        <w:pStyle w:val="Corpo A"/>
        <w:rPr>
          <w:sz w:val="24"/>
          <w:szCs w:val="24"/>
        </w:rPr>
      </w:pPr>
    </w:p>
    <w:p>
      <w:pPr>
        <w:pStyle w:val="Corpo A"/>
        <w:rPr>
          <w:sz w:val="24"/>
          <w:szCs w:val="24"/>
        </w:rPr>
      </w:pPr>
    </w:p>
    <w:tbl>
      <w:tblPr>
        <w:tblW w:w="12871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37"/>
        <w:gridCol w:w="500"/>
        <w:gridCol w:w="525"/>
        <w:gridCol w:w="999"/>
        <w:gridCol w:w="1312"/>
        <w:gridCol w:w="1463"/>
        <w:gridCol w:w="674"/>
        <w:gridCol w:w="913"/>
        <w:gridCol w:w="699"/>
        <w:gridCol w:w="975"/>
        <w:gridCol w:w="863"/>
        <w:gridCol w:w="774"/>
        <w:gridCol w:w="888"/>
        <w:gridCol w:w="662"/>
        <w:gridCol w:w="887"/>
      </w:tblGrid>
      <w:tr>
        <w:tblPrEx>
          <w:shd w:val="clear" w:color="auto" w:fill="ced7e7"/>
        </w:tblPrEx>
        <w:trPr>
          <w:trHeight w:val="1113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Patient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Sex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Age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"/>
              <w:spacing w:before="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effff"/>
                <w:rtl w:val="0"/>
                <w:lang w:val="en-US"/>
              </w:rPr>
              <w:t>Diagnosis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"/>
              <w:spacing w:before="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effff"/>
                <w:rtl w:val="0"/>
                <w:lang w:val="en-US"/>
              </w:rPr>
              <w:t>Lymphodepletion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Comorbidities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Dysgeusia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Xerostomia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Oral Mucositis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Oral pain/</w:t>
            </w:r>
          </w:p>
          <w:p>
            <w:pPr>
              <w:pStyle w:val="Corpo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secondary infection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Diarrhea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ICANS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CRS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Diet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Follow-up</w:t>
            </w:r>
          </w:p>
        </w:tc>
      </w:tr>
      <w:tr>
        <w:tblPrEx>
          <w:shd w:val="clear" w:color="auto" w:fill="ced7e7"/>
        </w:tblPrEx>
        <w:trPr>
          <w:trHeight w:val="394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F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LLC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25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(25% dose reduction due to chronic kidney disease) 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+ cyclophosphamide 60 mg/kg 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Hypothyroidism, dyslipidemia, atrial fibrillation secondary to BTK inhibitor therapy, abdominal thrombosis, and macular degeneration, CKD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General/decreased appetite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Death due to sepsis secondary to pulmonary infection</w:t>
            </w:r>
          </w:p>
        </w:tc>
      </w:tr>
      <w:tr>
        <w:tblPrEx>
          <w:shd w:val="clear" w:color="auto" w:fill="ced7e7"/>
        </w:tblPrEx>
        <w:trPr>
          <w:trHeight w:val="310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F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MM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24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+ cyclophosphamide 300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3,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followed by a 2-day rest period.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Diabetes mellitus, hypertension, venous thromboembolism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"/>
              <w:spacing w:before="0" w:line="240" w:lineRule="auto"/>
              <w:jc w:val="left"/>
            </w:pPr>
            <w:r>
              <w:rPr>
                <w:rFonts w:ascii="Arial" w:hAnsi="Arial"/>
                <w:sz w:val="20"/>
                <w:szCs w:val="20"/>
                <w:rtl w:val="0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82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MM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30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+ cyclophosphamide 300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5,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4, and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3, followed by a 2-day rest period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Hypertension, hypothyroidism, dyslipidemia.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General/decreased appetite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82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57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DLBCL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30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+ cyclophosphamide 300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5,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4, and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3, followed by a 2-day rest period.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  <w:rPr>
                <w:sz w:val="20"/>
                <w:szCs w:val="20"/>
                <w:shd w:val="clear" w:color="auto" w:fill="feffff"/>
              </w:rPr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Diabetes mellitus,</w:t>
            </w:r>
          </w:p>
          <w:p>
            <w:pPr>
              <w:pStyle w:val="Corpo A"/>
              <w:widowControl w:val="0"/>
              <w:bidi w:val="0"/>
              <w:spacing w:before="24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Arthritis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No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General/decreased appetite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82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DLBCL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30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+ cyclophosphamide 300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5,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4, and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3, followed by a 2-day rest period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  <w:rPr>
                <w:sz w:val="20"/>
                <w:szCs w:val="20"/>
                <w:shd w:val="clear" w:color="auto" w:fill="feffff"/>
                <w:lang w:val="en-US"/>
              </w:rPr>
            </w:pPr>
          </w:p>
          <w:p>
            <w:pPr>
              <w:pStyle w:val="Padrão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hd w:val="clear" w:color="auto" w:fill="feffff"/>
                <w:rtl w:val="0"/>
                <w:lang w:val="en-US"/>
              </w:rPr>
              <w:t>Hepatitis B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Yes (</w:t>
            </w:r>
            <w:r>
              <w:rPr>
                <w:rFonts w:ascii="Times Roman" w:hAnsi="Times Roman"/>
                <w:shd w:val="clear" w:color="auto" w:fill="feffff"/>
                <w:rtl w:val="0"/>
                <w:lang w:val="en-US"/>
              </w:rPr>
              <w:t>prior to CAR-T therapy)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  <w:rPr>
                <w:sz w:val="20"/>
                <w:szCs w:val="20"/>
                <w:shd w:val="clear" w:color="auto" w:fill="feffff"/>
              </w:rPr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 xml:space="preserve">Yes </w:t>
            </w:r>
          </w:p>
          <w:p>
            <w:pPr>
              <w:pStyle w:val="Corpo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clear" w:color="auto" w:fill="feffff"/>
                <w:rtl w:val="0"/>
                <w:lang w:val="en-US"/>
              </w:rPr>
              <w:t>(</w:t>
            </w:r>
            <w:r>
              <w:rPr>
                <w:rFonts w:ascii="Times Roman" w:hAnsi="Times Roman"/>
                <w:shd w:val="clear" w:color="auto" w:fill="feffff"/>
                <w:rtl w:val="0"/>
                <w:lang w:val="en-US"/>
              </w:rPr>
              <w:t>prior to CAR-T therapy)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Oral candidiasis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Enteral feeding tube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26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42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DLBCL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25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+ cyclophosphamide 60 mg/kg 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General/nausea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Relapsed disease</w:t>
            </w:r>
          </w:p>
        </w:tc>
      </w:tr>
      <w:tr>
        <w:tblPrEx>
          <w:shd w:val="clear" w:color="auto" w:fill="ced7e7"/>
        </w:tblPrEx>
        <w:trPr>
          <w:trHeight w:val="226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47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B-ALL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25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and cyclophosphamide 60 mg/kg 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Diabetes mellitus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26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B-ALL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25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and cyclophosphamide 60 mg/kg 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(dental pain due to bruxism)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2)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General/nausea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82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74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MM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30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+ cyclophosphamide 300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5,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4, and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3, followed by a 2-day rest period.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Hypothyroidism, hyperuricemia.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  <w:tr>
        <w:tblPrEx>
          <w:shd w:val="clear" w:color="auto" w:fill="ced7e7"/>
        </w:tblPrEx>
        <w:trPr>
          <w:trHeight w:val="2260" w:hRule="atLeast"/>
        </w:trPr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4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5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</w:t>
            </w:r>
          </w:p>
        </w:tc>
        <w:tc>
          <w:tcPr>
            <w:tcW w:type="dxa" w:w="9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B-ALL</w:t>
            </w:r>
          </w:p>
        </w:tc>
        <w:tc>
          <w:tcPr>
            <w:tcW w:type="dxa" w:w="13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before="240" w:after="240" w:line="240" w:lineRule="auto"/>
            </w:pP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Fludarabine 25 mg/m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² 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from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5 to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3 + cyclophosphamide 60 mg/kg on D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−</w:t>
            </w:r>
            <w:r>
              <w:rPr>
                <w:rFonts w:ascii="Arial Unicode MS" w:hAnsi="Arial Unicode MS"/>
                <w:sz w:val="20"/>
                <w:szCs w:val="20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14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6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6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9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8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7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4)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Yes (grade 1)</w:t>
            </w:r>
          </w:p>
        </w:tc>
        <w:tc>
          <w:tcPr>
            <w:tcW w:type="dxa" w:w="66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General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 evidence of relapse</w:t>
            </w:r>
          </w:p>
        </w:tc>
      </w:tr>
    </w:tbl>
    <w:p>
      <w:pPr>
        <w:pStyle w:val="Corpo A"/>
        <w:widowControl w:val="0"/>
        <w:spacing w:line="240" w:lineRule="auto"/>
        <w:ind w:left="324" w:hanging="324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