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CF64" w14:textId="77777777" w:rsidR="001B16BD" w:rsidRPr="00D416A8" w:rsidRDefault="001B16BD" w:rsidP="001B16BD">
      <w:pPr>
        <w:pStyle w:val="EndNoteBibliography"/>
        <w:spacing w:line="276" w:lineRule="auto"/>
        <w:rPr>
          <w:b/>
          <w:bCs/>
          <w:sz w:val="24"/>
          <w:szCs w:val="24"/>
          <w:lang w:val="en-AU"/>
        </w:rPr>
      </w:pPr>
      <w:r w:rsidRPr="00D416A8">
        <w:rPr>
          <w:b/>
          <w:bCs/>
          <w:sz w:val="24"/>
          <w:szCs w:val="24"/>
          <w:lang w:val="en-AU"/>
        </w:rPr>
        <w:t>Supplementary Tables</w:t>
      </w:r>
    </w:p>
    <w:p w14:paraId="5F44E68D" w14:textId="77777777" w:rsidR="001B16BD" w:rsidRPr="00D416A8" w:rsidRDefault="001B16BD" w:rsidP="001B16BD">
      <w:pPr>
        <w:pStyle w:val="EndNoteBibliography"/>
        <w:spacing w:line="360" w:lineRule="auto"/>
        <w:jc w:val="both"/>
        <w:rPr>
          <w:szCs w:val="20"/>
          <w:lang w:val="en-AU"/>
        </w:rPr>
      </w:pPr>
      <w:r w:rsidRPr="00D416A8">
        <w:rPr>
          <w:b/>
          <w:bCs/>
          <w:sz w:val="24"/>
          <w:szCs w:val="24"/>
          <w:lang w:val="en-AU"/>
        </w:rPr>
        <w:t xml:space="preserve">Supplementary Table </w:t>
      </w:r>
      <w:r>
        <w:rPr>
          <w:b/>
          <w:bCs/>
          <w:sz w:val="24"/>
          <w:szCs w:val="24"/>
          <w:lang w:val="en-AU"/>
        </w:rPr>
        <w:t>1</w:t>
      </w:r>
      <w:r w:rsidRPr="00D416A8">
        <w:rPr>
          <w:b/>
          <w:bCs/>
          <w:sz w:val="24"/>
          <w:szCs w:val="24"/>
          <w:lang w:val="en-AU"/>
        </w:rPr>
        <w:t xml:space="preserve">: </w:t>
      </w:r>
      <w:r w:rsidRPr="00D416A8">
        <w:rPr>
          <w:sz w:val="24"/>
          <w:szCs w:val="24"/>
          <w:lang w:val="en-AU"/>
        </w:rPr>
        <w:t>Follow-up information, number of different immune checkpoint inhibitors and other cancer treatments used in patients treated with immune checkpoint inhibitors.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8"/>
        <w:gridCol w:w="3402"/>
      </w:tblGrid>
      <w:tr w:rsidR="001B16BD" w:rsidRPr="00D416A8" w14:paraId="7E210D3F" w14:textId="77777777" w:rsidTr="00FF0EEB">
        <w:trPr>
          <w:trHeight w:val="567"/>
          <w:jc w:val="center"/>
        </w:trPr>
        <w:tc>
          <w:tcPr>
            <w:tcW w:w="7508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714D8F8A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340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4788A143" w14:textId="77777777" w:rsidR="001B16BD" w:rsidRPr="00D416A8" w:rsidRDefault="001B16BD" w:rsidP="00FF0EEB">
            <w:pPr>
              <w:pStyle w:val="NormalWeb"/>
              <w:spacing w:before="0" w:beforeAutospacing="0" w:after="0" w:afterAutospacing="0" w:line="256" w:lineRule="auto"/>
              <w:jc w:val="center"/>
            </w:pPr>
            <w:r w:rsidRPr="00D416A8">
              <w:rPr>
                <w:b/>
                <w:bCs/>
                <w:color w:val="000000" w:themeColor="text1"/>
                <w:kern w:val="24"/>
              </w:rPr>
              <w:t>General Cohort</w:t>
            </w:r>
          </w:p>
          <w:p w14:paraId="5F9F5231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  <w:t>n</w:t>
            </w:r>
            <w:r w:rsidRPr="00D416A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= 1,080 (%)</w:t>
            </w:r>
          </w:p>
        </w:tc>
      </w:tr>
      <w:tr w:rsidR="001B16BD" w:rsidRPr="00D416A8" w14:paraId="65816905" w14:textId="77777777" w:rsidTr="00FF0EEB">
        <w:trPr>
          <w:trHeight w:val="567"/>
          <w:jc w:val="center"/>
        </w:trPr>
        <w:tc>
          <w:tcPr>
            <w:tcW w:w="10910" w:type="dxa"/>
            <w:gridSpan w:val="2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550615DC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Follow-Up</w:t>
            </w:r>
          </w:p>
        </w:tc>
      </w:tr>
      <w:tr w:rsidR="001B16BD" w:rsidRPr="00D416A8" w14:paraId="0155170E" w14:textId="77777777" w:rsidTr="00FF0EEB">
        <w:trPr>
          <w:trHeight w:val="567"/>
          <w:jc w:val="center"/>
        </w:trPr>
        <w:tc>
          <w:tcPr>
            <w:tcW w:w="7508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0A6C553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Follow-Up Time (Years) After ICI Exposure, median (IQR)</w:t>
            </w:r>
          </w:p>
        </w:tc>
        <w:tc>
          <w:tcPr>
            <w:tcW w:w="340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08ECD932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1.4 (0.4–3.7)</w:t>
            </w:r>
          </w:p>
        </w:tc>
      </w:tr>
      <w:tr w:rsidR="001B16BD" w:rsidRPr="00D416A8" w14:paraId="457B24AC" w14:textId="77777777" w:rsidTr="00FF0EEB">
        <w:trPr>
          <w:trHeight w:val="567"/>
          <w:jc w:val="center"/>
        </w:trPr>
        <w:tc>
          <w:tcPr>
            <w:tcW w:w="7508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86216EE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Deceased During Follow-Up</w:t>
            </w:r>
          </w:p>
        </w:tc>
        <w:tc>
          <w:tcPr>
            <w:tcW w:w="340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26166DB3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763 (70.6)</w:t>
            </w:r>
          </w:p>
        </w:tc>
      </w:tr>
      <w:tr w:rsidR="001B16BD" w:rsidRPr="00D416A8" w14:paraId="49163F1C" w14:textId="77777777" w:rsidTr="00FF0EEB">
        <w:trPr>
          <w:trHeight w:val="567"/>
          <w:jc w:val="center"/>
        </w:trPr>
        <w:tc>
          <w:tcPr>
            <w:tcW w:w="7508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203AC09D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Age (Years) Deceased, mean (± SD)</w:t>
            </w:r>
          </w:p>
        </w:tc>
        <w:tc>
          <w:tcPr>
            <w:tcW w:w="340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08FC109E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68.9 (± 11.1)</w:t>
            </w:r>
          </w:p>
        </w:tc>
      </w:tr>
      <w:tr w:rsidR="001B16BD" w:rsidRPr="00D416A8" w14:paraId="550EB693" w14:textId="77777777" w:rsidTr="00FF0EEB">
        <w:trPr>
          <w:trHeight w:val="567"/>
          <w:jc w:val="center"/>
        </w:trPr>
        <w:tc>
          <w:tcPr>
            <w:tcW w:w="7508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757FFA79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Days to Death Post ICI, median (IQR)</w:t>
            </w:r>
          </w:p>
        </w:tc>
        <w:tc>
          <w:tcPr>
            <w:tcW w:w="340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49B8E3F9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441.5 (93–592)</w:t>
            </w:r>
          </w:p>
        </w:tc>
      </w:tr>
      <w:tr w:rsidR="001B16BD" w:rsidRPr="00D416A8" w14:paraId="1537C67F" w14:textId="77777777" w:rsidTr="00FF0EEB">
        <w:trPr>
          <w:trHeight w:val="567"/>
          <w:jc w:val="center"/>
        </w:trPr>
        <w:tc>
          <w:tcPr>
            <w:tcW w:w="10910" w:type="dxa"/>
            <w:gridSpan w:val="2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07F0D8E" w14:textId="77777777" w:rsidR="001B16BD" w:rsidRPr="00D416A8" w:rsidRDefault="001B16BD" w:rsidP="00FF0EEB">
            <w:pPr>
              <w:rPr>
                <w:rFonts w:ascii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Sequential ICI Treatment</w:t>
            </w:r>
          </w:p>
        </w:tc>
      </w:tr>
      <w:tr w:rsidR="001B16BD" w:rsidRPr="00D416A8" w14:paraId="197551CC" w14:textId="77777777" w:rsidTr="00FF0EEB">
        <w:trPr>
          <w:trHeight w:val="567"/>
          <w:jc w:val="center"/>
        </w:trPr>
        <w:tc>
          <w:tcPr>
            <w:tcW w:w="7508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17C6BBAC" w14:textId="77777777" w:rsidR="001B16BD" w:rsidRPr="00D416A8" w:rsidRDefault="001B16BD" w:rsidP="00FF0EEB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Single ICI</w:t>
            </w:r>
          </w:p>
        </w:tc>
        <w:tc>
          <w:tcPr>
            <w:tcW w:w="340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E1A7E8A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912 (84.4)</w:t>
            </w:r>
          </w:p>
        </w:tc>
      </w:tr>
      <w:tr w:rsidR="001B16BD" w:rsidRPr="00D416A8" w14:paraId="12D143CF" w14:textId="77777777" w:rsidTr="00FF0EEB">
        <w:trPr>
          <w:trHeight w:val="567"/>
          <w:jc w:val="center"/>
        </w:trPr>
        <w:tc>
          <w:tcPr>
            <w:tcW w:w="7508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44CFB489" w14:textId="77777777" w:rsidR="001B16BD" w:rsidRPr="00D416A8" w:rsidRDefault="001B16BD" w:rsidP="00FF0EEB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Two ICIs</w:t>
            </w:r>
          </w:p>
        </w:tc>
        <w:tc>
          <w:tcPr>
            <w:tcW w:w="340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6F4DB2CD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141 (13.1)</w:t>
            </w:r>
          </w:p>
        </w:tc>
      </w:tr>
      <w:tr w:rsidR="001B16BD" w:rsidRPr="00D416A8" w14:paraId="5967A754" w14:textId="77777777" w:rsidTr="00FF0EEB">
        <w:trPr>
          <w:trHeight w:val="567"/>
          <w:jc w:val="center"/>
        </w:trPr>
        <w:tc>
          <w:tcPr>
            <w:tcW w:w="7508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01230DE1" w14:textId="77777777" w:rsidR="001B16BD" w:rsidRPr="00D416A8" w:rsidRDefault="001B16BD" w:rsidP="00FF0EEB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Three or more ICIs</w:t>
            </w:r>
          </w:p>
        </w:tc>
        <w:tc>
          <w:tcPr>
            <w:tcW w:w="340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8D834A0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27 (2.5)</w:t>
            </w:r>
          </w:p>
        </w:tc>
      </w:tr>
    </w:tbl>
    <w:p w14:paraId="4718D967" w14:textId="77777777" w:rsidR="001B16BD" w:rsidRPr="00D416A8" w:rsidRDefault="001B16BD" w:rsidP="001B16BD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6A8">
        <w:rPr>
          <w:rFonts w:ascii="Times New Roman" w:hAnsi="Times New Roman" w:cs="Times New Roman"/>
          <w:sz w:val="24"/>
          <w:szCs w:val="24"/>
        </w:rPr>
        <w:t>ICI, immune checkpoint inhibitor; SD, standard deviation; IQR, interquartile range.</w:t>
      </w:r>
    </w:p>
    <w:p w14:paraId="1F591BC9" w14:textId="77777777" w:rsidR="001B16BD" w:rsidRPr="00D416A8" w:rsidRDefault="001B16BD" w:rsidP="001B16BD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D416A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88BBFEB" w14:textId="77777777" w:rsidR="001B16BD" w:rsidRPr="00D416A8" w:rsidRDefault="001B16BD" w:rsidP="001B16BD">
      <w:pPr>
        <w:pStyle w:val="EndNoteBibliography"/>
        <w:spacing w:line="360" w:lineRule="auto"/>
        <w:jc w:val="both"/>
        <w:rPr>
          <w:szCs w:val="20"/>
          <w:lang w:val="en-AU"/>
        </w:rPr>
      </w:pPr>
      <w:r w:rsidRPr="00D416A8">
        <w:rPr>
          <w:b/>
          <w:bCs/>
          <w:sz w:val="24"/>
          <w:szCs w:val="24"/>
          <w:lang w:val="en-AU"/>
        </w:rPr>
        <w:lastRenderedPageBreak/>
        <w:t xml:space="preserve">Supplementary Table </w:t>
      </w:r>
      <w:r>
        <w:rPr>
          <w:b/>
          <w:bCs/>
          <w:sz w:val="24"/>
          <w:szCs w:val="24"/>
          <w:lang w:val="en-AU"/>
        </w:rPr>
        <w:t>2</w:t>
      </w:r>
      <w:r w:rsidRPr="00D416A8">
        <w:rPr>
          <w:b/>
          <w:bCs/>
          <w:sz w:val="24"/>
          <w:szCs w:val="24"/>
          <w:lang w:val="en-AU"/>
        </w:rPr>
        <w:t xml:space="preserve">: </w:t>
      </w:r>
      <w:r w:rsidRPr="00D416A8">
        <w:rPr>
          <w:sz w:val="24"/>
          <w:szCs w:val="24"/>
          <w:lang w:val="en-AU"/>
        </w:rPr>
        <w:t>Follow-up information, number of different immune checkpoint inhibitors and other cancer treatments used in patients treated with immune checkpoint inhibitors examining predictors of cardiovascualr hospital admission.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1985"/>
        <w:gridCol w:w="2551"/>
        <w:gridCol w:w="1134"/>
      </w:tblGrid>
      <w:tr w:rsidR="001B16BD" w:rsidRPr="00D416A8" w14:paraId="3596DC9B" w14:textId="77777777" w:rsidTr="00FF0EEB">
        <w:trPr>
          <w:trHeight w:val="567"/>
          <w:jc w:val="center"/>
        </w:trPr>
        <w:tc>
          <w:tcPr>
            <w:tcW w:w="5240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644E624D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985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2E1E0C33" w14:textId="77777777" w:rsidR="001B16BD" w:rsidRPr="00D416A8" w:rsidRDefault="001B16BD" w:rsidP="00FF0EEB">
            <w:pPr>
              <w:pStyle w:val="NormalWeb"/>
              <w:spacing w:before="0" w:beforeAutospacing="0" w:after="0" w:afterAutospacing="0" w:line="256" w:lineRule="auto"/>
              <w:jc w:val="center"/>
            </w:pPr>
            <w:r w:rsidRPr="00D416A8">
              <w:rPr>
                <w:b/>
                <w:bCs/>
                <w:color w:val="000000" w:themeColor="text1"/>
                <w:kern w:val="24"/>
              </w:rPr>
              <w:t>CV Admission</w:t>
            </w:r>
          </w:p>
          <w:p w14:paraId="51C6CD67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  <w:t>n</w:t>
            </w:r>
            <w:r w:rsidRPr="00D416A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= 340 (%)</w:t>
            </w:r>
          </w:p>
        </w:tc>
        <w:tc>
          <w:tcPr>
            <w:tcW w:w="2551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52C2D031" w14:textId="77777777" w:rsidR="001B16BD" w:rsidRPr="00D416A8" w:rsidRDefault="001B16BD" w:rsidP="00FF0EEB">
            <w:pPr>
              <w:pStyle w:val="NormalWeb"/>
              <w:spacing w:before="0" w:beforeAutospacing="0" w:after="0" w:afterAutospacing="0" w:line="256" w:lineRule="auto"/>
              <w:jc w:val="center"/>
            </w:pPr>
            <w:r w:rsidRPr="00D416A8">
              <w:rPr>
                <w:b/>
                <w:bCs/>
                <w:color w:val="000000" w:themeColor="text1"/>
                <w:kern w:val="24"/>
              </w:rPr>
              <w:t>No CV Admission</w:t>
            </w:r>
          </w:p>
          <w:p w14:paraId="16B9D799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  <w:t>n</w:t>
            </w:r>
            <w:r w:rsidRPr="00D416A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= 740 (%)</w:t>
            </w:r>
          </w:p>
        </w:tc>
        <w:tc>
          <w:tcPr>
            <w:tcW w:w="1134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7290BC5B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D41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1B16BD" w:rsidRPr="00D416A8" w14:paraId="6780A072" w14:textId="77777777" w:rsidTr="00FF0EEB">
        <w:trPr>
          <w:trHeight w:val="567"/>
          <w:jc w:val="center"/>
        </w:trPr>
        <w:tc>
          <w:tcPr>
            <w:tcW w:w="10910" w:type="dxa"/>
            <w:gridSpan w:val="4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7799EF5C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Follow-Up</w:t>
            </w:r>
          </w:p>
        </w:tc>
      </w:tr>
      <w:tr w:rsidR="001B16BD" w:rsidRPr="00D416A8" w14:paraId="30D383A3" w14:textId="77777777" w:rsidTr="00FF0EEB">
        <w:trPr>
          <w:trHeight w:val="567"/>
          <w:jc w:val="center"/>
        </w:trPr>
        <w:tc>
          <w:tcPr>
            <w:tcW w:w="5240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4C98115A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Follow-Up Time (Years) After ICI Exposure, median (IQR)</w:t>
            </w:r>
          </w:p>
        </w:tc>
        <w:tc>
          <w:tcPr>
            <w:tcW w:w="1985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00DE7EAB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1.2 (0.5–2.6)</w:t>
            </w:r>
          </w:p>
        </w:tc>
        <w:tc>
          <w:tcPr>
            <w:tcW w:w="2551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72AE18D8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1.3 (0.5–2.9)</w:t>
            </w:r>
          </w:p>
        </w:tc>
        <w:tc>
          <w:tcPr>
            <w:tcW w:w="1134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1BFC158D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0.150</w:t>
            </w:r>
          </w:p>
        </w:tc>
      </w:tr>
      <w:tr w:rsidR="001B16BD" w:rsidRPr="00D416A8" w14:paraId="6885FC51" w14:textId="77777777" w:rsidTr="00FF0EEB">
        <w:trPr>
          <w:trHeight w:val="567"/>
          <w:jc w:val="center"/>
        </w:trPr>
        <w:tc>
          <w:tcPr>
            <w:tcW w:w="5240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D6DCDA5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Deceased During Follow-Up</w:t>
            </w:r>
          </w:p>
        </w:tc>
        <w:tc>
          <w:tcPr>
            <w:tcW w:w="1985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8770D15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273 (80.3)</w:t>
            </w:r>
          </w:p>
        </w:tc>
        <w:tc>
          <w:tcPr>
            <w:tcW w:w="2551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4A3DA5CF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490 (66.2)</w:t>
            </w:r>
          </w:p>
        </w:tc>
        <w:tc>
          <w:tcPr>
            <w:tcW w:w="1134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3A0EE578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</w:rPr>
              <w:t>&lt; 0.001</w:t>
            </w:r>
          </w:p>
        </w:tc>
      </w:tr>
      <w:tr w:rsidR="001B16BD" w:rsidRPr="00D416A8" w14:paraId="4B3AF92E" w14:textId="77777777" w:rsidTr="00FF0EEB">
        <w:trPr>
          <w:trHeight w:val="567"/>
          <w:jc w:val="center"/>
        </w:trPr>
        <w:tc>
          <w:tcPr>
            <w:tcW w:w="5240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772D9374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Age (Years) Deceased, mean (± SD)</w:t>
            </w:r>
          </w:p>
        </w:tc>
        <w:tc>
          <w:tcPr>
            <w:tcW w:w="1985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2A7EB5CA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70.38 (± 10.2)</w:t>
            </w:r>
          </w:p>
        </w:tc>
        <w:tc>
          <w:tcPr>
            <w:tcW w:w="2551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5A10C88B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70.6 (± 9.2)</w:t>
            </w:r>
          </w:p>
        </w:tc>
        <w:tc>
          <w:tcPr>
            <w:tcW w:w="1134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50EA653F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</w:rPr>
              <w:t>&lt; 0.001</w:t>
            </w:r>
          </w:p>
        </w:tc>
      </w:tr>
      <w:tr w:rsidR="001B16BD" w:rsidRPr="00D416A8" w14:paraId="08AAB562" w14:textId="77777777" w:rsidTr="00FF0EEB">
        <w:trPr>
          <w:trHeight w:val="567"/>
          <w:jc w:val="center"/>
        </w:trPr>
        <w:tc>
          <w:tcPr>
            <w:tcW w:w="5240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07624A4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Days to Death Post ICI, median (IQR)</w:t>
            </w:r>
          </w:p>
        </w:tc>
        <w:tc>
          <w:tcPr>
            <w:tcW w:w="1985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F6873A1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440 (176–938.5)</w:t>
            </w:r>
          </w:p>
        </w:tc>
        <w:tc>
          <w:tcPr>
            <w:tcW w:w="2551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2528CF57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483.5 (185.25–1,072.5)</w:t>
            </w:r>
          </w:p>
        </w:tc>
        <w:tc>
          <w:tcPr>
            <w:tcW w:w="1134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29A70D01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</w:rPr>
              <w:t>&lt; 0.001</w:t>
            </w:r>
          </w:p>
        </w:tc>
      </w:tr>
      <w:tr w:rsidR="001B16BD" w:rsidRPr="00D416A8" w14:paraId="68604247" w14:textId="77777777" w:rsidTr="00FF0EEB">
        <w:trPr>
          <w:trHeight w:val="567"/>
          <w:jc w:val="center"/>
        </w:trPr>
        <w:tc>
          <w:tcPr>
            <w:tcW w:w="10910" w:type="dxa"/>
            <w:gridSpan w:val="4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17FD3829" w14:textId="77777777" w:rsidR="001B16BD" w:rsidRPr="00D416A8" w:rsidRDefault="001B16BD" w:rsidP="00FF0EEB">
            <w:pPr>
              <w:rPr>
                <w:rFonts w:ascii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Sequential ICI Treatment</w:t>
            </w:r>
          </w:p>
        </w:tc>
      </w:tr>
      <w:tr w:rsidR="001B16BD" w:rsidRPr="00D416A8" w14:paraId="38F8F7BE" w14:textId="77777777" w:rsidTr="00FF0EEB">
        <w:trPr>
          <w:trHeight w:val="567"/>
          <w:jc w:val="center"/>
        </w:trPr>
        <w:tc>
          <w:tcPr>
            <w:tcW w:w="5240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4FDB7F46" w14:textId="77777777" w:rsidR="001B16BD" w:rsidRPr="00D416A8" w:rsidRDefault="001B16BD" w:rsidP="00FF0EEB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Single ICI</w:t>
            </w:r>
          </w:p>
        </w:tc>
        <w:tc>
          <w:tcPr>
            <w:tcW w:w="1985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2AE8655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284 (83.5)</w:t>
            </w:r>
          </w:p>
        </w:tc>
        <w:tc>
          <w:tcPr>
            <w:tcW w:w="2551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6C6445EA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628 (84.9)</w:t>
            </w:r>
          </w:p>
        </w:tc>
        <w:tc>
          <w:tcPr>
            <w:tcW w:w="1134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5DDB1672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0.588</w:t>
            </w:r>
          </w:p>
        </w:tc>
      </w:tr>
      <w:tr w:rsidR="001B16BD" w:rsidRPr="00D416A8" w14:paraId="4525ED15" w14:textId="77777777" w:rsidTr="00FF0EEB">
        <w:trPr>
          <w:trHeight w:val="567"/>
          <w:jc w:val="center"/>
        </w:trPr>
        <w:tc>
          <w:tcPr>
            <w:tcW w:w="5240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4245162E" w14:textId="77777777" w:rsidR="001B16BD" w:rsidRPr="00D416A8" w:rsidRDefault="001B16BD" w:rsidP="00FF0EEB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Two ICIs</w:t>
            </w:r>
          </w:p>
        </w:tc>
        <w:tc>
          <w:tcPr>
            <w:tcW w:w="1985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6F70BA99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 (6.9)</w:t>
            </w:r>
          </w:p>
        </w:tc>
        <w:tc>
          <w:tcPr>
            <w:tcW w:w="2551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52B38242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97 (13.1)</w:t>
            </w:r>
          </w:p>
        </w:tc>
        <w:tc>
          <w:tcPr>
            <w:tcW w:w="1134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4B98EF6C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1.000</w:t>
            </w:r>
          </w:p>
        </w:tc>
      </w:tr>
      <w:tr w:rsidR="001B16BD" w:rsidRPr="00D416A8" w14:paraId="49A0DA4D" w14:textId="77777777" w:rsidTr="00FF0EEB">
        <w:trPr>
          <w:trHeight w:val="567"/>
          <w:jc w:val="center"/>
        </w:trPr>
        <w:tc>
          <w:tcPr>
            <w:tcW w:w="5240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5B051937" w14:textId="77777777" w:rsidR="001B16BD" w:rsidRPr="00D416A8" w:rsidRDefault="001B16BD" w:rsidP="00FF0EEB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Three or more ICIs</w:t>
            </w:r>
          </w:p>
        </w:tc>
        <w:tc>
          <w:tcPr>
            <w:tcW w:w="1985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6DA543F8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 (3.5)</w:t>
            </w:r>
          </w:p>
        </w:tc>
        <w:tc>
          <w:tcPr>
            <w:tcW w:w="2551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782D7DFF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 (2.0)</w:t>
            </w:r>
          </w:p>
        </w:tc>
        <w:tc>
          <w:tcPr>
            <w:tcW w:w="1134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0447980D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0.147</w:t>
            </w:r>
          </w:p>
        </w:tc>
      </w:tr>
    </w:tbl>
    <w:p w14:paraId="66D3B97E" w14:textId="77777777" w:rsidR="001B16BD" w:rsidRPr="00D416A8" w:rsidRDefault="001B16BD" w:rsidP="001B16BD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6A8">
        <w:rPr>
          <w:rFonts w:ascii="Times New Roman" w:hAnsi="Times New Roman" w:cs="Times New Roman"/>
          <w:sz w:val="24"/>
          <w:szCs w:val="24"/>
        </w:rPr>
        <w:t>CV, cardiovascular; ICI, immune checkpoint inhibitor; SD, standard deviation; IQR, interquartile range.</w:t>
      </w:r>
    </w:p>
    <w:p w14:paraId="637FFE3F" w14:textId="77777777" w:rsidR="001B16BD" w:rsidRPr="00D416A8" w:rsidRDefault="001B16BD" w:rsidP="001B16BD">
      <w:pPr>
        <w:rPr>
          <w:rFonts w:ascii="Times New Roman" w:hAnsi="Times New Roman" w:cs="Times New Roman"/>
          <w:sz w:val="24"/>
          <w:szCs w:val="24"/>
        </w:rPr>
      </w:pPr>
      <w:r w:rsidRPr="00D416A8">
        <w:rPr>
          <w:rFonts w:ascii="Times New Roman" w:hAnsi="Times New Roman" w:cs="Times New Roman"/>
          <w:sz w:val="24"/>
          <w:szCs w:val="24"/>
        </w:rPr>
        <w:br w:type="page"/>
      </w:r>
    </w:p>
    <w:p w14:paraId="4049B12C" w14:textId="77777777" w:rsidR="001B16BD" w:rsidRPr="00D416A8" w:rsidRDefault="001B16BD" w:rsidP="001B16BD">
      <w:pPr>
        <w:pStyle w:val="EndNoteBibliography"/>
        <w:spacing w:line="360" w:lineRule="auto"/>
        <w:jc w:val="both"/>
        <w:rPr>
          <w:sz w:val="24"/>
          <w:szCs w:val="24"/>
          <w:lang w:val="en-AU"/>
        </w:rPr>
      </w:pPr>
      <w:r w:rsidRPr="00D416A8">
        <w:rPr>
          <w:b/>
          <w:bCs/>
          <w:sz w:val="24"/>
          <w:szCs w:val="24"/>
          <w:lang w:val="en-AU"/>
        </w:rPr>
        <w:lastRenderedPageBreak/>
        <w:t xml:space="preserve">Supplementary Table </w:t>
      </w:r>
      <w:r>
        <w:rPr>
          <w:b/>
          <w:bCs/>
          <w:sz w:val="24"/>
          <w:szCs w:val="24"/>
          <w:lang w:val="en-AU"/>
        </w:rPr>
        <w:t>3</w:t>
      </w:r>
      <w:r w:rsidRPr="00D416A8">
        <w:rPr>
          <w:b/>
          <w:bCs/>
          <w:sz w:val="24"/>
          <w:szCs w:val="24"/>
          <w:lang w:val="en-AU"/>
        </w:rPr>
        <w:t xml:space="preserve">: </w:t>
      </w:r>
      <w:r w:rsidRPr="00D416A8">
        <w:rPr>
          <w:sz w:val="24"/>
          <w:szCs w:val="24"/>
          <w:lang w:val="en-AU"/>
        </w:rPr>
        <w:t>Follow-up information, number of different immune checkpoint inhibitors and other cancer treatments used in people treated with immune checkpoint inhibitors examining predictors of mortality.</w:t>
      </w:r>
      <w:r w:rsidRPr="00D416A8">
        <w:rPr>
          <w:b/>
          <w:bCs/>
          <w:sz w:val="24"/>
          <w:szCs w:val="24"/>
          <w:lang w:val="en-AU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9"/>
        <w:gridCol w:w="1711"/>
        <w:gridCol w:w="1691"/>
        <w:gridCol w:w="1139"/>
      </w:tblGrid>
      <w:tr w:rsidR="001B16BD" w:rsidRPr="00D416A8" w14:paraId="7025EE84" w14:textId="77777777" w:rsidTr="00FF0EEB">
        <w:trPr>
          <w:trHeight w:val="567"/>
          <w:jc w:val="center"/>
        </w:trPr>
        <w:tc>
          <w:tcPr>
            <w:tcW w:w="5949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661EA93E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Characteristic</w:t>
            </w:r>
          </w:p>
        </w:tc>
        <w:tc>
          <w:tcPr>
            <w:tcW w:w="1711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414F9B92" w14:textId="77777777" w:rsidR="001B16BD" w:rsidRPr="00D416A8" w:rsidRDefault="001B16BD" w:rsidP="00FF0EEB">
            <w:pPr>
              <w:pStyle w:val="NormalWeb"/>
              <w:spacing w:before="0" w:beforeAutospacing="0" w:after="0" w:afterAutospacing="0" w:line="256" w:lineRule="auto"/>
              <w:jc w:val="center"/>
            </w:pPr>
            <w:r w:rsidRPr="00D416A8">
              <w:rPr>
                <w:b/>
                <w:bCs/>
                <w:color w:val="000000" w:themeColor="text1"/>
                <w:kern w:val="24"/>
              </w:rPr>
              <w:t>Alive</w:t>
            </w:r>
          </w:p>
          <w:p w14:paraId="26100708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  <w:t>n</w:t>
            </w:r>
            <w:r w:rsidRPr="00D416A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= 317 (%)</w:t>
            </w:r>
          </w:p>
        </w:tc>
        <w:tc>
          <w:tcPr>
            <w:tcW w:w="1691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4FEA9353" w14:textId="77777777" w:rsidR="001B16BD" w:rsidRPr="00D416A8" w:rsidRDefault="001B16BD" w:rsidP="00FF0EEB">
            <w:pPr>
              <w:pStyle w:val="NormalWeb"/>
              <w:spacing w:before="0" w:beforeAutospacing="0" w:after="0" w:afterAutospacing="0" w:line="256" w:lineRule="auto"/>
              <w:jc w:val="center"/>
            </w:pPr>
            <w:r w:rsidRPr="00D416A8">
              <w:rPr>
                <w:b/>
                <w:bCs/>
                <w:color w:val="000000" w:themeColor="text1"/>
                <w:kern w:val="24"/>
              </w:rPr>
              <w:t>Deceased</w:t>
            </w:r>
          </w:p>
          <w:p w14:paraId="7522B3B0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  <w:t>n</w:t>
            </w:r>
            <w:r w:rsidRPr="00D416A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= 763 (%)</w:t>
            </w:r>
          </w:p>
        </w:tc>
        <w:tc>
          <w:tcPr>
            <w:tcW w:w="1139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4F544D4A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  <w:t>p</w:t>
            </w:r>
            <w:r w:rsidRPr="00D416A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-value</w:t>
            </w:r>
          </w:p>
        </w:tc>
      </w:tr>
      <w:tr w:rsidR="001B16BD" w:rsidRPr="00D416A8" w14:paraId="70C81D47" w14:textId="77777777" w:rsidTr="00FF0EEB">
        <w:trPr>
          <w:trHeight w:val="567"/>
          <w:jc w:val="center"/>
        </w:trPr>
        <w:tc>
          <w:tcPr>
            <w:tcW w:w="10490" w:type="dxa"/>
            <w:gridSpan w:val="4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7A3C2799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Follow-Up</w:t>
            </w:r>
          </w:p>
        </w:tc>
      </w:tr>
      <w:tr w:rsidR="001B16BD" w:rsidRPr="00D416A8" w14:paraId="1C51591F" w14:textId="77777777" w:rsidTr="00FF0EEB">
        <w:trPr>
          <w:trHeight w:val="567"/>
          <w:jc w:val="center"/>
        </w:trPr>
        <w:tc>
          <w:tcPr>
            <w:tcW w:w="5949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48182102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Follow-Up Time (Years) After ICI Exposure, median (IQR)</w:t>
            </w:r>
          </w:p>
        </w:tc>
        <w:tc>
          <w:tcPr>
            <w:tcW w:w="1711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60B71913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4.5 (3.7–5.6)</w:t>
            </w:r>
          </w:p>
        </w:tc>
        <w:tc>
          <w:tcPr>
            <w:tcW w:w="1691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6B49D573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 (0.3–1.7)</w:t>
            </w:r>
          </w:p>
        </w:tc>
        <w:tc>
          <w:tcPr>
            <w:tcW w:w="1139" w:type="dxa"/>
            <w:tcMar>
              <w:top w:w="73" w:type="dxa"/>
              <w:left w:w="145" w:type="dxa"/>
              <w:bottom w:w="73" w:type="dxa"/>
              <w:right w:w="145" w:type="dxa"/>
            </w:tcMar>
            <w:vAlign w:val="center"/>
          </w:tcPr>
          <w:p w14:paraId="0A8E9E08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color w:val="FF0000"/>
                <w:kern w:val="24"/>
                <w:sz w:val="24"/>
                <w:szCs w:val="24"/>
              </w:rPr>
              <w:t>&lt; 0.001</w:t>
            </w:r>
          </w:p>
        </w:tc>
      </w:tr>
      <w:tr w:rsidR="001B16BD" w:rsidRPr="00D416A8" w14:paraId="38EE313C" w14:textId="77777777" w:rsidTr="00FF0EEB">
        <w:trPr>
          <w:trHeight w:val="567"/>
          <w:jc w:val="center"/>
        </w:trPr>
        <w:tc>
          <w:tcPr>
            <w:tcW w:w="10490" w:type="dxa"/>
            <w:gridSpan w:val="4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77D4C749" w14:textId="77777777" w:rsidR="001B16BD" w:rsidRPr="00D416A8" w:rsidRDefault="001B16BD" w:rsidP="00FF0EEB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Sequential ICI Treatment</w:t>
            </w:r>
          </w:p>
        </w:tc>
      </w:tr>
      <w:tr w:rsidR="001B16BD" w:rsidRPr="00D416A8" w14:paraId="05375BBF" w14:textId="77777777" w:rsidTr="00FF0EEB">
        <w:trPr>
          <w:trHeight w:val="567"/>
          <w:jc w:val="center"/>
        </w:trPr>
        <w:tc>
          <w:tcPr>
            <w:tcW w:w="5949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24E38C10" w14:textId="77777777" w:rsidR="001B16BD" w:rsidRPr="00D416A8" w:rsidRDefault="001B16BD" w:rsidP="00FF0EEB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Single ICI</w:t>
            </w:r>
          </w:p>
        </w:tc>
        <w:tc>
          <w:tcPr>
            <w:tcW w:w="1711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4880FD4E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253 (27.7)</w:t>
            </w:r>
          </w:p>
        </w:tc>
        <w:tc>
          <w:tcPr>
            <w:tcW w:w="1691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17827BB8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659 (72.3)</w:t>
            </w:r>
          </w:p>
        </w:tc>
        <w:tc>
          <w:tcPr>
            <w:tcW w:w="1139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03D10848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0.010</w:t>
            </w:r>
          </w:p>
        </w:tc>
      </w:tr>
      <w:tr w:rsidR="001B16BD" w:rsidRPr="00D416A8" w14:paraId="41A98455" w14:textId="77777777" w:rsidTr="00FF0EEB">
        <w:trPr>
          <w:trHeight w:val="567"/>
          <w:jc w:val="center"/>
        </w:trPr>
        <w:tc>
          <w:tcPr>
            <w:tcW w:w="5949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7C75A98" w14:textId="77777777" w:rsidR="001B16BD" w:rsidRPr="00D416A8" w:rsidRDefault="001B16BD" w:rsidP="00FF0EEB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Two ICIs</w:t>
            </w:r>
          </w:p>
        </w:tc>
        <w:tc>
          <w:tcPr>
            <w:tcW w:w="1711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75EB5980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54 (38.3)</w:t>
            </w:r>
          </w:p>
        </w:tc>
        <w:tc>
          <w:tcPr>
            <w:tcW w:w="1691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60D56CFF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87 (61.7)</w:t>
            </w:r>
          </w:p>
        </w:tc>
        <w:tc>
          <w:tcPr>
            <w:tcW w:w="1139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76C3693F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0.017</w:t>
            </w:r>
          </w:p>
        </w:tc>
      </w:tr>
      <w:tr w:rsidR="001B16BD" w:rsidRPr="00D416A8" w14:paraId="12CF6A15" w14:textId="77777777" w:rsidTr="00FF0EEB">
        <w:trPr>
          <w:trHeight w:val="567"/>
          <w:jc w:val="center"/>
        </w:trPr>
        <w:tc>
          <w:tcPr>
            <w:tcW w:w="5949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1F4680D4" w14:textId="77777777" w:rsidR="001B16BD" w:rsidRPr="00D416A8" w:rsidRDefault="001B16BD" w:rsidP="00FF0EEB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Three or more ICIs</w:t>
            </w:r>
          </w:p>
        </w:tc>
        <w:tc>
          <w:tcPr>
            <w:tcW w:w="1711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6EC91796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10 (37.0)</w:t>
            </w:r>
          </w:p>
        </w:tc>
        <w:tc>
          <w:tcPr>
            <w:tcW w:w="1691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39AB5C7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17 (63.0)</w:t>
            </w:r>
          </w:p>
        </w:tc>
        <w:tc>
          <w:tcPr>
            <w:tcW w:w="1139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513C5681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</w:tr>
    </w:tbl>
    <w:p w14:paraId="68B50EAB" w14:textId="77777777" w:rsidR="001B16BD" w:rsidRPr="00D416A8" w:rsidRDefault="001B16BD" w:rsidP="001B16BD">
      <w:pPr>
        <w:spacing w:before="24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D416A8">
        <w:rPr>
          <w:rFonts w:ascii="Times New Roman" w:hAnsi="Times New Roman" w:cs="Times New Roman"/>
          <w:sz w:val="24"/>
          <w:szCs w:val="24"/>
        </w:rPr>
        <w:t>ICI, immune checkpoint inhibitor; SD, standard deviation; IQR, interquartile range.</w:t>
      </w:r>
      <w:r w:rsidRPr="00D416A8">
        <w:rPr>
          <w:rFonts w:ascii="Times New Roman" w:hAnsi="Times New Roman" w:cs="Times New Roman"/>
          <w:sz w:val="20"/>
          <w:szCs w:val="20"/>
        </w:rPr>
        <w:br w:type="page"/>
      </w:r>
    </w:p>
    <w:p w14:paraId="05009848" w14:textId="77777777" w:rsidR="001B16BD" w:rsidRPr="00D416A8" w:rsidRDefault="001B16BD" w:rsidP="001B16BD">
      <w:pPr>
        <w:pStyle w:val="EndNoteBibliography"/>
        <w:spacing w:line="360" w:lineRule="auto"/>
        <w:jc w:val="both"/>
        <w:rPr>
          <w:sz w:val="24"/>
          <w:szCs w:val="24"/>
          <w:lang w:val="en-AU"/>
        </w:rPr>
      </w:pPr>
      <w:r w:rsidRPr="00D416A8">
        <w:rPr>
          <w:b/>
          <w:bCs/>
          <w:sz w:val="24"/>
          <w:szCs w:val="24"/>
          <w:lang w:val="en-AU"/>
        </w:rPr>
        <w:lastRenderedPageBreak/>
        <w:t xml:space="preserve">Supplementary Table </w:t>
      </w:r>
      <w:r>
        <w:rPr>
          <w:b/>
          <w:bCs/>
          <w:sz w:val="24"/>
          <w:szCs w:val="24"/>
          <w:lang w:val="en-AU"/>
        </w:rPr>
        <w:t>4</w:t>
      </w:r>
      <w:r w:rsidRPr="00D416A8">
        <w:rPr>
          <w:b/>
          <w:bCs/>
          <w:sz w:val="24"/>
          <w:szCs w:val="24"/>
          <w:lang w:val="en-AU"/>
        </w:rPr>
        <w:t xml:space="preserve">: </w:t>
      </w:r>
      <w:r w:rsidRPr="00D416A8">
        <w:rPr>
          <w:sz w:val="24"/>
          <w:szCs w:val="24"/>
          <w:lang w:val="en-AU"/>
        </w:rPr>
        <w:t xml:space="preserve">Primary diagnosis of first cardiovascular disease hospital admission amongst cancer patients following their first dose of immune checkpoint inhibitors. </w:t>
      </w:r>
    </w:p>
    <w:tbl>
      <w:tblPr>
        <w:tblW w:w="8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2977"/>
      </w:tblGrid>
      <w:tr w:rsidR="001B16BD" w:rsidRPr="00D416A8" w14:paraId="5933497E" w14:textId="77777777" w:rsidTr="00FF0EEB">
        <w:trPr>
          <w:trHeight w:val="567"/>
          <w:jc w:val="center"/>
        </w:trPr>
        <w:tc>
          <w:tcPr>
            <w:tcW w:w="539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02DEB3B0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Primary CV Diagnosis</w:t>
            </w:r>
          </w:p>
        </w:tc>
        <w:tc>
          <w:tcPr>
            <w:tcW w:w="2977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4A01CE3" w14:textId="77777777" w:rsidR="001B16BD" w:rsidRPr="00D416A8" w:rsidRDefault="001B16BD" w:rsidP="00FF0EEB">
            <w:pPr>
              <w:pStyle w:val="NormalWeb"/>
              <w:spacing w:before="0" w:beforeAutospacing="0" w:after="0" w:afterAutospacing="0" w:line="256" w:lineRule="auto"/>
              <w:jc w:val="center"/>
              <w:rPr>
                <w:b/>
                <w:bCs/>
              </w:rPr>
            </w:pPr>
            <w:r w:rsidRPr="00D416A8">
              <w:rPr>
                <w:b/>
                <w:bCs/>
              </w:rPr>
              <w:t>CV Admission</w:t>
            </w:r>
          </w:p>
          <w:p w14:paraId="7D8101E9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  <w:t>n</w:t>
            </w:r>
            <w:r w:rsidRPr="00D416A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= 340 (%)</w:t>
            </w:r>
          </w:p>
        </w:tc>
      </w:tr>
      <w:tr w:rsidR="001B16BD" w:rsidRPr="00D416A8" w14:paraId="3EFF7931" w14:textId="77777777" w:rsidTr="00FF0EEB">
        <w:trPr>
          <w:trHeight w:val="567"/>
          <w:jc w:val="center"/>
        </w:trPr>
        <w:tc>
          <w:tcPr>
            <w:tcW w:w="539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1F975EBC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Acute Coronary Syndromes</w:t>
            </w:r>
          </w:p>
        </w:tc>
        <w:tc>
          <w:tcPr>
            <w:tcW w:w="2977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0D1A24B9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7 (2.1)</w:t>
            </w:r>
          </w:p>
        </w:tc>
      </w:tr>
      <w:tr w:rsidR="001B16BD" w:rsidRPr="00D416A8" w14:paraId="282122BE" w14:textId="77777777" w:rsidTr="00FF0EEB">
        <w:trPr>
          <w:trHeight w:val="567"/>
          <w:jc w:val="center"/>
        </w:trPr>
        <w:tc>
          <w:tcPr>
            <w:tcW w:w="539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69D9182D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Acute Myocardial Infarction</w:t>
            </w:r>
          </w:p>
        </w:tc>
        <w:tc>
          <w:tcPr>
            <w:tcW w:w="2977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48816C36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25 (7.4)</w:t>
            </w:r>
          </w:p>
        </w:tc>
      </w:tr>
      <w:tr w:rsidR="001B16BD" w:rsidRPr="00D416A8" w14:paraId="2624B9E4" w14:textId="77777777" w:rsidTr="00FF0EEB">
        <w:trPr>
          <w:trHeight w:val="567"/>
          <w:jc w:val="center"/>
        </w:trPr>
        <w:tc>
          <w:tcPr>
            <w:tcW w:w="539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1A3EA5AC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Atrial Fibrillation and Atrial Flutter</w:t>
            </w:r>
          </w:p>
        </w:tc>
        <w:tc>
          <w:tcPr>
            <w:tcW w:w="2977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7066785F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53 (15.6)</w:t>
            </w:r>
          </w:p>
        </w:tc>
      </w:tr>
      <w:tr w:rsidR="001B16BD" w:rsidRPr="00D416A8" w14:paraId="13779C7A" w14:textId="77777777" w:rsidTr="00FF0EEB">
        <w:trPr>
          <w:trHeight w:val="567"/>
          <w:jc w:val="center"/>
        </w:trPr>
        <w:tc>
          <w:tcPr>
            <w:tcW w:w="539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69FC3086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Cardiovascular (Other/Not Specified)</w:t>
            </w:r>
          </w:p>
        </w:tc>
        <w:tc>
          <w:tcPr>
            <w:tcW w:w="2977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0ADE7693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43 (12.6)</w:t>
            </w:r>
          </w:p>
        </w:tc>
      </w:tr>
      <w:tr w:rsidR="001B16BD" w:rsidRPr="00D416A8" w14:paraId="52B509CD" w14:textId="77777777" w:rsidTr="00FF0EEB">
        <w:trPr>
          <w:trHeight w:val="567"/>
          <w:jc w:val="center"/>
        </w:trPr>
        <w:tc>
          <w:tcPr>
            <w:tcW w:w="539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6EBABB33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Cerebrovascular Disease</w:t>
            </w:r>
          </w:p>
        </w:tc>
        <w:tc>
          <w:tcPr>
            <w:tcW w:w="2977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0CAC8D4A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34 (10.0)</w:t>
            </w:r>
          </w:p>
        </w:tc>
      </w:tr>
      <w:tr w:rsidR="001B16BD" w:rsidRPr="00D416A8" w14:paraId="0ECD1DD7" w14:textId="77777777" w:rsidTr="00FF0EEB">
        <w:trPr>
          <w:trHeight w:val="567"/>
          <w:jc w:val="center"/>
        </w:trPr>
        <w:tc>
          <w:tcPr>
            <w:tcW w:w="539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0645E6FA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2977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42BAAEB5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39 (11.5)</w:t>
            </w:r>
          </w:p>
        </w:tc>
      </w:tr>
      <w:tr w:rsidR="001B16BD" w:rsidRPr="00D416A8" w14:paraId="39FFA984" w14:textId="77777777" w:rsidTr="00FF0EEB">
        <w:trPr>
          <w:trHeight w:val="567"/>
          <w:jc w:val="center"/>
        </w:trPr>
        <w:tc>
          <w:tcPr>
            <w:tcW w:w="539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6DFE6A8A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Ischaemic Heart Disease (Not Specified)</w:t>
            </w:r>
          </w:p>
        </w:tc>
        <w:tc>
          <w:tcPr>
            <w:tcW w:w="2977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544A1B21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66 (19.4)</w:t>
            </w:r>
          </w:p>
        </w:tc>
      </w:tr>
      <w:tr w:rsidR="001B16BD" w:rsidRPr="00D416A8" w14:paraId="3C4A497C" w14:textId="77777777" w:rsidTr="00FF0EEB">
        <w:trPr>
          <w:trHeight w:val="567"/>
          <w:jc w:val="center"/>
        </w:trPr>
        <w:tc>
          <w:tcPr>
            <w:tcW w:w="539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2016EF58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Myocarditis</w:t>
            </w:r>
          </w:p>
        </w:tc>
        <w:tc>
          <w:tcPr>
            <w:tcW w:w="2977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2AE8B3E6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6 (1.8)</w:t>
            </w:r>
          </w:p>
        </w:tc>
      </w:tr>
      <w:tr w:rsidR="001B16BD" w:rsidRPr="00D416A8" w14:paraId="1F9C8539" w14:textId="77777777" w:rsidTr="00FF0EEB">
        <w:trPr>
          <w:trHeight w:val="567"/>
          <w:jc w:val="center"/>
        </w:trPr>
        <w:tc>
          <w:tcPr>
            <w:tcW w:w="539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08F1E61A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Pericarditis</w:t>
            </w:r>
          </w:p>
        </w:tc>
        <w:tc>
          <w:tcPr>
            <w:tcW w:w="2977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431534EF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2 (0.6)</w:t>
            </w:r>
          </w:p>
        </w:tc>
      </w:tr>
      <w:tr w:rsidR="001B16BD" w:rsidRPr="00D416A8" w14:paraId="323F5B60" w14:textId="77777777" w:rsidTr="00FF0EEB">
        <w:trPr>
          <w:trHeight w:val="567"/>
          <w:jc w:val="center"/>
        </w:trPr>
        <w:tc>
          <w:tcPr>
            <w:tcW w:w="5392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52AFB1B9" w14:textId="77777777" w:rsidR="001B16BD" w:rsidRPr="00D416A8" w:rsidRDefault="001B16BD" w:rsidP="00FF0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Venous Thromboembolism</w:t>
            </w:r>
          </w:p>
        </w:tc>
        <w:tc>
          <w:tcPr>
            <w:tcW w:w="2977" w:type="dxa"/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</w:tcPr>
          <w:p w14:paraId="3941F421" w14:textId="77777777" w:rsidR="001B16BD" w:rsidRPr="00D416A8" w:rsidRDefault="001B16BD" w:rsidP="00FF0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6A8">
              <w:rPr>
                <w:rFonts w:ascii="Times New Roman" w:hAnsi="Times New Roman" w:cs="Times New Roman"/>
                <w:sz w:val="24"/>
                <w:szCs w:val="24"/>
              </w:rPr>
              <w:t>65 (19.1)</w:t>
            </w:r>
          </w:p>
        </w:tc>
      </w:tr>
    </w:tbl>
    <w:p w14:paraId="43A12CFE" w14:textId="77777777" w:rsidR="001B16BD" w:rsidRPr="00D416A8" w:rsidRDefault="001B16BD" w:rsidP="001B16BD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16A8">
        <w:rPr>
          <w:rFonts w:ascii="Times New Roman" w:hAnsi="Times New Roman" w:cs="Times New Roman"/>
          <w:sz w:val="24"/>
          <w:szCs w:val="24"/>
        </w:rPr>
        <w:t>Other cardiovascular disease admission includes valvular heart disease, pulmonary hypertension, and other conduction disorders. CV, cardiovascular.</w:t>
      </w:r>
    </w:p>
    <w:p w14:paraId="1947F22E" w14:textId="77777777" w:rsidR="001B16BD" w:rsidRDefault="001B16BD" w:rsidP="001B16BD">
      <w:pPr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  <w:br w:type="page"/>
      </w:r>
    </w:p>
    <w:p w14:paraId="6627C643" w14:textId="77777777" w:rsidR="001B16BD" w:rsidRPr="000A19B9" w:rsidRDefault="001B16BD" w:rsidP="001B16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19B9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Figures</w:t>
      </w:r>
    </w:p>
    <w:p w14:paraId="1EEDEEA7" w14:textId="77777777" w:rsidR="001B16BD" w:rsidRPr="00D416A8" w:rsidRDefault="001B16BD" w:rsidP="001B16B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D416A8">
        <w:rPr>
          <w:rFonts w:ascii="Times New Roman" w:hAnsi="Times New Roman" w:cs="Times New Roman"/>
          <w:b/>
          <w:bCs/>
          <w:sz w:val="24"/>
          <w:szCs w:val="24"/>
        </w:rPr>
        <w:t xml:space="preserve">Figure 1: </w:t>
      </w:r>
      <w:r w:rsidRPr="00D416A8">
        <w:rPr>
          <w:rFonts w:ascii="Times New Roman" w:hAnsi="Times New Roman" w:cs="Times New Roman"/>
          <w:sz w:val="24"/>
          <w:szCs w:val="24"/>
        </w:rPr>
        <w:t xml:space="preserve">Consort diagram of patients treated with immune checkpoint inhibitors included in the final analysis. ICI, immune checkpoint inhibitor; HNELHD, </w:t>
      </w:r>
      <w:r w:rsidRPr="00D416A8">
        <w:rPr>
          <w:rFonts w:ascii="Times New Roman" w:hAnsi="Times New Roman" w:cs="Times New Roman"/>
          <w:i/>
          <w:iCs/>
          <w:sz w:val="24"/>
          <w:szCs w:val="24"/>
        </w:rPr>
        <w:t>Hunter New England Local Health District</w:t>
      </w:r>
      <w:r w:rsidRPr="00D416A8">
        <w:rPr>
          <w:rFonts w:ascii="Times New Roman" w:hAnsi="Times New Roman" w:cs="Times New Roman"/>
          <w:sz w:val="24"/>
          <w:szCs w:val="24"/>
        </w:rPr>
        <w:t>.</w:t>
      </w:r>
    </w:p>
    <w:p w14:paraId="0BBD45B5" w14:textId="42C6F2A0" w:rsidR="00D505F4" w:rsidRDefault="001B16BD">
      <w:r w:rsidRPr="00D416A8">
        <w:rPr>
          <w:rFonts w:ascii="Times New Roman" w:hAnsi="Times New Roman" w:cs="Times New Roman"/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56CC0C" wp14:editId="4DDEE617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5724525" cy="4572000"/>
                <wp:effectExtent l="0" t="0" r="28575" b="19050"/>
                <wp:wrapTopAndBottom/>
                <wp:docPr id="185066959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4572000"/>
                          <a:chOff x="939165" y="0"/>
                          <a:chExt cx="4353560" cy="3874770"/>
                        </a:xfrm>
                      </wpg:grpSpPr>
                      <wps:wsp>
                        <wps:cNvPr id="2339025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39165" y="0"/>
                            <a:ext cx="2720954" cy="684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6EE48A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Total patients identified as receiving ICIs between 1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st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January 2010 and 1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st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January 2020 in the HNELHD</w:t>
                              </w:r>
                            </w:p>
                            <w:p w14:paraId="4E423622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F6F5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1,129</w:t>
                              </w:r>
                            </w:p>
                            <w:p w14:paraId="5D239270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38B5B598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F6F5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=1,129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134376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48690" y="1590675"/>
                            <a:ext cx="2720954" cy="683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D9BAA3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Patients treated with ICIs followed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up across study period</w:t>
                              </w:r>
                            </w:p>
                            <w:p w14:paraId="76D9FAC5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F6F5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1,085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0532955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39165" y="3190875"/>
                            <a:ext cx="2723691" cy="683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5A519D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4F6F5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Patients included in the final analysis</w:t>
                              </w:r>
                            </w:p>
                            <w:p w14:paraId="22F9ADE2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F6F5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1,080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4249395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30015" y="790575"/>
                            <a:ext cx="136271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A2F270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Patients not prescribed ICIs</w:t>
                              </w:r>
                            </w:p>
                            <w:p w14:paraId="5D3B7A64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F6F5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30770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30015" y="2390775"/>
                            <a:ext cx="136271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7E7454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Incomplete treatment data</w:t>
                              </w:r>
                            </w:p>
                            <w:p w14:paraId="3741A12B" w14:textId="77777777" w:rsidR="001B16BD" w:rsidRPr="004F6F52" w:rsidRDefault="001B16BD" w:rsidP="001B16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F6F5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6F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1984814166" name="Group 9"/>
                        <wpg:cNvGrpSpPr/>
                        <wpg:grpSpPr>
                          <a:xfrm>
                            <a:off x="2205990" y="685800"/>
                            <a:ext cx="1724025" cy="906780"/>
                            <a:chOff x="0" y="0"/>
                            <a:chExt cx="1724025" cy="906780"/>
                          </a:xfrm>
                        </wpg:grpSpPr>
                        <wps:wsp>
                          <wps:cNvPr id="2065262478" name="Straight Arrow Connector 7"/>
                          <wps:cNvCnPr/>
                          <wps:spPr>
                            <a:xfrm>
                              <a:off x="0" y="0"/>
                              <a:ext cx="0" cy="906780"/>
                            </a:xfrm>
                            <a:prstGeom prst="straightConnector1">
                              <a:avLst/>
                            </a:prstGeom>
                            <a:ln w="3492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7670540" name="Straight Arrow Connector 8"/>
                          <wps:cNvCnPr/>
                          <wps:spPr>
                            <a:xfrm>
                              <a:off x="0" y="447675"/>
                              <a:ext cx="1724025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dash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801920578" name="Group 9"/>
                        <wpg:cNvGrpSpPr/>
                        <wpg:grpSpPr>
                          <a:xfrm>
                            <a:off x="2205990" y="2286000"/>
                            <a:ext cx="1724025" cy="906780"/>
                            <a:chOff x="0" y="0"/>
                            <a:chExt cx="1724025" cy="906780"/>
                          </a:xfrm>
                        </wpg:grpSpPr>
                        <wps:wsp>
                          <wps:cNvPr id="2143604070" name="Straight Arrow Connector 7"/>
                          <wps:cNvCnPr/>
                          <wps:spPr>
                            <a:xfrm>
                              <a:off x="0" y="0"/>
                              <a:ext cx="0" cy="906780"/>
                            </a:xfrm>
                            <a:prstGeom prst="straightConnector1">
                              <a:avLst/>
                            </a:prstGeom>
                            <a:ln w="3492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0187622" name="Straight Arrow Connector 8"/>
                          <wps:cNvCnPr/>
                          <wps:spPr>
                            <a:xfrm>
                              <a:off x="0" y="447675"/>
                              <a:ext cx="1724025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dash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56CC0C" id="Group 10" o:spid="_x0000_s1026" style="position:absolute;margin-left:0;margin-top:22.45pt;width:450.75pt;height:5in;z-index:251659264;mso-width-relative:margin;mso-height-relative:margin" coordorigin="9391" coordsize="43535,38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9391;width:27210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" strokeweight="1.5pt">
                  <v:textbox>
                    <w:txbxContent>
                      <w:p w14:paraId="196EE48A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Total patients identified as receiving ICIs between 1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perscript"/>
                          </w:rPr>
                          <w:t>st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January 2010 and 1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perscript"/>
                          </w:rPr>
                          <w:t>st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January 2020 in the HNELHD</w:t>
                        </w:r>
                      </w:p>
                      <w:p w14:paraId="4E423622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6F52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1,129</w:t>
                        </w:r>
                      </w:p>
                      <w:p w14:paraId="5D239270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38B5B598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6F52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N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=1,129</w:t>
                        </w:r>
                      </w:p>
                    </w:txbxContent>
                  </v:textbox>
                </v:shape>
                <v:shape id="Text Box 2" o:spid="_x0000_s1028" type="#_x0000_t202" style="position:absolute;left:9486;top:15906;width:27210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" strokeweight="1.5pt">
                  <v:textbox>
                    <w:txbxContent>
                      <w:p w14:paraId="77D9BAA3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Patients treated with ICIs followed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up across study period</w:t>
                        </w:r>
                      </w:p>
                      <w:p w14:paraId="76D9FAC5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6F52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1,085</w:t>
                        </w:r>
                      </w:p>
                    </w:txbxContent>
                  </v:textbox>
                </v:shape>
                <v:shape id="Text Box 2" o:spid="_x0000_s1029" type="#_x0000_t202" style="position:absolute;left:9391;top:31908;width:27237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" strokeweight="1.5pt">
                  <v:textbox>
                    <w:txbxContent>
                      <w:p w14:paraId="0B5A519D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F6F52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Patients included in the final analysis</w:t>
                        </w:r>
                      </w:p>
                      <w:p w14:paraId="22F9ADE2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6F52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1,080</w:t>
                        </w:r>
                      </w:p>
                    </w:txbxContent>
                  </v:textbox>
                </v:shape>
                <v:shape id="Text Box 2" o:spid="_x0000_s1030" type="#_x0000_t202" style="position:absolute;left:39300;top:7905;width:13627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" strokeweight="1.5pt">
                  <v:textbox>
                    <w:txbxContent>
                      <w:p w14:paraId="43A2F270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Patients not prescribed ICIs</w:t>
                        </w:r>
                      </w:p>
                      <w:p w14:paraId="5D3B7A64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6F52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44</w:t>
                        </w:r>
                      </w:p>
                    </w:txbxContent>
                  </v:textbox>
                </v:shape>
                <v:shape id="Text Box 2" o:spid="_x0000_s1031" type="#_x0000_t202" style="position:absolute;left:39300;top:23907;width:13627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" strokeweight="1.5pt">
                  <v:textbox>
                    <w:txbxContent>
                      <w:p w14:paraId="3D7E7454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Incomplete treatment data</w:t>
                        </w:r>
                      </w:p>
                      <w:p w14:paraId="3741A12B" w14:textId="77777777" w:rsidR="001B16BD" w:rsidRPr="004F6F52" w:rsidRDefault="001B16BD" w:rsidP="001B16B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F6F52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F6F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  <v:group id="Group 9" o:spid="_x0000_s1032" style="position:absolute;left:22059;top:6858;width:17241;height:9067" coordsize="17240,9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7" o:spid="_x0000_s1033" type="#_x0000_t32" style="position:absolute;width:0;height:90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" strokecolor="black [3213]" strokeweight="2.75pt">
                    <v:stroke endarrow="block" joinstyle="miter"/>
                  </v:shape>
                  <v:shape id="Straight Arrow Connector 8" o:spid="_x0000_s1034" type="#_x0000_t32" style="position:absolute;top:4476;width:17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" strokecolor="black [3213]" strokeweight="1.5pt">
                    <v:stroke dashstyle="dash" endarrow="block" joinstyle="miter"/>
                  </v:shape>
                </v:group>
                <v:group id="Group 9" o:spid="_x0000_s1035" style="position:absolute;left:22059;top:22860;width:17241;height:9067" coordsize="17240,9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">
                  <v:shape id="Straight Arrow Connector 7" o:spid="_x0000_s1036" type="#_x0000_t32" style="position:absolute;width:0;height:90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" strokecolor="black [3213]" strokeweight="2.75pt">
                    <v:stroke endarrow="block" joinstyle="miter"/>
                  </v:shape>
                  <v:shape id="Straight Arrow Connector 8" o:spid="_x0000_s1037" type="#_x0000_t32" style="position:absolute;top:4476;width:17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" strokecolor="black [3213]" strokeweight="1.5pt">
                    <v:stroke dashstyle="dash" endarrow="block" joinstyle="miter"/>
                  </v:shape>
                </v:group>
                <w10:wrap type="topAndBottom"/>
              </v:group>
            </w:pict>
          </mc:Fallback>
        </mc:AlternateContent>
      </w:r>
    </w:p>
    <w:sectPr w:rsidR="00D50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00829" w14:textId="77777777" w:rsidR="00F5133C" w:rsidRDefault="00F5133C" w:rsidP="00526A9D">
      <w:pPr>
        <w:spacing w:after="0" w:line="240" w:lineRule="auto"/>
      </w:pPr>
      <w:r>
        <w:separator/>
      </w:r>
    </w:p>
  </w:endnote>
  <w:endnote w:type="continuationSeparator" w:id="0">
    <w:p w14:paraId="61177738" w14:textId="77777777" w:rsidR="00F5133C" w:rsidRDefault="00F5133C" w:rsidP="00526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07821" w14:textId="77777777" w:rsidR="00F5133C" w:rsidRDefault="00F5133C" w:rsidP="00526A9D">
      <w:pPr>
        <w:spacing w:after="0" w:line="240" w:lineRule="auto"/>
      </w:pPr>
      <w:r>
        <w:separator/>
      </w:r>
    </w:p>
  </w:footnote>
  <w:footnote w:type="continuationSeparator" w:id="0">
    <w:p w14:paraId="067024EA" w14:textId="77777777" w:rsidR="00F5133C" w:rsidRDefault="00F5133C" w:rsidP="00526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BD"/>
    <w:rsid w:val="00166248"/>
    <w:rsid w:val="001B16BD"/>
    <w:rsid w:val="003A2365"/>
    <w:rsid w:val="003C150A"/>
    <w:rsid w:val="003F2CEC"/>
    <w:rsid w:val="00446047"/>
    <w:rsid w:val="00526A9D"/>
    <w:rsid w:val="005B0371"/>
    <w:rsid w:val="007056D8"/>
    <w:rsid w:val="009B090B"/>
    <w:rsid w:val="00A973E2"/>
    <w:rsid w:val="00AE3B31"/>
    <w:rsid w:val="00C02160"/>
    <w:rsid w:val="00D10186"/>
    <w:rsid w:val="00D505F4"/>
    <w:rsid w:val="00DE127C"/>
    <w:rsid w:val="00E82552"/>
    <w:rsid w:val="00F5133C"/>
    <w:rsid w:val="00FE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60F8A"/>
  <w15:chartTrackingRefBased/>
  <w15:docId w15:val="{B13C0FD5-5A61-4723-A17D-26C7F17F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6B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6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6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6B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6B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6B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6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6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6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6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6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6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6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6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6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6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6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6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6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1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6B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1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6B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16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6B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16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6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6BD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1B16BD"/>
    <w:pPr>
      <w:spacing w:line="240" w:lineRule="auto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B16BD"/>
    <w:rPr>
      <w:rFonts w:ascii="Times New Roman" w:hAnsi="Times New Roman" w:cs="Times New Roman"/>
      <w:noProof/>
      <w:kern w:val="0"/>
      <w:sz w:val="20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B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26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A9D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6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A9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21C5FE2307E4BB26A6E080E2723CF" ma:contentTypeVersion="19" ma:contentTypeDescription="Create a new document." ma:contentTypeScope="" ma:versionID="58bd5d07d27de87d10c4029b887cc949">
  <xsd:schema xmlns:xsd="http://www.w3.org/2001/XMLSchema" xmlns:xs="http://www.w3.org/2001/XMLSchema" xmlns:p="http://schemas.microsoft.com/office/2006/metadata/properties" xmlns:ns2="b29d99cb-1585-4186-b2f0-ee3cca625cb9" xmlns:ns3="62531910-7ad3-4d11-85d1-ac356426fce2" xmlns:ns4="ae5394b7-e16c-4952-833f-5730ecb68a4d" targetNamespace="http://schemas.microsoft.com/office/2006/metadata/properties" ma:root="true" ma:fieldsID="0d9620097ad5c53c202581136c6ddf4a" ns2:_="" ns3:_="" ns4:_="">
    <xsd:import namespace="b29d99cb-1585-4186-b2f0-ee3cca625cb9"/>
    <xsd:import namespace="62531910-7ad3-4d11-85d1-ac356426fce2"/>
    <xsd:import namespace="ae5394b7-e16c-4952-833f-5730ecb68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d99cb-1585-4186-b2f0-ee3cca625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31910-7ad3-4d11-85d1-ac356426fce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94b7-e16c-4952-833f-5730ecb68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fe4a357-908b-4447-bfe4-1247b40e40d2}" ma:internalName="TaxCatchAll" ma:showField="CatchAllData" ma:web="62531910-7ad3-4d11-85d1-ac356426fc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5394b7-e16c-4952-833f-5730ecb68a4d" xsi:nil="true"/>
    <lcf76f155ced4ddcb4097134ff3c332f xmlns="b29d99cb-1585-4186-b2f0-ee3cca625c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5E135D-0E98-485C-A23E-DB79AC924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d99cb-1585-4186-b2f0-ee3cca625cb9"/>
    <ds:schemaRef ds:uri="62531910-7ad3-4d11-85d1-ac356426fce2"/>
    <ds:schemaRef ds:uri="ae5394b7-e16c-4952-833f-5730ecb68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75020-6CC2-4896-819C-C0B87EE71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5FE3F7-5E86-443B-9F05-766171A1C5AC}">
  <ds:schemaRefs>
    <ds:schemaRef ds:uri="http://schemas.microsoft.com/office/2006/metadata/properties"/>
    <ds:schemaRef ds:uri="http://schemas.microsoft.com/office/infopath/2007/PartnerControls"/>
    <ds:schemaRef ds:uri="ae5394b7-e16c-4952-833f-5730ecb68a4d"/>
    <ds:schemaRef ds:uri="b29d99cb-1585-4186-b2f0-ee3cca625c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465</Words>
  <Characters>2656</Characters>
  <Application>Microsoft Office Word</Application>
  <DocSecurity>0</DocSecurity>
  <Lines>22</Lines>
  <Paragraphs>6</Paragraphs>
  <ScaleCrop>false</ScaleCrop>
  <Company>The University of Newcastle, Australia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Bennetts</dc:creator>
  <cp:keywords/>
  <dc:description/>
  <cp:lastModifiedBy>Joshua Bennetts</cp:lastModifiedBy>
  <cp:revision>4</cp:revision>
  <dcterms:created xsi:type="dcterms:W3CDTF">2026-01-13T21:57:00Z</dcterms:created>
  <dcterms:modified xsi:type="dcterms:W3CDTF">2026-06-09T00:03:00Z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0x010100C0321C5FE2307E4BB26A6E080E2723CF</vt:lpwstr>
  </property>
  <property fmtid="{D5CDD505-2E9C-101B-9397-08002B2CF9AE}" pid="3" name="MediaServiceImageTags">
    <vt:lpwstr/>
  </property>
</Properties>
</file>