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754A2">
      <w:pPr>
        <w:spacing w:line="480" w:lineRule="auto"/>
        <w:jc w:val="center"/>
        <w:rPr>
          <w:rFonts w:ascii="Times New Roman" w:hAnsi="Times New Roman" w:cs="Times New Roman"/>
          <w:b/>
          <w:bCs/>
          <w:color w:val="auto"/>
          <w:lang w:eastAsia="zh-TW"/>
        </w:rPr>
      </w:pPr>
      <w:r>
        <w:rPr>
          <w:rFonts w:ascii="Times New Roman" w:hAnsi="Times New Roman" w:cs="Times New Roman"/>
          <w:b/>
          <w:bCs/>
          <w:color w:val="auto"/>
          <w:lang w:eastAsia="zh-TW"/>
        </w:rPr>
        <w:t>Supplementary</w:t>
      </w:r>
      <w:bookmarkStart w:id="0" w:name="OLE_LINK56"/>
      <w:bookmarkStart w:id="1" w:name="OLE_LINK57"/>
      <w:bookmarkStart w:id="2" w:name="OLE_LINK392"/>
      <w:bookmarkStart w:id="3" w:name="OLE_LINK391"/>
      <w:bookmarkStart w:id="4" w:name="OLE_LINK459"/>
      <w:bookmarkStart w:id="5" w:name="OLE_LINK247"/>
      <w:bookmarkStart w:id="6" w:name="OLE_LINK460"/>
      <w:bookmarkStart w:id="7" w:name="OLE_LINK248"/>
    </w:p>
    <w:p w14:paraId="1D184489">
      <w:pPr>
        <w:spacing w:line="480" w:lineRule="auto"/>
        <w:rPr>
          <w:rFonts w:ascii="Times New Roman" w:hAnsi="Times New Roman" w:cs="Times New Roman"/>
          <w:color w:val="auto"/>
          <w:szCs w:val="20"/>
        </w:rPr>
      </w:pPr>
      <w:r>
        <w:rPr>
          <w:rFonts w:ascii="Times New Roman" w:hAnsi="Times New Roman" w:cs="Times New Roman"/>
          <w:color w:val="auto"/>
          <w:szCs w:val="20"/>
        </w:rPr>
        <w:t xml:space="preserve">Supplementary 1: Search Strategy </w:t>
      </w:r>
    </w:p>
    <w:bookmarkEnd w:id="0"/>
    <w:bookmarkEnd w:id="1"/>
    <w:p w14:paraId="258083F1">
      <w:pPr>
        <w:rPr>
          <w:rFonts w:hint="eastAsia"/>
          <w:b/>
          <w:bCs/>
          <w:i/>
          <w:iCs/>
          <w:color w:val="auto"/>
          <w:sz w:val="20"/>
          <w:szCs w:val="20"/>
        </w:rPr>
      </w:pPr>
      <w:r>
        <w:rPr>
          <w:rFonts w:hint="eastAsia" w:ascii="Times New Roman" w:hAnsi="Times New Roman" w:cs="Times New Roman"/>
          <w:b/>
          <w:bCs/>
          <w:i/>
          <w:iCs/>
          <w:color w:val="auto"/>
          <w:sz w:val="20"/>
          <w:szCs w:val="20"/>
        </w:rPr>
        <w:t xml:space="preserve">1.1 </w:t>
      </w:r>
      <w:r>
        <w:rPr>
          <w:rFonts w:ascii="Times New Roman" w:hAnsi="Times New Roman" w:cs="Times New Roman"/>
          <w:b/>
          <w:bCs/>
          <w:i/>
          <w:iCs/>
          <w:color w:val="auto"/>
          <w:sz w:val="20"/>
          <w:szCs w:val="20"/>
        </w:rPr>
        <w:t>Search Strategy</w:t>
      </w:r>
      <w:r>
        <w:rPr>
          <w:rFonts w:hint="eastAsia" w:ascii="Times New Roman" w:hAnsi="Times New Roman" w:cs="Times New Roman"/>
          <w:b/>
          <w:bCs/>
          <w:i/>
          <w:iCs/>
          <w:color w:val="auto"/>
          <w:sz w:val="20"/>
          <w:szCs w:val="20"/>
        </w:rPr>
        <w:t xml:space="preserve"> (Pubmed)</w:t>
      </w:r>
      <w:r>
        <w:rPr>
          <w:rFonts w:ascii="Times New Roman" w:hAnsi="Times New Roman" w:cs="Times New Roman"/>
          <w:b/>
          <w:bCs/>
          <w:i/>
          <w:iCs/>
          <w:color w:val="auto"/>
          <w:sz w:val="20"/>
          <w:szCs w:val="20"/>
        </w:rPr>
        <w:t xml:space="preserve">: </w:t>
      </w:r>
    </w:p>
    <w:tbl>
      <w:tblPr>
        <w:tblStyle w:val="22"/>
        <w:tblW w:w="7930" w:type="dxa"/>
        <w:jc w:val="center"/>
        <w:tblCellSpacing w:w="15" w:type="dxa"/>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Layout w:type="fixed"/>
        <w:tblCellMar>
          <w:top w:w="15" w:type="dxa"/>
          <w:left w:w="15" w:type="dxa"/>
          <w:bottom w:w="15" w:type="dxa"/>
          <w:right w:w="15" w:type="dxa"/>
        </w:tblCellMar>
      </w:tblPr>
      <w:tblGrid>
        <w:gridCol w:w="701"/>
        <w:gridCol w:w="7229"/>
      </w:tblGrid>
      <w:tr w14:paraId="617BD20C">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PrEx>
        <w:trPr>
          <w:tblCellSpacing w:w="15" w:type="dxa"/>
          <w:jc w:val="center"/>
        </w:trPr>
        <w:tc>
          <w:tcPr>
            <w:tcW w:w="656" w:type="dxa"/>
            <w:shd w:val="clear" w:color="auto" w:fill="FFFFFF"/>
            <w:tcMar>
              <w:top w:w="120" w:type="dxa"/>
              <w:left w:w="150" w:type="dxa"/>
              <w:bottom w:w="120" w:type="dxa"/>
              <w:right w:w="150" w:type="dxa"/>
            </w:tcMar>
          </w:tcPr>
          <w:p w14:paraId="3198F174">
            <w:pPr>
              <w:jc w:val="center"/>
              <w:rPr>
                <w:rFonts w:ascii="Times New Roman" w:hAnsi="Times New Roman" w:cs="Times New Roman"/>
                <w:color w:val="auto"/>
                <w:sz w:val="20"/>
                <w:szCs w:val="20"/>
              </w:rPr>
            </w:pPr>
            <w:bookmarkStart w:id="8" w:name="_Hlk70075667"/>
            <w:r>
              <w:rPr>
                <w:rFonts w:ascii="Times New Roman" w:hAnsi="Times New Roman" w:cs="Times New Roman"/>
                <w:color w:val="auto"/>
                <w:sz w:val="20"/>
                <w:szCs w:val="20"/>
              </w:rPr>
              <w:t>#</w:t>
            </w:r>
            <w:r>
              <w:rPr>
                <w:rFonts w:hint="eastAsia" w:ascii="Times New Roman" w:hAnsi="Times New Roman" w:cs="Times New Roman"/>
                <w:color w:val="auto"/>
                <w:sz w:val="20"/>
                <w:szCs w:val="20"/>
              </w:rPr>
              <w:t>18</w:t>
            </w:r>
          </w:p>
        </w:tc>
        <w:tc>
          <w:tcPr>
            <w:tcW w:w="7184" w:type="dxa"/>
            <w:shd w:val="clear" w:color="auto" w:fill="FFFFFF"/>
            <w:tcMar>
              <w:top w:w="120" w:type="dxa"/>
              <w:left w:w="150" w:type="dxa"/>
              <w:bottom w:w="120" w:type="dxa"/>
              <w:right w:w="150" w:type="dxa"/>
            </w:tcMar>
          </w:tcPr>
          <w:p w14:paraId="6A7A2EBE">
            <w:pPr>
              <w:rPr>
                <w:rFonts w:ascii="Times New Roman" w:hAnsi="Times New Roman" w:cs="Times New Roman"/>
                <w:color w:val="auto"/>
                <w:sz w:val="20"/>
                <w:szCs w:val="20"/>
              </w:rPr>
            </w:pPr>
            <w:r>
              <w:rPr>
                <w:rFonts w:ascii="Times New Roman" w:hAnsi="Times New Roman" w:cs="Times New Roman"/>
                <w:color w:val="auto"/>
                <w:sz w:val="20"/>
                <w:szCs w:val="20"/>
              </w:rPr>
              <w:t>Search: (((((((((((((((((Neoplasms[MeSH Terms]) OR (Tumors[Title/Abstract])) OR (Neoplasia[Title/Abstract])) OR (Neoplasias[Title/Abstract])) OR (Neoplasm[Title/Abstract])) OR (Tumor[Title/Abstract])) OR (Cancer[Title/Abstract])) OR (Cancers[Title/Abstract])) OR ("Malignant Neoplasm"[Title/Abstract])) OR (Malignancy[Title/Abstract])) OR (Malignancies[Title/Abstract])) OR ("Malignant Neoplasms"[Title/Abstract])) OR ("Benign Neoplasms"[Title/Abstract])) OR ("Benign Neoplasm"[Title/Abstract])) OR ("Cancer Survivor"[Title/Abstract])) AND ((((((((( ("Acupuncture"[Mesh]) OR ((((((((((((((((((((((((((((((Pharmacopuncture[Title/Abstract]) OR (Massage[Title/Abstract])) OR (Zone Therapy[Title/Abstract])) OR (Therapies, Zone[Title/Abstract])) OR (Zone Therapies[Title/Abstract])) OR (Therapy, Zone[Title/Abstract])) OR (Massage Therapy[Title/Abstract])) OR (Massage Therapies[Title/Abstract])) OR (Therapies, Massage[Title/Abstract])) OR (Therapy, Massage[Title/Abstract])) OR (Tuina[Title/Abstract])) OR (Qigong[Title/Abstract])) OR (Ch'i Kung[Title/Abstract])) OR (Qi Gong[Title/Abstract])) OR (Baduanjin[Title/Abstract])) OR (Wuqinxi[Title/Abstract])) OR (Liuzijue[Title/Abstract])) OR (Yi Jin Jing[Title/Abstract])) OR (Tai Ji[Title/Abstract])) OR (Tai-ji[Title/Abstract])) OR (Tai Chi[Title/Abstract])) OR (Chi, Tai[Title/Abstract])) OR (Tai Chi Chuan[Title/Abstract])) OR (Taiji[Title/Abstract])) OR (Taijiquan[Title/Abstract])) OR (T'ai Chi[Title/Abstract])) OR (Tai Ji Quan[Title/Abstract])) OR (Ji Quan, Tai[Title/Abstract])) OR (Quan, Tai Ji[Title/Abstract])) OR (Traditional Chinese medicine emotional therapy[Title/Abstract]))) OR (Moxibustion[MeSH Terms])) OR (Mind-Body Therapies[MeSH Terms])) OR (Tai Ji[MeSH Terms])) OR (Qigong[MeSH Terms])) OR (Medicine, Chinese Traditional[MeSH Terms])) OR (moxibustion[Title/Abstract])) OR ("Chinese massage"[Title/Abstract])) OR ("traditional Chinese medicine"[Title/Abstract]))) AND (((((((((((((((((((Depression[MeSH Terms]) OR (Anxiety[MeSH Terms])) OR (Mood Disorders[MeSH Terms])) OR (Sleep[MeSH Terms])) OR (Quality of Life[MeSH Terms])) OR (depression[Title/Abstract])) OR (depressive[Title/Abstract])) OR (depress*[Title/Abstract])) OR (anxiety[Title/Abstract])) OR (anxious[Title/Abstract])) OR (anxi*[Title/Abstract])) OR (mood[Title/Abstract])) OR (emotion*[Title/Abstract])) OR ("sleep quality"[Title/Abstract])) OR (insomnia[Title/Abstract])) OR ("quality of life"[Title/Abstract])) OR (QoL[Title/Abstract])) OR (wellbeing[Title/Abstract])) OR (well-being[Title/Abstract]))) AND ((randomized controlled trial[pt] OR controlled clinical trial[pt] OR randomized[tiab] OR placebo[tiab] OR drug therapy[sh] OR randomly[tiab] OR trial[tiab] OR groups[tiab]) NOT (animals[mh] NOT humans[mh]))</w:t>
            </w:r>
          </w:p>
        </w:tc>
      </w:tr>
      <w:tr w14:paraId="509F7D6E">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28A4FDE1">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r>
              <w:rPr>
                <w:rFonts w:hint="eastAsia" w:ascii="Times New Roman" w:hAnsi="Times New Roman" w:cs="Times New Roman"/>
                <w:color w:val="auto"/>
                <w:sz w:val="20"/>
                <w:szCs w:val="20"/>
              </w:rPr>
              <w:t>17</w:t>
            </w:r>
          </w:p>
        </w:tc>
        <w:tc>
          <w:tcPr>
            <w:tcW w:w="7184" w:type="dxa"/>
            <w:shd w:val="clear" w:color="auto" w:fill="FFFFFF"/>
            <w:tcMar>
              <w:top w:w="120" w:type="dxa"/>
              <w:left w:w="150" w:type="dxa"/>
              <w:bottom w:w="120" w:type="dxa"/>
              <w:right w:w="150" w:type="dxa"/>
            </w:tcMar>
          </w:tcPr>
          <w:p w14:paraId="05AFEAF7">
            <w:pPr>
              <w:rPr>
                <w:rFonts w:ascii="Times New Roman" w:hAnsi="Times New Roman" w:cs="Times New Roman"/>
                <w:color w:val="auto"/>
                <w:sz w:val="20"/>
                <w:szCs w:val="20"/>
              </w:rPr>
            </w:pPr>
            <w:r>
              <w:rPr>
                <w:rFonts w:ascii="Times New Roman" w:hAnsi="Times New Roman" w:cs="Times New Roman"/>
                <w:color w:val="auto"/>
                <w:sz w:val="20"/>
                <w:szCs w:val="20"/>
              </w:rPr>
              <w:t>Search: (randomized controlled trial[pt] OR controlled clinical trial[pt] OR randomized[tiab] OR placebo[tiab] OR drug therapy[sh] OR randomly[tiab] OR trial[tiab] OR groups[tiab]) NOT (animals[mh] NOT humans[mh])</w:t>
            </w:r>
          </w:p>
        </w:tc>
      </w:tr>
      <w:tr w14:paraId="4C4FB266">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7F4300BA">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r>
              <w:rPr>
                <w:rFonts w:hint="eastAsia" w:ascii="Times New Roman" w:hAnsi="Times New Roman" w:cs="Times New Roman"/>
                <w:color w:val="auto"/>
                <w:sz w:val="20"/>
                <w:szCs w:val="20"/>
              </w:rPr>
              <w:t>16</w:t>
            </w:r>
          </w:p>
        </w:tc>
        <w:tc>
          <w:tcPr>
            <w:tcW w:w="7184" w:type="dxa"/>
            <w:shd w:val="clear" w:color="auto" w:fill="FFFFFF"/>
            <w:tcMar>
              <w:top w:w="120" w:type="dxa"/>
              <w:left w:w="150" w:type="dxa"/>
              <w:bottom w:w="120" w:type="dxa"/>
              <w:right w:w="150" w:type="dxa"/>
            </w:tcMar>
          </w:tcPr>
          <w:p w14:paraId="7865EAB5">
            <w:pPr>
              <w:rPr>
                <w:rFonts w:ascii="Times New Roman" w:hAnsi="Times New Roman" w:cs="Times New Roman"/>
                <w:color w:val="auto"/>
                <w:sz w:val="20"/>
                <w:szCs w:val="20"/>
              </w:rPr>
            </w:pPr>
            <w:r>
              <w:rPr>
                <w:rFonts w:ascii="Times New Roman" w:hAnsi="Times New Roman" w:cs="Times New Roman"/>
                <w:color w:val="auto"/>
                <w:sz w:val="20"/>
                <w:szCs w:val="20"/>
              </w:rPr>
              <w:t>Search: ((((((((((((((((((Depression[MeSH Terms]) OR (Anxiety[MeSH Terms])) OR (Mood Disorders[MeSH Terms])) OR (Sleep[MeSH Terms])) OR (Quality of Life[MeSH Terms])) OR (depression[Title/Abstract])) OR (depressive[Title/Abstract])) OR (depress*[Title/Abstract])) OR (anxiety[Title/Abstract])) OR (anxious[Title/Abstract])) OR (anxi*[Title/Abstract])) OR (mood[Title/Abstract])) OR (emotion*[Title/Abstract])) OR ("sleep quality"[Title/Abstract])) OR (insomnia[Title/Abstract])) OR ("quality of life"[Title/Abstract])) OR (QoL[Title/Abstract])) OR (wellbeing[Title/Abstract])) OR (well-being[Title/Abstract])</w:t>
            </w:r>
          </w:p>
        </w:tc>
      </w:tr>
      <w:tr w14:paraId="789A52A4">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48D770BA">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r>
              <w:rPr>
                <w:rFonts w:hint="eastAsia" w:ascii="Times New Roman" w:hAnsi="Times New Roman" w:cs="Times New Roman"/>
                <w:color w:val="auto"/>
                <w:sz w:val="20"/>
                <w:szCs w:val="20"/>
              </w:rPr>
              <w:t>15</w:t>
            </w:r>
          </w:p>
        </w:tc>
        <w:tc>
          <w:tcPr>
            <w:tcW w:w="7184" w:type="dxa"/>
            <w:shd w:val="clear" w:color="auto" w:fill="FFFFFF"/>
            <w:tcMar>
              <w:top w:w="120" w:type="dxa"/>
              <w:left w:w="150" w:type="dxa"/>
              <w:bottom w:w="120" w:type="dxa"/>
              <w:right w:w="150" w:type="dxa"/>
            </w:tcMar>
          </w:tcPr>
          <w:p w14:paraId="34336B2B">
            <w:pPr>
              <w:rPr>
                <w:rFonts w:ascii="Times New Roman" w:hAnsi="Times New Roman" w:cs="Times New Roman"/>
                <w:color w:val="auto"/>
                <w:sz w:val="20"/>
                <w:szCs w:val="20"/>
              </w:rPr>
            </w:pPr>
            <w:r>
              <w:rPr>
                <w:rFonts w:ascii="Times New Roman" w:hAnsi="Times New Roman" w:cs="Times New Roman"/>
                <w:color w:val="auto"/>
                <w:sz w:val="20"/>
                <w:szCs w:val="20"/>
              </w:rPr>
              <w:t>Search: (depression[Title/Abstract])) OR (depressive[Title/Abstract])) OR (depress*[Title/Abstract])) OR (anxiety[Title/Abstract])) OR (anxious[Title/Abstract])) OR (anxi*[Title/Abstract])) OR (mood[Title/Abstract])) OR (emotion*[Title/Abstract])) OR ("sleep quality"[Title/Abstract])) OR (insomnia[Title/Abstract])) OR ("quality of life"[Title/Abstract])) OR (QoL[Title/Abstract])) OR (wellbeing[Title/Abstract])) OR (well-being[Title/Abstract])</w:t>
            </w:r>
          </w:p>
        </w:tc>
      </w:tr>
      <w:tr w14:paraId="3AE51F48">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66BBE129">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r>
              <w:rPr>
                <w:rFonts w:hint="eastAsia" w:ascii="Times New Roman" w:hAnsi="Times New Roman" w:cs="Times New Roman"/>
                <w:color w:val="auto"/>
                <w:sz w:val="20"/>
                <w:szCs w:val="20"/>
              </w:rPr>
              <w:t>14</w:t>
            </w:r>
          </w:p>
        </w:tc>
        <w:tc>
          <w:tcPr>
            <w:tcW w:w="7184" w:type="dxa"/>
            <w:shd w:val="clear" w:color="auto" w:fill="FFFFFF"/>
            <w:tcMar>
              <w:top w:w="120" w:type="dxa"/>
              <w:left w:w="150" w:type="dxa"/>
              <w:bottom w:w="120" w:type="dxa"/>
              <w:right w:w="150" w:type="dxa"/>
            </w:tcMar>
          </w:tcPr>
          <w:p w14:paraId="5A4997F5">
            <w:pPr>
              <w:rPr>
                <w:rFonts w:ascii="Times New Roman" w:hAnsi="Times New Roman" w:cs="Times New Roman"/>
                <w:color w:val="auto"/>
                <w:sz w:val="20"/>
                <w:szCs w:val="20"/>
              </w:rPr>
            </w:pPr>
            <w:r>
              <w:rPr>
                <w:rFonts w:ascii="Times New Roman" w:hAnsi="Times New Roman" w:cs="Times New Roman"/>
                <w:color w:val="auto"/>
                <w:sz w:val="20"/>
                <w:szCs w:val="20"/>
              </w:rPr>
              <w:t>Search: Quality of Life[MeSH Terms]</w:t>
            </w:r>
          </w:p>
        </w:tc>
      </w:tr>
      <w:tr w14:paraId="746DE7D1">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2E4241E3">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r>
              <w:rPr>
                <w:rFonts w:hint="eastAsia" w:ascii="Times New Roman" w:hAnsi="Times New Roman" w:cs="Times New Roman"/>
                <w:color w:val="auto"/>
                <w:sz w:val="20"/>
                <w:szCs w:val="20"/>
              </w:rPr>
              <w:t>13</w:t>
            </w:r>
          </w:p>
        </w:tc>
        <w:tc>
          <w:tcPr>
            <w:tcW w:w="7184" w:type="dxa"/>
            <w:shd w:val="clear" w:color="auto" w:fill="FFFFFF"/>
            <w:tcMar>
              <w:top w:w="120" w:type="dxa"/>
              <w:left w:w="150" w:type="dxa"/>
              <w:bottom w:w="120" w:type="dxa"/>
              <w:right w:w="150" w:type="dxa"/>
            </w:tcMar>
          </w:tcPr>
          <w:p w14:paraId="4010B294">
            <w:pPr>
              <w:rPr>
                <w:rFonts w:ascii="Times New Roman" w:hAnsi="Times New Roman" w:cs="Times New Roman"/>
                <w:color w:val="auto"/>
                <w:sz w:val="20"/>
                <w:szCs w:val="20"/>
              </w:rPr>
            </w:pPr>
            <w:r>
              <w:rPr>
                <w:rFonts w:ascii="Times New Roman" w:hAnsi="Times New Roman" w:cs="Times New Roman"/>
                <w:color w:val="auto"/>
                <w:sz w:val="20"/>
                <w:szCs w:val="20"/>
              </w:rPr>
              <w:t>Search: Mood Disorders[MeSH Terms]</w:t>
            </w:r>
          </w:p>
        </w:tc>
      </w:tr>
      <w:tr w14:paraId="0D78A174">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08522847">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r>
              <w:rPr>
                <w:rFonts w:hint="eastAsia" w:ascii="Times New Roman" w:hAnsi="Times New Roman" w:cs="Times New Roman"/>
                <w:color w:val="auto"/>
                <w:sz w:val="20"/>
                <w:szCs w:val="20"/>
              </w:rPr>
              <w:t>12</w:t>
            </w:r>
          </w:p>
        </w:tc>
        <w:tc>
          <w:tcPr>
            <w:tcW w:w="7184" w:type="dxa"/>
            <w:shd w:val="clear" w:color="auto" w:fill="FFFFFF"/>
            <w:tcMar>
              <w:top w:w="120" w:type="dxa"/>
              <w:left w:w="150" w:type="dxa"/>
              <w:bottom w:w="120" w:type="dxa"/>
              <w:right w:w="150" w:type="dxa"/>
            </w:tcMar>
          </w:tcPr>
          <w:p w14:paraId="43877262">
            <w:pPr>
              <w:rPr>
                <w:rFonts w:ascii="Times New Roman" w:hAnsi="Times New Roman" w:cs="Times New Roman"/>
                <w:color w:val="auto"/>
                <w:sz w:val="20"/>
                <w:szCs w:val="20"/>
              </w:rPr>
            </w:pPr>
            <w:r>
              <w:rPr>
                <w:rFonts w:ascii="Times New Roman" w:hAnsi="Times New Roman" w:cs="Times New Roman"/>
                <w:color w:val="auto"/>
                <w:sz w:val="20"/>
                <w:szCs w:val="20"/>
              </w:rPr>
              <w:t>Search: Anxiety[MeSH Terms]</w:t>
            </w:r>
          </w:p>
        </w:tc>
      </w:tr>
      <w:tr w14:paraId="777A990B">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7EEB8677">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r>
              <w:rPr>
                <w:rFonts w:hint="eastAsia" w:ascii="Times New Roman" w:hAnsi="Times New Roman" w:cs="Times New Roman"/>
                <w:color w:val="auto"/>
                <w:sz w:val="20"/>
                <w:szCs w:val="20"/>
              </w:rPr>
              <w:t>11</w:t>
            </w:r>
          </w:p>
        </w:tc>
        <w:tc>
          <w:tcPr>
            <w:tcW w:w="7184" w:type="dxa"/>
            <w:shd w:val="clear" w:color="auto" w:fill="FFFFFF"/>
            <w:tcMar>
              <w:top w:w="120" w:type="dxa"/>
              <w:left w:w="150" w:type="dxa"/>
              <w:bottom w:w="120" w:type="dxa"/>
              <w:right w:w="150" w:type="dxa"/>
            </w:tcMar>
          </w:tcPr>
          <w:p w14:paraId="5B033D7F">
            <w:pPr>
              <w:rPr>
                <w:rFonts w:ascii="Times New Roman" w:hAnsi="Times New Roman" w:cs="Times New Roman"/>
                <w:color w:val="auto"/>
                <w:sz w:val="20"/>
                <w:szCs w:val="20"/>
              </w:rPr>
            </w:pPr>
            <w:r>
              <w:rPr>
                <w:rFonts w:ascii="Times New Roman" w:hAnsi="Times New Roman" w:cs="Times New Roman"/>
                <w:color w:val="auto"/>
                <w:sz w:val="20"/>
                <w:szCs w:val="20"/>
              </w:rPr>
              <w:t>Search: Depression[MeSH Terms]</w:t>
            </w:r>
          </w:p>
        </w:tc>
      </w:tr>
      <w:tr w14:paraId="216E7F5C">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2AB1AEC3">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r>
              <w:rPr>
                <w:rFonts w:hint="eastAsia" w:ascii="Times New Roman" w:hAnsi="Times New Roman" w:cs="Times New Roman"/>
                <w:color w:val="auto"/>
                <w:sz w:val="20"/>
                <w:szCs w:val="20"/>
              </w:rPr>
              <w:t>10</w:t>
            </w:r>
          </w:p>
        </w:tc>
        <w:tc>
          <w:tcPr>
            <w:tcW w:w="7184" w:type="dxa"/>
            <w:shd w:val="clear" w:color="auto" w:fill="FFFFFF"/>
            <w:tcMar>
              <w:top w:w="120" w:type="dxa"/>
              <w:left w:w="150" w:type="dxa"/>
              <w:bottom w:w="120" w:type="dxa"/>
              <w:right w:w="150" w:type="dxa"/>
            </w:tcMar>
          </w:tcPr>
          <w:p w14:paraId="6F19F913">
            <w:pPr>
              <w:rPr>
                <w:rFonts w:ascii="Times New Roman" w:hAnsi="Times New Roman" w:cs="Times New Roman"/>
                <w:color w:val="auto"/>
                <w:sz w:val="20"/>
                <w:szCs w:val="20"/>
              </w:rPr>
            </w:pPr>
            <w:r>
              <w:rPr>
                <w:rFonts w:ascii="Times New Roman" w:hAnsi="Times New Roman" w:cs="Times New Roman"/>
                <w:color w:val="auto"/>
                <w:sz w:val="20"/>
                <w:szCs w:val="20"/>
              </w:rPr>
              <w:t>Search:(((((((( ("Acupuncture"[Mesh]) OR ((((((((((((((((((((((((((((((Pharmacopuncture[Title/Abstract]) OR (Massage[Title/Abstract])) OR (Zone Therapy[Title/Abstract])) OR (Therapies, Zone[Title/Abstract])) OR (Zone Therapies[Title/Abstract])) OR (Therapy, Zone[Title/Abstract])) OR (Massage Therapy[Title/Abstract])) OR (Massage Therapies[Title/Abstract])) OR (Therapies, Massage[Title/Abstract])) OR (Therapy, Massage[Title/Abstract])) OR (Tuina[Title/Abstract])) OR (Qigong[Title/Abstract])) OR (Ch'i Kung[Title/Abstract])) OR (Qi Gong[Title/Abstract])) OR (Baduanjin[Title/Abstract])) OR (Wuqinxi[Title/Abstract])) OR (Liuzijue[Title/Abstract])) OR (Yi Jin Jing[Title/Abstract])) OR (Tai Ji[Title/Abstract])) OR (Tai-ji[Title/Abstract])) OR (Tai Chi[Title/Abstract])) OR (Chi, Tai[Title/Abstract])) OR (Tai Chi Chuan[Title/Abstract])) OR (Taiji[Title/Abstract])) OR (Taijiquan[Title/Abstract])) OR (T'ai Chi[Title/Abstract])) OR (Tai Ji Quan[Title/Abstract])) OR (Ji Quan, Tai[Title/Abstract])) OR (Quan, Tai Ji[Title/Abstract])) OR (Traditional Chinese medicine emotional therapy[Title/Abstract]))) OR (Moxibustion[MeSH Terms])) OR (Mind-Body Therapies[MeSH Terms])) OR (Tai Ji[MeSH Terms])) OR (Qigong[MeSH Terms])) OR (Medicine, Chinese Traditional[MeSH Terms])) OR (moxibustion[Title/Abstract])) OR (Acupressure[Title/Abstract])) OR ("Gua sha"[Title/Abstract])) OR ("Chinese massage"[Title/Abstract])) OR ("traditional Chinese medicine"[Title/Abstract])</w:t>
            </w:r>
          </w:p>
        </w:tc>
      </w:tr>
      <w:tr w14:paraId="547C4CE4">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55087802">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r>
              <w:rPr>
                <w:rFonts w:hint="eastAsia" w:ascii="Times New Roman" w:hAnsi="Times New Roman" w:cs="Times New Roman"/>
                <w:color w:val="auto"/>
                <w:sz w:val="20"/>
                <w:szCs w:val="20"/>
              </w:rPr>
              <w:t>9</w:t>
            </w:r>
          </w:p>
        </w:tc>
        <w:tc>
          <w:tcPr>
            <w:tcW w:w="7184" w:type="dxa"/>
            <w:shd w:val="clear" w:color="auto" w:fill="FFFFFF"/>
            <w:tcMar>
              <w:top w:w="120" w:type="dxa"/>
              <w:left w:w="150" w:type="dxa"/>
              <w:bottom w:w="120" w:type="dxa"/>
              <w:right w:w="150" w:type="dxa"/>
            </w:tcMar>
          </w:tcPr>
          <w:p w14:paraId="66B4A904">
            <w:pPr>
              <w:rPr>
                <w:rFonts w:ascii="Times New Roman" w:hAnsi="Times New Roman" w:cs="Times New Roman"/>
                <w:color w:val="auto"/>
                <w:sz w:val="20"/>
                <w:szCs w:val="20"/>
              </w:rPr>
            </w:pPr>
            <w:r>
              <w:rPr>
                <w:rFonts w:ascii="Times New Roman" w:hAnsi="Times New Roman" w:cs="Times New Roman"/>
                <w:color w:val="auto"/>
                <w:sz w:val="20"/>
                <w:szCs w:val="20"/>
              </w:rPr>
              <w:t>Search:</w:t>
            </w:r>
            <w:r>
              <w:rPr>
                <w:rFonts w:hint="eastAsia" w:ascii="Times New Roman" w:hAnsi="Times New Roman" w:cs="Times New Roman"/>
                <w:color w:val="auto"/>
                <w:sz w:val="20"/>
                <w:szCs w:val="20"/>
              </w:rPr>
              <w:t xml:space="preserve"> </w:t>
            </w:r>
            <w:r>
              <w:rPr>
                <w:rFonts w:ascii="Times New Roman" w:hAnsi="Times New Roman" w:cs="Times New Roman"/>
                <w:color w:val="auto"/>
                <w:sz w:val="20"/>
                <w:szCs w:val="20"/>
              </w:rPr>
              <w:t>(Pharmacopuncture[Title/Abstract]) OR (Massage[Title/Abstract])) OR (Zone Therapy[Title/Abstract])) OR (Therapies, Zone[Title/Abstract])) OR (Zone Therapies[Title/Abstract])) OR (Therapy, Zone[Title/Abstract])) OR (Massage Therapy[Title/Abstract])) OR (Massage Therapies[Title/Abstract])) OR (Therapies, Massage[Title/Abstract])) OR (Therapy, Massage[Title/Abstract])) OR (Tuina[Title/Abstract])) OR (Qigong[Title/Abstract])) OR (Ch'i Kung[Title/Abstract])) OR (Qi Gong[Title/Abstract])) OR (Baduanjin[Title/Abstract])) OR (Wuqinxi[Title/Abstract])) OR (Liuzijue[Title/Abstract])) OR (Yi Jin Jing[Title/Abstract])) OR (Tai Ji[Title/Abstract])) OR (Tai-ji[Title/Abstract])) OR (Tai Chi[Title/Abstract])) OR (Chi, Tai[Title/Abstract])) OR (Tai Chi Chuan[Title/Abstract])) OR (Taiji[Title/Abstract])) OR (Taijiquan[Title/Abstract])) OR (T'ai Chi[Title/Abstract])) OR (Tai Ji Quan[Title/Abstract])) OR (Ji Quan, Tai[Title/Abstract])) OR (Quan, Tai Ji[Title/Abstract])) OR (Traditional Chinese medicine emotional therapy[Title/Abstract]))) OR (Tai Ji[MeSH Terms])) OR (Qigong[MeSH Terms])) OR (Medicine, Chinese Traditional[MeSH Terms])) OR (moxibustion[Title/Abstract])) OR (Acupressure[Title/Abstract])) OR ("Gua sha"[Title/Abstract])) OR ("Chinese massage"[Title/Abstract])) OR ("traditional Chinese medicine"[Title/Abstract])</w:t>
            </w:r>
          </w:p>
        </w:tc>
      </w:tr>
      <w:tr w14:paraId="46848D61">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4BC98FED">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r>
              <w:rPr>
                <w:rFonts w:hint="eastAsia" w:ascii="Times New Roman" w:hAnsi="Times New Roman" w:cs="Times New Roman"/>
                <w:color w:val="auto"/>
                <w:sz w:val="20"/>
                <w:szCs w:val="20"/>
              </w:rPr>
              <w:t>8</w:t>
            </w:r>
          </w:p>
        </w:tc>
        <w:tc>
          <w:tcPr>
            <w:tcW w:w="7184" w:type="dxa"/>
            <w:shd w:val="clear" w:color="auto" w:fill="FFFFFF"/>
            <w:tcMar>
              <w:top w:w="120" w:type="dxa"/>
              <w:left w:w="150" w:type="dxa"/>
              <w:bottom w:w="120" w:type="dxa"/>
              <w:right w:w="150" w:type="dxa"/>
            </w:tcMar>
          </w:tcPr>
          <w:p w14:paraId="5A17C1CD">
            <w:pPr>
              <w:rPr>
                <w:rFonts w:ascii="Times New Roman" w:hAnsi="Times New Roman" w:cs="Times New Roman"/>
                <w:color w:val="auto"/>
                <w:sz w:val="20"/>
                <w:szCs w:val="20"/>
              </w:rPr>
            </w:pPr>
            <w:r>
              <w:rPr>
                <w:rFonts w:ascii="Times New Roman" w:hAnsi="Times New Roman" w:cs="Times New Roman"/>
                <w:color w:val="auto"/>
                <w:sz w:val="20"/>
                <w:szCs w:val="20"/>
              </w:rPr>
              <w:t>Search:</w:t>
            </w:r>
            <w:r>
              <w:rPr>
                <w:rFonts w:hint="eastAsia" w:ascii="Times New Roman" w:hAnsi="Times New Roman" w:cs="Times New Roman"/>
                <w:color w:val="auto"/>
                <w:sz w:val="20"/>
                <w:szCs w:val="20"/>
              </w:rPr>
              <w:t xml:space="preserve"> </w:t>
            </w:r>
            <w:r>
              <w:rPr>
                <w:rFonts w:ascii="Times New Roman" w:hAnsi="Times New Roman" w:cs="Times New Roman"/>
                <w:color w:val="auto"/>
                <w:sz w:val="20"/>
                <w:szCs w:val="20"/>
              </w:rPr>
              <w:t>Medicine, Chinese Traditional[MeSH Terms]</w:t>
            </w:r>
          </w:p>
        </w:tc>
      </w:tr>
      <w:tr w14:paraId="1FA154B9">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650D5C54">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r>
              <w:rPr>
                <w:rFonts w:hint="eastAsia" w:ascii="Times New Roman" w:hAnsi="Times New Roman" w:cs="Times New Roman"/>
                <w:color w:val="auto"/>
                <w:sz w:val="20"/>
                <w:szCs w:val="20"/>
              </w:rPr>
              <w:t>7</w:t>
            </w:r>
          </w:p>
        </w:tc>
        <w:tc>
          <w:tcPr>
            <w:tcW w:w="7184" w:type="dxa"/>
            <w:shd w:val="clear" w:color="auto" w:fill="FFFFFF"/>
            <w:tcMar>
              <w:top w:w="120" w:type="dxa"/>
              <w:left w:w="150" w:type="dxa"/>
              <w:bottom w:w="120" w:type="dxa"/>
              <w:right w:w="150" w:type="dxa"/>
            </w:tcMar>
          </w:tcPr>
          <w:p w14:paraId="25C23A1D">
            <w:pPr>
              <w:rPr>
                <w:rFonts w:ascii="Times New Roman" w:hAnsi="Times New Roman" w:cs="Times New Roman"/>
                <w:color w:val="auto"/>
                <w:sz w:val="20"/>
                <w:szCs w:val="20"/>
              </w:rPr>
            </w:pPr>
            <w:r>
              <w:rPr>
                <w:rFonts w:ascii="Times New Roman" w:hAnsi="Times New Roman" w:cs="Times New Roman"/>
                <w:color w:val="auto"/>
                <w:sz w:val="20"/>
                <w:szCs w:val="20"/>
              </w:rPr>
              <w:t>Search:</w:t>
            </w:r>
            <w:r>
              <w:rPr>
                <w:rFonts w:hint="eastAsia" w:ascii="Times New Roman" w:hAnsi="Times New Roman" w:cs="Times New Roman"/>
                <w:color w:val="auto"/>
                <w:sz w:val="20"/>
                <w:szCs w:val="20"/>
              </w:rPr>
              <w:t xml:space="preserve"> </w:t>
            </w:r>
            <w:r>
              <w:rPr>
                <w:rFonts w:ascii="Times New Roman" w:hAnsi="Times New Roman" w:cs="Times New Roman"/>
                <w:color w:val="auto"/>
                <w:sz w:val="20"/>
                <w:szCs w:val="20"/>
              </w:rPr>
              <w:t>Qigong[MeSH Terms]</w:t>
            </w:r>
          </w:p>
        </w:tc>
      </w:tr>
      <w:tr w14:paraId="68A02682">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78F54842">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r>
              <w:rPr>
                <w:rFonts w:hint="eastAsia" w:ascii="Times New Roman" w:hAnsi="Times New Roman" w:cs="Times New Roman"/>
                <w:color w:val="auto"/>
                <w:sz w:val="20"/>
                <w:szCs w:val="20"/>
              </w:rPr>
              <w:t>6</w:t>
            </w:r>
          </w:p>
        </w:tc>
        <w:tc>
          <w:tcPr>
            <w:tcW w:w="7184" w:type="dxa"/>
            <w:shd w:val="clear" w:color="auto" w:fill="FFFFFF"/>
            <w:tcMar>
              <w:top w:w="120" w:type="dxa"/>
              <w:left w:w="150" w:type="dxa"/>
              <w:bottom w:w="120" w:type="dxa"/>
              <w:right w:w="150" w:type="dxa"/>
            </w:tcMar>
          </w:tcPr>
          <w:p w14:paraId="2E54268A">
            <w:pPr>
              <w:rPr>
                <w:rFonts w:ascii="Times New Roman" w:hAnsi="Times New Roman" w:cs="Times New Roman"/>
                <w:color w:val="auto"/>
                <w:sz w:val="20"/>
                <w:szCs w:val="20"/>
              </w:rPr>
            </w:pPr>
            <w:r>
              <w:rPr>
                <w:rFonts w:ascii="Times New Roman" w:hAnsi="Times New Roman" w:cs="Times New Roman"/>
                <w:color w:val="auto"/>
                <w:sz w:val="20"/>
                <w:szCs w:val="20"/>
              </w:rPr>
              <w:t>Search:</w:t>
            </w:r>
            <w:r>
              <w:rPr>
                <w:rFonts w:hint="eastAsia" w:ascii="Times New Roman" w:hAnsi="Times New Roman" w:cs="Times New Roman"/>
                <w:color w:val="auto"/>
                <w:sz w:val="20"/>
                <w:szCs w:val="20"/>
              </w:rPr>
              <w:t xml:space="preserve"> </w:t>
            </w:r>
            <w:r>
              <w:rPr>
                <w:rFonts w:ascii="Times New Roman" w:hAnsi="Times New Roman" w:cs="Times New Roman"/>
                <w:color w:val="auto"/>
                <w:sz w:val="20"/>
                <w:szCs w:val="20"/>
              </w:rPr>
              <w:t>Tai Ji[MeSH Terms]</w:t>
            </w:r>
          </w:p>
        </w:tc>
      </w:tr>
      <w:tr w14:paraId="7DD36559">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1309AD34">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r>
              <w:rPr>
                <w:rFonts w:hint="eastAsia" w:ascii="Times New Roman" w:hAnsi="Times New Roman" w:cs="Times New Roman"/>
                <w:color w:val="auto"/>
                <w:sz w:val="20"/>
                <w:szCs w:val="20"/>
              </w:rPr>
              <w:t>5</w:t>
            </w:r>
          </w:p>
        </w:tc>
        <w:tc>
          <w:tcPr>
            <w:tcW w:w="7184" w:type="dxa"/>
            <w:shd w:val="clear" w:color="auto" w:fill="FFFFFF"/>
            <w:tcMar>
              <w:top w:w="120" w:type="dxa"/>
              <w:left w:w="150" w:type="dxa"/>
              <w:bottom w:w="120" w:type="dxa"/>
              <w:right w:w="150" w:type="dxa"/>
            </w:tcMar>
          </w:tcPr>
          <w:p w14:paraId="5D3D68D0">
            <w:pPr>
              <w:rPr>
                <w:rFonts w:ascii="Times New Roman" w:hAnsi="Times New Roman" w:cs="Times New Roman"/>
                <w:color w:val="auto"/>
                <w:sz w:val="20"/>
                <w:szCs w:val="20"/>
              </w:rPr>
            </w:pPr>
            <w:r>
              <w:rPr>
                <w:rFonts w:ascii="Times New Roman" w:hAnsi="Times New Roman" w:cs="Times New Roman"/>
                <w:color w:val="auto"/>
                <w:sz w:val="20"/>
                <w:szCs w:val="20"/>
              </w:rPr>
              <w:t>Search: Mind-Body Therapies[MeSH Terms]</w:t>
            </w:r>
          </w:p>
        </w:tc>
      </w:tr>
      <w:tr w14:paraId="390CC03A">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43B67514">
            <w:pPr>
              <w:jc w:val="center"/>
              <w:rPr>
                <w:rFonts w:ascii="Times New Roman" w:hAnsi="Times New Roman" w:cs="Times New Roman"/>
                <w:color w:val="auto"/>
                <w:sz w:val="20"/>
                <w:szCs w:val="20"/>
              </w:rPr>
            </w:pPr>
            <w:r>
              <w:rPr>
                <w:rFonts w:ascii="Times New Roman" w:hAnsi="Times New Roman" w:cs="Times New Roman"/>
                <w:color w:val="auto"/>
                <w:sz w:val="20"/>
                <w:szCs w:val="20"/>
              </w:rPr>
              <w:t>#4</w:t>
            </w:r>
          </w:p>
        </w:tc>
        <w:tc>
          <w:tcPr>
            <w:tcW w:w="7184" w:type="dxa"/>
            <w:shd w:val="clear" w:color="auto" w:fill="FFFFFF"/>
            <w:tcMar>
              <w:top w:w="120" w:type="dxa"/>
              <w:left w:w="150" w:type="dxa"/>
              <w:bottom w:w="120" w:type="dxa"/>
              <w:right w:w="150" w:type="dxa"/>
            </w:tcMar>
          </w:tcPr>
          <w:p w14:paraId="2E072FCC">
            <w:pPr>
              <w:rPr>
                <w:rFonts w:ascii="Times New Roman" w:hAnsi="Times New Roman" w:cs="Times New Roman"/>
                <w:color w:val="auto"/>
                <w:sz w:val="20"/>
                <w:szCs w:val="20"/>
              </w:rPr>
            </w:pPr>
            <w:r>
              <w:rPr>
                <w:rFonts w:ascii="Times New Roman" w:hAnsi="Times New Roman" w:cs="Times New Roman"/>
                <w:color w:val="auto"/>
                <w:sz w:val="20"/>
                <w:szCs w:val="20"/>
              </w:rPr>
              <w:t>Search: "Acupuncture"[Mesh]</w:t>
            </w:r>
          </w:p>
        </w:tc>
      </w:tr>
      <w:tr w14:paraId="34AE37E7">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4009A78A">
            <w:pPr>
              <w:jc w:val="center"/>
              <w:rPr>
                <w:rFonts w:ascii="Times New Roman" w:hAnsi="Times New Roman" w:cs="Times New Roman"/>
                <w:color w:val="auto"/>
                <w:sz w:val="20"/>
                <w:szCs w:val="20"/>
              </w:rPr>
            </w:pPr>
            <w:r>
              <w:rPr>
                <w:rFonts w:ascii="Times New Roman" w:hAnsi="Times New Roman" w:cs="Times New Roman"/>
                <w:color w:val="auto"/>
                <w:sz w:val="20"/>
                <w:szCs w:val="20"/>
              </w:rPr>
              <w:t>#3</w:t>
            </w:r>
          </w:p>
        </w:tc>
        <w:tc>
          <w:tcPr>
            <w:tcW w:w="7184" w:type="dxa"/>
            <w:shd w:val="clear" w:color="auto" w:fill="FFFFFF"/>
            <w:tcMar>
              <w:top w:w="120" w:type="dxa"/>
              <w:left w:w="150" w:type="dxa"/>
              <w:bottom w:w="120" w:type="dxa"/>
              <w:right w:w="150" w:type="dxa"/>
            </w:tcMar>
          </w:tcPr>
          <w:p w14:paraId="4FDFC142">
            <w:pPr>
              <w:rPr>
                <w:rFonts w:ascii="Times New Roman" w:hAnsi="Times New Roman" w:cs="Times New Roman"/>
                <w:color w:val="auto"/>
                <w:sz w:val="20"/>
                <w:szCs w:val="20"/>
              </w:rPr>
            </w:pPr>
            <w:r>
              <w:rPr>
                <w:rFonts w:ascii="Times New Roman" w:hAnsi="Times New Roman" w:cs="Times New Roman"/>
                <w:color w:val="auto"/>
                <w:sz w:val="20"/>
                <w:szCs w:val="20"/>
              </w:rPr>
              <w:t>Search:</w:t>
            </w:r>
            <w:r>
              <w:rPr>
                <w:rFonts w:hint="eastAsia" w:ascii="Times New Roman" w:hAnsi="Times New Roman" w:cs="Times New Roman"/>
                <w:color w:val="auto"/>
                <w:sz w:val="20"/>
                <w:szCs w:val="20"/>
              </w:rPr>
              <w:t xml:space="preserve"> ((((((((((((((Neoplasms[MeSH Terms]) OR (Tumors[Title/Abstract])) OR (Neoplasia[Title/Abstract])) OR (Neoplasias[Title/Abstract])) OR (Neoplasm[Title/Abstract])) OR (Tumor[Title/Abstract])) OR (Cancer[Title/Abstract])) OR (Cancers[Title/Abstract])) OR ("Malignant Neoplasm"[Title/Abstract])) OR (Malignancy[Title/Abstract])) OR (Malignancies[Title/Abstract])) OR ("Malignant Neoplasms"[Title/Abstract])) OR ("Benign Neoplasms"[Title/Abstract])) OR ("Benign Neoplasm"[Title/Abstract])) OR ("Cancer Survivor"[Title/Abstract])</w:t>
            </w:r>
          </w:p>
        </w:tc>
      </w:tr>
      <w:tr w14:paraId="77275CA9">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2A6022F2">
            <w:pPr>
              <w:jc w:val="center"/>
              <w:rPr>
                <w:rFonts w:ascii="Times New Roman" w:hAnsi="Times New Roman" w:cs="Times New Roman"/>
                <w:color w:val="auto"/>
                <w:sz w:val="20"/>
                <w:szCs w:val="20"/>
              </w:rPr>
            </w:pPr>
            <w:r>
              <w:rPr>
                <w:rFonts w:ascii="Times New Roman" w:hAnsi="Times New Roman" w:cs="Times New Roman"/>
                <w:color w:val="auto"/>
                <w:sz w:val="20"/>
                <w:szCs w:val="20"/>
              </w:rPr>
              <w:t>#2</w:t>
            </w:r>
          </w:p>
        </w:tc>
        <w:tc>
          <w:tcPr>
            <w:tcW w:w="7184" w:type="dxa"/>
            <w:shd w:val="clear" w:color="auto" w:fill="FFFFFF"/>
            <w:tcMar>
              <w:top w:w="120" w:type="dxa"/>
              <w:left w:w="150" w:type="dxa"/>
              <w:bottom w:w="120" w:type="dxa"/>
              <w:right w:w="150" w:type="dxa"/>
            </w:tcMar>
          </w:tcPr>
          <w:p w14:paraId="3AD569C0">
            <w:pPr>
              <w:rPr>
                <w:rFonts w:ascii="Times New Roman" w:hAnsi="Times New Roman" w:cs="Times New Roman"/>
                <w:color w:val="auto"/>
                <w:sz w:val="20"/>
                <w:szCs w:val="20"/>
              </w:rPr>
            </w:pPr>
            <w:r>
              <w:rPr>
                <w:rFonts w:ascii="Times New Roman" w:hAnsi="Times New Roman" w:cs="Times New Roman"/>
                <w:color w:val="auto"/>
                <w:sz w:val="20"/>
                <w:szCs w:val="20"/>
              </w:rPr>
              <w:t>Search: </w:t>
            </w:r>
            <w:r>
              <w:rPr>
                <w:rFonts w:hint="eastAsia" w:ascii="Times New Roman" w:hAnsi="Times New Roman" w:cs="Times New Roman"/>
                <w:color w:val="auto"/>
                <w:sz w:val="20"/>
                <w:szCs w:val="20"/>
              </w:rPr>
              <w:t xml:space="preserve"> (Tumors[Title/Abstract])) OR (Neoplasia[Title/Abstract])) OR (Neoplasias[Title/Abstract])) OR (Neoplasm[Title/Abstract])) OR (Tumor[Title/Abstract])) OR (Cancer[Title/Abstract])) OR (Cancers[Title/Abstract])) OR ("Malignant Neoplasm"[Title/Abstract])) OR (Malignancy[Title/Abstract])) OR (Malignancies[Title/Abstract])) OR ("Malignant Neoplasms"[Title/Abstract])) OR ("Benign Neoplasms"[Title/Abstract])) OR ("Benign Neoplasm"[Title/Abstract])) OR ("Cancer Survivor"[Title/Abstract])</w:t>
            </w:r>
          </w:p>
        </w:tc>
      </w:tr>
      <w:tr w14:paraId="6E3E7429">
        <w:tblPrEx>
          <w:tblBorders>
            <w:top w:val="single" w:color="AEB0B5" w:sz="6" w:space="0"/>
            <w:left w:val="single" w:color="AEB0B5" w:sz="6" w:space="0"/>
            <w:bottom w:val="single" w:color="AEB0B5" w:sz="6" w:space="0"/>
            <w:right w:val="single" w:color="AEB0B5" w:sz="6" w:space="0"/>
            <w:insideH w:val="single" w:color="DDDDDD" w:sz="6" w:space="0"/>
            <w:insideV w:val="single" w:color="AEB0B5" w:sz="2" w:space="0"/>
          </w:tblBorders>
          <w:shd w:val="clear" w:color="auto" w:fill="F1F1F1"/>
          <w:tblCellMar>
            <w:top w:w="15" w:type="dxa"/>
            <w:left w:w="15" w:type="dxa"/>
            <w:bottom w:w="15" w:type="dxa"/>
            <w:right w:w="15" w:type="dxa"/>
          </w:tblCellMar>
        </w:tblPrEx>
        <w:trPr>
          <w:tblCellSpacing w:w="15" w:type="dxa"/>
          <w:jc w:val="center"/>
        </w:trPr>
        <w:tc>
          <w:tcPr>
            <w:tcW w:w="656" w:type="dxa"/>
            <w:shd w:val="clear" w:color="auto" w:fill="FFFFFF"/>
            <w:tcMar>
              <w:top w:w="120" w:type="dxa"/>
              <w:left w:w="150" w:type="dxa"/>
              <w:bottom w:w="120" w:type="dxa"/>
              <w:right w:w="150" w:type="dxa"/>
            </w:tcMar>
          </w:tcPr>
          <w:p w14:paraId="33A85647">
            <w:pPr>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7184" w:type="dxa"/>
            <w:shd w:val="clear" w:color="auto" w:fill="FFFFFF"/>
            <w:tcMar>
              <w:top w:w="120" w:type="dxa"/>
              <w:left w:w="150" w:type="dxa"/>
              <w:bottom w:w="120" w:type="dxa"/>
              <w:right w:w="150" w:type="dxa"/>
            </w:tcMar>
          </w:tcPr>
          <w:p w14:paraId="00451712">
            <w:pPr>
              <w:rPr>
                <w:rFonts w:ascii="Times New Roman" w:hAnsi="Times New Roman" w:cs="Times New Roman"/>
                <w:color w:val="auto"/>
                <w:sz w:val="20"/>
                <w:szCs w:val="20"/>
              </w:rPr>
            </w:pPr>
            <w:r>
              <w:rPr>
                <w:rFonts w:ascii="Times New Roman" w:hAnsi="Times New Roman" w:cs="Times New Roman"/>
                <w:color w:val="auto"/>
                <w:sz w:val="20"/>
                <w:szCs w:val="20"/>
              </w:rPr>
              <w:t>Search: </w:t>
            </w:r>
            <w:r>
              <w:rPr>
                <w:rFonts w:hint="eastAsia" w:ascii="Times New Roman" w:hAnsi="Times New Roman" w:cs="Times New Roman"/>
                <w:color w:val="auto"/>
                <w:sz w:val="20"/>
                <w:szCs w:val="20"/>
              </w:rPr>
              <w:t>Neoplasms[MeSH Terms]</w:t>
            </w:r>
          </w:p>
        </w:tc>
      </w:tr>
      <w:bookmarkEnd w:id="8"/>
    </w:tbl>
    <w:p w14:paraId="3C033F81">
      <w:pPr>
        <w:rPr>
          <w:rFonts w:ascii="Times New Roman" w:hAnsi="Times New Roman" w:cs="Times New Roman"/>
          <w:color w:val="auto"/>
          <w:sz w:val="20"/>
          <w:szCs w:val="20"/>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14:paraId="4311CB0B">
      <w:pPr>
        <w:rPr>
          <w:rFonts w:hint="eastAsia"/>
          <w:b/>
          <w:bCs/>
          <w:i/>
          <w:iCs/>
          <w:color w:val="auto"/>
          <w:sz w:val="20"/>
          <w:szCs w:val="20"/>
        </w:rPr>
      </w:pPr>
      <w:r>
        <w:rPr>
          <w:rFonts w:hint="eastAsia" w:ascii="Times New Roman" w:hAnsi="Times New Roman" w:cs="Times New Roman"/>
          <w:b/>
          <w:bCs/>
          <w:i/>
          <w:iCs/>
          <w:color w:val="auto"/>
          <w:sz w:val="20"/>
          <w:szCs w:val="20"/>
        </w:rPr>
        <w:t xml:space="preserve">1.2 </w:t>
      </w:r>
      <w:r>
        <w:rPr>
          <w:rFonts w:ascii="Times New Roman" w:hAnsi="Times New Roman" w:cs="Times New Roman"/>
          <w:b/>
          <w:bCs/>
          <w:i/>
          <w:iCs/>
          <w:color w:val="auto"/>
          <w:sz w:val="20"/>
          <w:szCs w:val="20"/>
        </w:rPr>
        <w:t>Search Strategy</w:t>
      </w:r>
      <w:r>
        <w:rPr>
          <w:rFonts w:hint="eastAsia" w:ascii="Times New Roman" w:hAnsi="Times New Roman" w:cs="Times New Roman"/>
          <w:b/>
          <w:bCs/>
          <w:i/>
          <w:iCs/>
          <w:color w:val="auto"/>
          <w:sz w:val="20"/>
          <w:szCs w:val="20"/>
        </w:rPr>
        <w:t xml:space="preserve"> (Embase)</w:t>
      </w:r>
      <w:r>
        <w:rPr>
          <w:rFonts w:ascii="Times New Roman" w:hAnsi="Times New Roman" w:cs="Times New Roman"/>
          <w:b/>
          <w:bCs/>
          <w:i/>
          <w:iCs/>
          <w:color w:val="auto"/>
          <w:sz w:val="20"/>
          <w:szCs w:val="20"/>
        </w:rPr>
        <w:t xml:space="preserve">: </w:t>
      </w:r>
    </w:p>
    <w:p w14:paraId="76DC1D30">
      <w:pPr>
        <w:rPr>
          <w:rFonts w:ascii="Times New Roman" w:hAnsi="Times New Roman" w:cs="Times New Roman"/>
          <w:color w:val="auto"/>
          <w:sz w:val="20"/>
          <w:szCs w:val="20"/>
        </w:rPr>
      </w:pPr>
    </w:p>
    <w:p w14:paraId="2AF6E22F">
      <w:pPr>
        <w:rPr>
          <w:rFonts w:ascii="Times New Roman" w:hAnsi="Times New Roman" w:cs="Times New Roman"/>
          <w:color w:val="auto"/>
          <w:sz w:val="20"/>
          <w:szCs w:val="20"/>
        </w:rPr>
      </w:pPr>
      <w:r>
        <w:rPr>
          <w:rFonts w:ascii="Times New Roman" w:hAnsi="Times New Roman" w:cs="Times New Roman"/>
          <w:color w:val="auto"/>
          <w:sz w:val="20"/>
          <w:szCs w:val="20"/>
        </w:rPr>
        <w:t>1 (tumor$ or tumour$ or neoplas$ or cancer$ or malignan$ or "cancer survivor$").mp.</w:t>
      </w:r>
    </w:p>
    <w:p w14:paraId="3C89DF9B">
      <w:pPr>
        <w:rPr>
          <w:rFonts w:ascii="Times New Roman" w:hAnsi="Times New Roman" w:cs="Times New Roman"/>
          <w:color w:val="auto"/>
          <w:sz w:val="20"/>
          <w:szCs w:val="20"/>
        </w:rPr>
      </w:pPr>
      <w:r>
        <w:rPr>
          <w:rFonts w:ascii="Times New Roman" w:hAnsi="Times New Roman" w:cs="Times New Roman"/>
          <w:color w:val="auto"/>
          <w:sz w:val="20"/>
          <w:szCs w:val="20"/>
        </w:rPr>
        <w:t>2 exp neoplasm/</w:t>
      </w:r>
    </w:p>
    <w:p w14:paraId="379E75CE">
      <w:pPr>
        <w:rPr>
          <w:rFonts w:ascii="Times New Roman" w:hAnsi="Times New Roman" w:cs="Times New Roman"/>
          <w:color w:val="auto"/>
          <w:sz w:val="20"/>
          <w:szCs w:val="20"/>
        </w:rPr>
      </w:pPr>
      <w:r>
        <w:rPr>
          <w:rFonts w:ascii="Times New Roman" w:hAnsi="Times New Roman" w:cs="Times New Roman"/>
          <w:color w:val="auto"/>
          <w:sz w:val="20"/>
          <w:szCs w:val="20"/>
        </w:rPr>
        <w:t>3 (acupuncture or pharmacopuncture or moxibustion or acupressure or tuina or massage or "massage therapy" or "chinese massage" or "gua sha" or qigong or "qi gong" or "chi kung" or "tai chi" or tai ji or taiji or taijiquan or baduanjin or wuqinxi or liuzijue or "yi jin jing" or "mind body" or "mind-body" or "traditional chinese medicine").mp.</w:t>
      </w:r>
    </w:p>
    <w:p w14:paraId="3D9889D8">
      <w:pPr>
        <w:rPr>
          <w:rFonts w:ascii="Times New Roman" w:hAnsi="Times New Roman" w:cs="Times New Roman"/>
          <w:color w:val="auto"/>
          <w:sz w:val="20"/>
          <w:szCs w:val="20"/>
        </w:rPr>
      </w:pPr>
      <w:r>
        <w:rPr>
          <w:rFonts w:ascii="Times New Roman" w:hAnsi="Times New Roman" w:cs="Times New Roman"/>
          <w:color w:val="auto"/>
          <w:sz w:val="20"/>
          <w:szCs w:val="20"/>
        </w:rPr>
        <w:t>4 exp acupuncture/</w:t>
      </w:r>
    </w:p>
    <w:p w14:paraId="18EE8CFC">
      <w:pPr>
        <w:rPr>
          <w:rFonts w:ascii="Times New Roman" w:hAnsi="Times New Roman" w:cs="Times New Roman"/>
          <w:color w:val="auto"/>
          <w:sz w:val="20"/>
          <w:szCs w:val="20"/>
        </w:rPr>
      </w:pPr>
      <w:r>
        <w:rPr>
          <w:rFonts w:ascii="Times New Roman" w:hAnsi="Times New Roman" w:cs="Times New Roman"/>
          <w:color w:val="auto"/>
          <w:sz w:val="20"/>
          <w:szCs w:val="20"/>
        </w:rPr>
        <w:t>5 exp moxibustion/</w:t>
      </w:r>
    </w:p>
    <w:p w14:paraId="0A6A600A">
      <w:pPr>
        <w:rPr>
          <w:rFonts w:ascii="Times New Roman" w:hAnsi="Times New Roman" w:cs="Times New Roman"/>
          <w:color w:val="auto"/>
          <w:sz w:val="20"/>
          <w:szCs w:val="20"/>
        </w:rPr>
      </w:pPr>
      <w:r>
        <w:rPr>
          <w:rFonts w:ascii="Times New Roman" w:hAnsi="Times New Roman" w:cs="Times New Roman"/>
          <w:color w:val="auto"/>
          <w:sz w:val="20"/>
          <w:szCs w:val="20"/>
        </w:rPr>
        <w:t>6 exp acupressure/</w:t>
      </w:r>
    </w:p>
    <w:p w14:paraId="47A2107C">
      <w:pPr>
        <w:rPr>
          <w:rFonts w:ascii="Times New Roman" w:hAnsi="Times New Roman" w:cs="Times New Roman"/>
          <w:color w:val="auto"/>
          <w:sz w:val="20"/>
          <w:szCs w:val="20"/>
        </w:rPr>
      </w:pPr>
      <w:r>
        <w:rPr>
          <w:rFonts w:ascii="Times New Roman" w:hAnsi="Times New Roman" w:cs="Times New Roman"/>
          <w:color w:val="auto"/>
          <w:sz w:val="20"/>
          <w:szCs w:val="20"/>
        </w:rPr>
        <w:t>7 exp massage/</w:t>
      </w:r>
    </w:p>
    <w:p w14:paraId="3B879AFD">
      <w:pPr>
        <w:rPr>
          <w:rFonts w:ascii="Times New Roman" w:hAnsi="Times New Roman" w:cs="Times New Roman"/>
          <w:color w:val="auto"/>
          <w:sz w:val="20"/>
          <w:szCs w:val="20"/>
        </w:rPr>
      </w:pPr>
      <w:r>
        <w:rPr>
          <w:rFonts w:ascii="Times New Roman" w:hAnsi="Times New Roman" w:cs="Times New Roman"/>
          <w:color w:val="auto"/>
          <w:sz w:val="20"/>
          <w:szCs w:val="20"/>
        </w:rPr>
        <w:t>8 exp mind body therapy/</w:t>
      </w:r>
    </w:p>
    <w:p w14:paraId="3D508F99">
      <w:pPr>
        <w:rPr>
          <w:rFonts w:ascii="Times New Roman" w:hAnsi="Times New Roman" w:cs="Times New Roman"/>
          <w:color w:val="auto"/>
          <w:sz w:val="20"/>
          <w:szCs w:val="20"/>
        </w:rPr>
      </w:pPr>
      <w:r>
        <w:rPr>
          <w:rFonts w:ascii="Times New Roman" w:hAnsi="Times New Roman" w:cs="Times New Roman"/>
          <w:color w:val="auto"/>
          <w:sz w:val="20"/>
          <w:szCs w:val="20"/>
        </w:rPr>
        <w:t>9 exp tai chi/</w:t>
      </w:r>
    </w:p>
    <w:p w14:paraId="1CD4C28A">
      <w:pPr>
        <w:rPr>
          <w:rFonts w:ascii="Times New Roman" w:hAnsi="Times New Roman" w:cs="Times New Roman"/>
          <w:color w:val="auto"/>
          <w:sz w:val="20"/>
          <w:szCs w:val="20"/>
        </w:rPr>
      </w:pPr>
      <w:r>
        <w:rPr>
          <w:rFonts w:ascii="Times New Roman" w:hAnsi="Times New Roman" w:cs="Times New Roman"/>
          <w:color w:val="auto"/>
          <w:sz w:val="20"/>
          <w:szCs w:val="20"/>
        </w:rPr>
        <w:t>10 exp qigong/</w:t>
      </w:r>
    </w:p>
    <w:p w14:paraId="3D6DB19F">
      <w:pPr>
        <w:rPr>
          <w:rFonts w:ascii="Times New Roman" w:hAnsi="Times New Roman" w:cs="Times New Roman"/>
          <w:color w:val="auto"/>
          <w:sz w:val="20"/>
          <w:szCs w:val="20"/>
        </w:rPr>
      </w:pPr>
      <w:r>
        <w:rPr>
          <w:rFonts w:ascii="Times New Roman" w:hAnsi="Times New Roman" w:cs="Times New Roman"/>
          <w:color w:val="auto"/>
          <w:sz w:val="20"/>
          <w:szCs w:val="20"/>
        </w:rPr>
        <w:t>11 exp traditional chinese medicine/</w:t>
      </w:r>
    </w:p>
    <w:p w14:paraId="4EC9C58A">
      <w:pPr>
        <w:rPr>
          <w:rFonts w:ascii="Times New Roman" w:hAnsi="Times New Roman" w:cs="Times New Roman"/>
          <w:color w:val="auto"/>
          <w:sz w:val="20"/>
          <w:szCs w:val="20"/>
        </w:rPr>
      </w:pPr>
      <w:r>
        <w:rPr>
          <w:rFonts w:ascii="Times New Roman" w:hAnsi="Times New Roman" w:cs="Times New Roman"/>
          <w:color w:val="auto"/>
          <w:sz w:val="20"/>
          <w:szCs w:val="20"/>
        </w:rPr>
        <w:t>12 (depress$ or depressive$ or anxiety or anxious or anxi$ or mood or emotion$ or sleep or insomnia or "sleep quality" or "quality of life" or qol or wellbeing or well-being).mp.</w:t>
      </w:r>
    </w:p>
    <w:p w14:paraId="72EF85C4">
      <w:pPr>
        <w:rPr>
          <w:rFonts w:ascii="Times New Roman" w:hAnsi="Times New Roman" w:cs="Times New Roman"/>
          <w:color w:val="auto"/>
          <w:sz w:val="20"/>
          <w:szCs w:val="20"/>
        </w:rPr>
      </w:pPr>
      <w:r>
        <w:rPr>
          <w:rFonts w:ascii="Times New Roman" w:hAnsi="Times New Roman" w:cs="Times New Roman"/>
          <w:color w:val="auto"/>
          <w:sz w:val="20"/>
          <w:szCs w:val="20"/>
        </w:rPr>
        <w:t>13 exp depression/</w:t>
      </w:r>
    </w:p>
    <w:p w14:paraId="46720AA5">
      <w:pPr>
        <w:rPr>
          <w:rFonts w:ascii="Times New Roman" w:hAnsi="Times New Roman" w:cs="Times New Roman"/>
          <w:color w:val="auto"/>
          <w:sz w:val="20"/>
          <w:szCs w:val="20"/>
        </w:rPr>
      </w:pPr>
      <w:r>
        <w:rPr>
          <w:rFonts w:ascii="Times New Roman" w:hAnsi="Times New Roman" w:cs="Times New Roman"/>
          <w:color w:val="auto"/>
          <w:sz w:val="20"/>
          <w:szCs w:val="20"/>
        </w:rPr>
        <w:t>14 exp anxiety/</w:t>
      </w:r>
    </w:p>
    <w:p w14:paraId="1B9E503C">
      <w:pPr>
        <w:rPr>
          <w:rFonts w:ascii="Times New Roman" w:hAnsi="Times New Roman" w:cs="Times New Roman"/>
          <w:color w:val="auto"/>
          <w:sz w:val="20"/>
          <w:szCs w:val="20"/>
        </w:rPr>
      </w:pPr>
      <w:r>
        <w:rPr>
          <w:rFonts w:ascii="Times New Roman" w:hAnsi="Times New Roman" w:cs="Times New Roman"/>
          <w:color w:val="auto"/>
          <w:sz w:val="20"/>
          <w:szCs w:val="20"/>
        </w:rPr>
        <w:t>15 exp mood disorder/</w:t>
      </w:r>
    </w:p>
    <w:p w14:paraId="47035EBD">
      <w:pPr>
        <w:rPr>
          <w:rFonts w:ascii="Times New Roman" w:hAnsi="Times New Roman" w:cs="Times New Roman"/>
          <w:color w:val="auto"/>
          <w:sz w:val="20"/>
          <w:szCs w:val="20"/>
        </w:rPr>
      </w:pPr>
      <w:r>
        <w:rPr>
          <w:rFonts w:ascii="Times New Roman" w:hAnsi="Times New Roman" w:cs="Times New Roman"/>
          <w:color w:val="auto"/>
          <w:sz w:val="20"/>
          <w:szCs w:val="20"/>
        </w:rPr>
        <w:t>16 exp sleep disorder/</w:t>
      </w:r>
    </w:p>
    <w:p w14:paraId="112B8CC0">
      <w:pPr>
        <w:rPr>
          <w:rFonts w:ascii="Times New Roman" w:hAnsi="Times New Roman" w:cs="Times New Roman"/>
          <w:color w:val="auto"/>
          <w:sz w:val="20"/>
          <w:szCs w:val="20"/>
        </w:rPr>
      </w:pPr>
      <w:r>
        <w:rPr>
          <w:rFonts w:ascii="Times New Roman" w:hAnsi="Times New Roman" w:cs="Times New Roman"/>
          <w:color w:val="auto"/>
          <w:sz w:val="20"/>
          <w:szCs w:val="20"/>
        </w:rPr>
        <w:t>17 exp quality of life/</w:t>
      </w:r>
    </w:p>
    <w:p w14:paraId="3A92C8B5">
      <w:pPr>
        <w:rPr>
          <w:rFonts w:ascii="Times New Roman" w:hAnsi="Times New Roman" w:cs="Times New Roman"/>
          <w:color w:val="auto"/>
          <w:sz w:val="20"/>
          <w:szCs w:val="20"/>
        </w:rPr>
      </w:pPr>
      <w:r>
        <w:rPr>
          <w:rFonts w:ascii="Times New Roman" w:hAnsi="Times New Roman" w:cs="Times New Roman"/>
          <w:color w:val="auto"/>
          <w:sz w:val="20"/>
          <w:szCs w:val="20"/>
        </w:rPr>
        <w:t>18 randomized.ab.</w:t>
      </w:r>
    </w:p>
    <w:p w14:paraId="29F49355">
      <w:pPr>
        <w:rPr>
          <w:rFonts w:ascii="Times New Roman" w:hAnsi="Times New Roman" w:cs="Times New Roman"/>
          <w:color w:val="auto"/>
          <w:sz w:val="20"/>
          <w:szCs w:val="20"/>
        </w:rPr>
      </w:pPr>
      <w:r>
        <w:rPr>
          <w:rFonts w:ascii="Times New Roman" w:hAnsi="Times New Roman" w:cs="Times New Roman"/>
          <w:color w:val="auto"/>
          <w:sz w:val="20"/>
          <w:szCs w:val="20"/>
        </w:rPr>
        <w:t>19 randomly.ab.</w:t>
      </w:r>
    </w:p>
    <w:p w14:paraId="0DD0C895">
      <w:pPr>
        <w:rPr>
          <w:rFonts w:ascii="Times New Roman" w:hAnsi="Times New Roman" w:cs="Times New Roman"/>
          <w:color w:val="auto"/>
          <w:sz w:val="20"/>
          <w:szCs w:val="20"/>
        </w:rPr>
      </w:pPr>
      <w:r>
        <w:rPr>
          <w:rFonts w:ascii="Times New Roman" w:hAnsi="Times New Roman" w:cs="Times New Roman"/>
          <w:color w:val="auto"/>
          <w:sz w:val="20"/>
          <w:szCs w:val="20"/>
        </w:rPr>
        <w:t>20 trial.ti.</w:t>
      </w:r>
    </w:p>
    <w:p w14:paraId="43305A7A">
      <w:pPr>
        <w:rPr>
          <w:rFonts w:ascii="Times New Roman" w:hAnsi="Times New Roman" w:cs="Times New Roman"/>
          <w:color w:val="auto"/>
          <w:sz w:val="20"/>
          <w:szCs w:val="20"/>
        </w:rPr>
      </w:pPr>
      <w:r>
        <w:rPr>
          <w:rFonts w:ascii="Times New Roman" w:hAnsi="Times New Roman" w:cs="Times New Roman"/>
          <w:color w:val="auto"/>
          <w:sz w:val="20"/>
          <w:szCs w:val="20"/>
        </w:rPr>
        <w:t>21 placebo.ab.</w:t>
      </w:r>
    </w:p>
    <w:p w14:paraId="7F6B552D">
      <w:pPr>
        <w:rPr>
          <w:rFonts w:ascii="Times New Roman" w:hAnsi="Times New Roman" w:cs="Times New Roman"/>
          <w:color w:val="auto"/>
          <w:sz w:val="20"/>
          <w:szCs w:val="20"/>
        </w:rPr>
      </w:pPr>
      <w:r>
        <w:rPr>
          <w:rFonts w:ascii="Times New Roman" w:hAnsi="Times New Roman" w:cs="Times New Roman"/>
          <w:color w:val="auto"/>
          <w:sz w:val="20"/>
          <w:szCs w:val="20"/>
        </w:rPr>
        <w:t>22 exp randomized controlled trial/</w:t>
      </w:r>
    </w:p>
    <w:p w14:paraId="7EC59917">
      <w:pPr>
        <w:rPr>
          <w:rFonts w:ascii="Times New Roman" w:hAnsi="Times New Roman" w:cs="Times New Roman"/>
          <w:color w:val="auto"/>
          <w:sz w:val="20"/>
          <w:szCs w:val="20"/>
        </w:rPr>
      </w:pPr>
      <w:r>
        <w:rPr>
          <w:rFonts w:ascii="Times New Roman" w:hAnsi="Times New Roman" w:cs="Times New Roman"/>
          <w:color w:val="auto"/>
          <w:sz w:val="20"/>
          <w:szCs w:val="20"/>
        </w:rPr>
        <w:t>23 exp controlled clinical trial/</w:t>
      </w:r>
    </w:p>
    <w:p w14:paraId="1E6FC109">
      <w:pPr>
        <w:rPr>
          <w:rFonts w:ascii="Times New Roman" w:hAnsi="Times New Roman" w:cs="Times New Roman"/>
          <w:color w:val="auto"/>
          <w:sz w:val="20"/>
          <w:szCs w:val="20"/>
        </w:rPr>
      </w:pPr>
      <w:r>
        <w:rPr>
          <w:rFonts w:ascii="Times New Roman" w:hAnsi="Times New Roman" w:cs="Times New Roman"/>
          <w:color w:val="auto"/>
          <w:sz w:val="20"/>
          <w:szCs w:val="20"/>
        </w:rPr>
        <w:t>24 exp clinical trial/</w:t>
      </w:r>
    </w:p>
    <w:p w14:paraId="44C80024">
      <w:pPr>
        <w:rPr>
          <w:rFonts w:ascii="Times New Roman" w:hAnsi="Times New Roman" w:cs="Times New Roman"/>
          <w:color w:val="auto"/>
          <w:sz w:val="20"/>
          <w:szCs w:val="20"/>
        </w:rPr>
      </w:pPr>
      <w:r>
        <w:rPr>
          <w:rFonts w:ascii="Times New Roman" w:hAnsi="Times New Roman" w:cs="Times New Roman"/>
          <w:color w:val="auto"/>
          <w:sz w:val="20"/>
          <w:szCs w:val="20"/>
        </w:rPr>
        <w:t>25 (clinic$ adj2 trial).mp.</w:t>
      </w:r>
    </w:p>
    <w:p w14:paraId="313FC924">
      <w:pPr>
        <w:rPr>
          <w:rFonts w:ascii="Times New Roman" w:hAnsi="Times New Roman" w:cs="Times New Roman"/>
          <w:color w:val="auto"/>
          <w:sz w:val="20"/>
          <w:szCs w:val="20"/>
        </w:rPr>
      </w:pPr>
      <w:r>
        <w:rPr>
          <w:rFonts w:ascii="Times New Roman" w:hAnsi="Times New Roman" w:cs="Times New Roman"/>
          <w:color w:val="auto"/>
          <w:sz w:val="20"/>
          <w:szCs w:val="20"/>
        </w:rPr>
        <w:t>26 (random$ adj5 control$ adj5 trial$).mp.</w:t>
      </w:r>
    </w:p>
    <w:p w14:paraId="2F4ABE4F">
      <w:pPr>
        <w:rPr>
          <w:rFonts w:ascii="Times New Roman" w:hAnsi="Times New Roman" w:cs="Times New Roman"/>
          <w:color w:val="auto"/>
          <w:sz w:val="20"/>
          <w:szCs w:val="20"/>
        </w:rPr>
      </w:pPr>
      <w:r>
        <w:rPr>
          <w:rFonts w:ascii="Times New Roman" w:hAnsi="Times New Roman" w:cs="Times New Roman"/>
          <w:color w:val="auto"/>
          <w:sz w:val="20"/>
          <w:szCs w:val="20"/>
        </w:rPr>
        <w:t>27 randomi$.mp.</w:t>
      </w:r>
    </w:p>
    <w:p w14:paraId="141BE98F">
      <w:pPr>
        <w:rPr>
          <w:rFonts w:ascii="Times New Roman" w:hAnsi="Times New Roman" w:cs="Times New Roman"/>
          <w:color w:val="auto"/>
          <w:sz w:val="20"/>
          <w:szCs w:val="20"/>
        </w:rPr>
      </w:pPr>
      <w:r>
        <w:rPr>
          <w:rFonts w:ascii="Times New Roman" w:hAnsi="Times New Roman" w:cs="Times New Roman"/>
          <w:color w:val="auto"/>
          <w:sz w:val="20"/>
          <w:szCs w:val="20"/>
        </w:rPr>
        <w:t>28 1 or 2</w:t>
      </w:r>
    </w:p>
    <w:p w14:paraId="1855399E">
      <w:pPr>
        <w:rPr>
          <w:rFonts w:ascii="Times New Roman" w:hAnsi="Times New Roman" w:cs="Times New Roman"/>
          <w:color w:val="auto"/>
          <w:sz w:val="20"/>
          <w:szCs w:val="20"/>
        </w:rPr>
      </w:pPr>
      <w:r>
        <w:rPr>
          <w:rFonts w:ascii="Times New Roman" w:hAnsi="Times New Roman" w:cs="Times New Roman"/>
          <w:color w:val="auto"/>
          <w:sz w:val="20"/>
          <w:szCs w:val="20"/>
        </w:rPr>
        <w:t>29 3 or 4 or 5 or 6 or 7 or 8 or 9 or 10 or 11</w:t>
      </w:r>
    </w:p>
    <w:p w14:paraId="3DC48306">
      <w:pPr>
        <w:rPr>
          <w:rFonts w:ascii="Times New Roman" w:hAnsi="Times New Roman" w:cs="Times New Roman"/>
          <w:color w:val="auto"/>
          <w:sz w:val="20"/>
          <w:szCs w:val="20"/>
        </w:rPr>
      </w:pPr>
      <w:r>
        <w:rPr>
          <w:rFonts w:ascii="Times New Roman" w:hAnsi="Times New Roman" w:cs="Times New Roman"/>
          <w:color w:val="auto"/>
          <w:sz w:val="20"/>
          <w:szCs w:val="20"/>
        </w:rPr>
        <w:t>30 12 or 13 or 14 or 15 or 16 or 17</w:t>
      </w:r>
    </w:p>
    <w:p w14:paraId="0D80DE21">
      <w:pPr>
        <w:rPr>
          <w:rFonts w:ascii="Times New Roman" w:hAnsi="Times New Roman" w:cs="Times New Roman"/>
          <w:color w:val="auto"/>
          <w:sz w:val="20"/>
          <w:szCs w:val="20"/>
        </w:rPr>
      </w:pPr>
      <w:r>
        <w:rPr>
          <w:rFonts w:ascii="Times New Roman" w:hAnsi="Times New Roman" w:cs="Times New Roman"/>
          <w:color w:val="auto"/>
          <w:sz w:val="20"/>
          <w:szCs w:val="20"/>
        </w:rPr>
        <w:t>31 18 or 19 or 20 or 21 or 22 or 23 or 24 or 25 or 26 or 27</w:t>
      </w:r>
    </w:p>
    <w:p w14:paraId="69182D55">
      <w:pPr>
        <w:rPr>
          <w:rFonts w:ascii="Times New Roman" w:hAnsi="Times New Roman" w:cs="Times New Roman"/>
          <w:color w:val="auto"/>
          <w:sz w:val="20"/>
          <w:szCs w:val="20"/>
        </w:rPr>
      </w:pPr>
      <w:r>
        <w:rPr>
          <w:rFonts w:ascii="Times New Roman" w:hAnsi="Times New Roman" w:cs="Times New Roman"/>
          <w:color w:val="auto"/>
          <w:sz w:val="20"/>
          <w:szCs w:val="20"/>
        </w:rPr>
        <w:t>32 28 and 29 and 30 and 31</w:t>
      </w:r>
    </w:p>
    <w:p w14:paraId="6B71BCEE">
      <w:pPr>
        <w:rPr>
          <w:rFonts w:ascii="Times New Roman" w:hAnsi="Times New Roman" w:cs="Times New Roman"/>
          <w:color w:val="auto"/>
          <w:sz w:val="20"/>
          <w:szCs w:val="20"/>
        </w:rPr>
      </w:pPr>
      <w:r>
        <w:rPr>
          <w:rFonts w:ascii="Times New Roman" w:hAnsi="Times New Roman" w:cs="Times New Roman"/>
          <w:color w:val="auto"/>
          <w:sz w:val="20"/>
          <w:szCs w:val="20"/>
        </w:rPr>
        <w:t>33 limit 32 to human</w:t>
      </w:r>
    </w:p>
    <w:p w14:paraId="182D2069">
      <w:pPr>
        <w:rPr>
          <w:rFonts w:ascii="Times New Roman" w:hAnsi="Times New Roman" w:cs="Times New Roman"/>
          <w:color w:val="auto"/>
          <w:sz w:val="20"/>
          <w:szCs w:val="20"/>
        </w:rPr>
        <w:sectPr>
          <w:pgSz w:w="11906" w:h="16838"/>
          <w:pgMar w:top="1440" w:right="1800" w:bottom="1440" w:left="1800" w:header="851" w:footer="992" w:gutter="0"/>
          <w:cols w:space="425" w:num="1"/>
          <w:docGrid w:type="lines" w:linePitch="312" w:charSpace="0"/>
        </w:sectPr>
      </w:pPr>
      <w:r>
        <w:rPr>
          <w:rFonts w:ascii="Times New Roman" w:hAnsi="Times New Roman" w:cs="Times New Roman"/>
          <w:color w:val="auto"/>
          <w:sz w:val="20"/>
          <w:szCs w:val="20"/>
        </w:rPr>
        <w:t>34 limit 33 to english language</w:t>
      </w:r>
    </w:p>
    <w:p w14:paraId="286B3F6B">
      <w:pPr>
        <w:rPr>
          <w:rFonts w:hint="eastAsia"/>
          <w:b/>
          <w:bCs/>
          <w:i/>
          <w:iCs/>
          <w:color w:val="auto"/>
          <w:sz w:val="20"/>
          <w:szCs w:val="20"/>
        </w:rPr>
      </w:pPr>
      <w:r>
        <w:rPr>
          <w:rFonts w:hint="eastAsia" w:ascii="Times New Roman" w:hAnsi="Times New Roman" w:cs="Times New Roman"/>
          <w:b/>
          <w:bCs/>
          <w:i/>
          <w:iCs/>
          <w:color w:val="auto"/>
          <w:sz w:val="20"/>
          <w:szCs w:val="20"/>
        </w:rPr>
        <w:t xml:space="preserve">1.3 </w:t>
      </w:r>
      <w:r>
        <w:rPr>
          <w:rFonts w:ascii="Times New Roman" w:hAnsi="Times New Roman" w:cs="Times New Roman"/>
          <w:b/>
          <w:bCs/>
          <w:i/>
          <w:iCs/>
          <w:color w:val="auto"/>
          <w:sz w:val="20"/>
          <w:szCs w:val="20"/>
        </w:rPr>
        <w:t>Search Strategy</w:t>
      </w:r>
      <w:r>
        <w:rPr>
          <w:rFonts w:hint="eastAsia" w:ascii="Times New Roman" w:hAnsi="Times New Roman" w:cs="Times New Roman"/>
          <w:b/>
          <w:bCs/>
          <w:i/>
          <w:iCs/>
          <w:color w:val="auto"/>
          <w:sz w:val="20"/>
          <w:szCs w:val="20"/>
        </w:rPr>
        <w:t xml:space="preserve"> (Cochrane)</w:t>
      </w:r>
      <w:r>
        <w:rPr>
          <w:rFonts w:ascii="Times New Roman" w:hAnsi="Times New Roman" w:cs="Times New Roman"/>
          <w:b/>
          <w:bCs/>
          <w:i/>
          <w:iCs/>
          <w:color w:val="auto"/>
          <w:sz w:val="20"/>
          <w:szCs w:val="20"/>
        </w:rPr>
        <w:t xml:space="preserve">: </w:t>
      </w:r>
    </w:p>
    <w:p w14:paraId="20AD6D4F">
      <w:pPr>
        <w:rPr>
          <w:rFonts w:ascii="Times New Roman" w:hAnsi="Times New Roman" w:cs="Times New Roman"/>
          <w:color w:val="auto"/>
          <w:sz w:val="20"/>
          <w:szCs w:val="20"/>
        </w:rPr>
      </w:pPr>
    </w:p>
    <w:p w14:paraId="6233A2B5">
      <w:pPr>
        <w:rPr>
          <w:rFonts w:ascii="Times New Roman" w:hAnsi="Times New Roman" w:cs="Times New Roman"/>
          <w:color w:val="auto"/>
          <w:sz w:val="20"/>
          <w:szCs w:val="20"/>
        </w:rPr>
      </w:pPr>
      <w:r>
        <w:rPr>
          <w:rFonts w:ascii="Times New Roman" w:hAnsi="Times New Roman" w:cs="Times New Roman"/>
          <w:color w:val="auto"/>
          <w:sz w:val="20"/>
          <w:szCs w:val="20"/>
        </w:rPr>
        <w:t>#1 MeSH descriptor: [Neoplasms] explode all trees</w:t>
      </w:r>
    </w:p>
    <w:p w14:paraId="2D8D2193">
      <w:pPr>
        <w:rPr>
          <w:rFonts w:ascii="Times New Roman" w:hAnsi="Times New Roman" w:cs="Times New Roman"/>
          <w:color w:val="auto"/>
          <w:sz w:val="20"/>
          <w:szCs w:val="20"/>
        </w:rPr>
      </w:pPr>
    </w:p>
    <w:p w14:paraId="4EDFA0DF">
      <w:pPr>
        <w:rPr>
          <w:rFonts w:ascii="Times New Roman" w:hAnsi="Times New Roman" w:cs="Times New Roman"/>
          <w:color w:val="auto"/>
          <w:sz w:val="20"/>
          <w:szCs w:val="20"/>
        </w:rPr>
      </w:pPr>
      <w:r>
        <w:rPr>
          <w:rFonts w:ascii="Times New Roman" w:hAnsi="Times New Roman" w:cs="Times New Roman"/>
          <w:color w:val="auto"/>
          <w:sz w:val="20"/>
          <w:szCs w:val="20"/>
        </w:rPr>
        <w:t>#2 (tumor* or tumour* or neoplasm* or cancer* or malignan* or "cancer survivor*") in Trials (Word variations have been searched)</w:t>
      </w:r>
    </w:p>
    <w:p w14:paraId="11A4AE68">
      <w:pPr>
        <w:rPr>
          <w:rFonts w:ascii="Times New Roman" w:hAnsi="Times New Roman" w:cs="Times New Roman"/>
          <w:color w:val="auto"/>
          <w:sz w:val="20"/>
          <w:szCs w:val="20"/>
        </w:rPr>
      </w:pPr>
    </w:p>
    <w:p w14:paraId="5AE943C0">
      <w:pPr>
        <w:rPr>
          <w:rFonts w:ascii="Times New Roman" w:hAnsi="Times New Roman" w:cs="Times New Roman"/>
          <w:color w:val="auto"/>
          <w:sz w:val="20"/>
          <w:szCs w:val="20"/>
        </w:rPr>
      </w:pPr>
      <w:r>
        <w:rPr>
          <w:rFonts w:ascii="Times New Roman" w:hAnsi="Times New Roman" w:cs="Times New Roman"/>
          <w:color w:val="auto"/>
          <w:sz w:val="20"/>
          <w:szCs w:val="20"/>
        </w:rPr>
        <w:t>#3 MeSH descriptor: [Acupuncture Therapy] explode all trees</w:t>
      </w:r>
    </w:p>
    <w:p w14:paraId="1AA7D62C">
      <w:pPr>
        <w:rPr>
          <w:rFonts w:ascii="Times New Roman" w:hAnsi="Times New Roman" w:cs="Times New Roman"/>
          <w:color w:val="auto"/>
          <w:sz w:val="20"/>
          <w:szCs w:val="20"/>
        </w:rPr>
      </w:pPr>
    </w:p>
    <w:p w14:paraId="20641C5A">
      <w:pPr>
        <w:rPr>
          <w:rFonts w:ascii="Times New Roman" w:hAnsi="Times New Roman" w:cs="Times New Roman"/>
          <w:color w:val="auto"/>
          <w:sz w:val="20"/>
          <w:szCs w:val="20"/>
        </w:rPr>
      </w:pPr>
      <w:r>
        <w:rPr>
          <w:rFonts w:ascii="Times New Roman" w:hAnsi="Times New Roman" w:cs="Times New Roman"/>
          <w:color w:val="auto"/>
          <w:sz w:val="20"/>
          <w:szCs w:val="20"/>
        </w:rPr>
        <w:t>#4 MeSH descriptor: [Moxibustion] explode all trees</w:t>
      </w:r>
    </w:p>
    <w:p w14:paraId="73924613">
      <w:pPr>
        <w:rPr>
          <w:rFonts w:ascii="Times New Roman" w:hAnsi="Times New Roman" w:cs="Times New Roman"/>
          <w:color w:val="auto"/>
          <w:sz w:val="20"/>
          <w:szCs w:val="20"/>
        </w:rPr>
      </w:pPr>
    </w:p>
    <w:p w14:paraId="3FF244FB">
      <w:pPr>
        <w:rPr>
          <w:rFonts w:ascii="Times New Roman" w:hAnsi="Times New Roman" w:cs="Times New Roman"/>
          <w:color w:val="auto"/>
          <w:sz w:val="20"/>
          <w:szCs w:val="20"/>
        </w:rPr>
      </w:pPr>
      <w:r>
        <w:rPr>
          <w:rFonts w:ascii="Times New Roman" w:hAnsi="Times New Roman" w:cs="Times New Roman"/>
          <w:color w:val="auto"/>
          <w:sz w:val="20"/>
          <w:szCs w:val="20"/>
        </w:rPr>
        <w:t>#5 MeSH descriptor: [Acupressure] explode all trees</w:t>
      </w:r>
    </w:p>
    <w:p w14:paraId="19DEEF1F">
      <w:pPr>
        <w:rPr>
          <w:rFonts w:ascii="Times New Roman" w:hAnsi="Times New Roman" w:cs="Times New Roman"/>
          <w:color w:val="auto"/>
          <w:sz w:val="20"/>
          <w:szCs w:val="20"/>
        </w:rPr>
      </w:pPr>
    </w:p>
    <w:p w14:paraId="73292D81">
      <w:pPr>
        <w:rPr>
          <w:rFonts w:ascii="Times New Roman" w:hAnsi="Times New Roman" w:cs="Times New Roman"/>
          <w:color w:val="auto"/>
          <w:sz w:val="20"/>
          <w:szCs w:val="20"/>
        </w:rPr>
      </w:pPr>
      <w:r>
        <w:rPr>
          <w:rFonts w:ascii="Times New Roman" w:hAnsi="Times New Roman" w:cs="Times New Roman"/>
          <w:color w:val="auto"/>
          <w:sz w:val="20"/>
          <w:szCs w:val="20"/>
        </w:rPr>
        <w:t>#6 MeSH descriptor: [Massage] explode all trees</w:t>
      </w:r>
    </w:p>
    <w:p w14:paraId="57F9E72C">
      <w:pPr>
        <w:rPr>
          <w:rFonts w:ascii="Times New Roman" w:hAnsi="Times New Roman" w:cs="Times New Roman"/>
          <w:color w:val="auto"/>
          <w:sz w:val="20"/>
          <w:szCs w:val="20"/>
        </w:rPr>
      </w:pPr>
    </w:p>
    <w:p w14:paraId="39BE17CE">
      <w:pPr>
        <w:rPr>
          <w:rFonts w:ascii="Times New Roman" w:hAnsi="Times New Roman" w:cs="Times New Roman"/>
          <w:color w:val="auto"/>
          <w:sz w:val="20"/>
          <w:szCs w:val="20"/>
        </w:rPr>
      </w:pPr>
      <w:r>
        <w:rPr>
          <w:rFonts w:ascii="Times New Roman" w:hAnsi="Times New Roman" w:cs="Times New Roman"/>
          <w:color w:val="auto"/>
          <w:sz w:val="20"/>
          <w:szCs w:val="20"/>
        </w:rPr>
        <w:t>#7 MeSH descriptor: [Mind-Body Therapies] explode all trees</w:t>
      </w:r>
    </w:p>
    <w:p w14:paraId="2C7A36D2">
      <w:pPr>
        <w:rPr>
          <w:rFonts w:ascii="Times New Roman" w:hAnsi="Times New Roman" w:cs="Times New Roman"/>
          <w:color w:val="auto"/>
          <w:sz w:val="20"/>
          <w:szCs w:val="20"/>
        </w:rPr>
      </w:pPr>
    </w:p>
    <w:p w14:paraId="0855CDB2">
      <w:pPr>
        <w:rPr>
          <w:rFonts w:ascii="Times New Roman" w:hAnsi="Times New Roman" w:cs="Times New Roman"/>
          <w:color w:val="auto"/>
          <w:sz w:val="20"/>
          <w:szCs w:val="20"/>
        </w:rPr>
      </w:pPr>
      <w:r>
        <w:rPr>
          <w:rFonts w:ascii="Times New Roman" w:hAnsi="Times New Roman" w:cs="Times New Roman"/>
          <w:color w:val="auto"/>
          <w:sz w:val="20"/>
          <w:szCs w:val="20"/>
        </w:rPr>
        <w:t>#8 MeSH descriptor: [Tai Ji] explode all trees</w:t>
      </w:r>
    </w:p>
    <w:p w14:paraId="39A947DE">
      <w:pPr>
        <w:rPr>
          <w:rFonts w:ascii="Times New Roman" w:hAnsi="Times New Roman" w:cs="Times New Roman"/>
          <w:color w:val="auto"/>
          <w:sz w:val="20"/>
          <w:szCs w:val="20"/>
        </w:rPr>
      </w:pPr>
    </w:p>
    <w:p w14:paraId="5C2FC306">
      <w:pPr>
        <w:rPr>
          <w:rFonts w:ascii="Times New Roman" w:hAnsi="Times New Roman" w:cs="Times New Roman"/>
          <w:color w:val="auto"/>
          <w:sz w:val="20"/>
          <w:szCs w:val="20"/>
        </w:rPr>
      </w:pPr>
      <w:r>
        <w:rPr>
          <w:rFonts w:ascii="Times New Roman" w:hAnsi="Times New Roman" w:cs="Times New Roman"/>
          <w:color w:val="auto"/>
          <w:sz w:val="20"/>
          <w:szCs w:val="20"/>
        </w:rPr>
        <w:t>#9 MeSH descriptor: [Qigong] explode all trees</w:t>
      </w:r>
    </w:p>
    <w:p w14:paraId="305C6BC5">
      <w:pPr>
        <w:rPr>
          <w:rFonts w:ascii="Times New Roman" w:hAnsi="Times New Roman" w:cs="Times New Roman"/>
          <w:color w:val="auto"/>
          <w:sz w:val="20"/>
          <w:szCs w:val="20"/>
        </w:rPr>
      </w:pPr>
    </w:p>
    <w:p w14:paraId="1B850800">
      <w:pPr>
        <w:rPr>
          <w:rFonts w:ascii="Times New Roman" w:hAnsi="Times New Roman" w:cs="Times New Roman"/>
          <w:color w:val="auto"/>
          <w:sz w:val="20"/>
          <w:szCs w:val="20"/>
        </w:rPr>
      </w:pPr>
      <w:r>
        <w:rPr>
          <w:rFonts w:ascii="Times New Roman" w:hAnsi="Times New Roman" w:cs="Times New Roman"/>
          <w:color w:val="auto"/>
          <w:sz w:val="20"/>
          <w:szCs w:val="20"/>
        </w:rPr>
        <w:t>#10 MeSH descriptor: [Medicine, Chinese Traditional] explode all trees</w:t>
      </w:r>
    </w:p>
    <w:p w14:paraId="0A9FCF37">
      <w:pPr>
        <w:rPr>
          <w:rFonts w:ascii="Times New Roman" w:hAnsi="Times New Roman" w:cs="Times New Roman"/>
          <w:color w:val="auto"/>
          <w:sz w:val="20"/>
          <w:szCs w:val="20"/>
        </w:rPr>
      </w:pPr>
    </w:p>
    <w:p w14:paraId="5BF26EED">
      <w:pPr>
        <w:rPr>
          <w:rFonts w:ascii="Times New Roman" w:hAnsi="Times New Roman" w:cs="Times New Roman"/>
          <w:color w:val="auto"/>
          <w:sz w:val="20"/>
          <w:szCs w:val="20"/>
        </w:rPr>
      </w:pPr>
      <w:r>
        <w:rPr>
          <w:rFonts w:ascii="Times New Roman" w:hAnsi="Times New Roman" w:cs="Times New Roman"/>
          <w:color w:val="auto"/>
          <w:sz w:val="20"/>
          <w:szCs w:val="20"/>
        </w:rPr>
        <w:t>#11 (acupuncture or pharmacopuncture or moxibustion or acupressure or tuina or massage or "chinese massage" or "gua sha" or qigong or "qi gong" or "chi kung" or "tai chi" or tai ji or taiji or taijiquan or baduanjin or wuqinxi or liuzijue or "yi jin jing" or "traditional chinese medicine") in Trials (Word variations have been searched)</w:t>
      </w:r>
    </w:p>
    <w:p w14:paraId="4038385A">
      <w:pPr>
        <w:rPr>
          <w:rFonts w:ascii="Times New Roman" w:hAnsi="Times New Roman" w:cs="Times New Roman"/>
          <w:color w:val="auto"/>
          <w:sz w:val="20"/>
          <w:szCs w:val="20"/>
        </w:rPr>
      </w:pPr>
    </w:p>
    <w:p w14:paraId="708390A3">
      <w:pPr>
        <w:rPr>
          <w:rFonts w:ascii="Times New Roman" w:hAnsi="Times New Roman" w:cs="Times New Roman"/>
          <w:color w:val="auto"/>
          <w:sz w:val="20"/>
          <w:szCs w:val="20"/>
        </w:rPr>
      </w:pPr>
      <w:r>
        <w:rPr>
          <w:rFonts w:ascii="Times New Roman" w:hAnsi="Times New Roman" w:cs="Times New Roman"/>
          <w:color w:val="auto"/>
          <w:sz w:val="20"/>
          <w:szCs w:val="20"/>
        </w:rPr>
        <w:t>#12 #3 or #4 or #5 or #6 or #7 or #8 or #9 or #10 or #11</w:t>
      </w:r>
    </w:p>
    <w:p w14:paraId="01BDA82C">
      <w:pPr>
        <w:rPr>
          <w:rFonts w:ascii="Times New Roman" w:hAnsi="Times New Roman" w:cs="Times New Roman"/>
          <w:color w:val="auto"/>
          <w:sz w:val="20"/>
          <w:szCs w:val="20"/>
        </w:rPr>
      </w:pPr>
    </w:p>
    <w:p w14:paraId="1A3C954F">
      <w:pPr>
        <w:rPr>
          <w:rFonts w:ascii="Times New Roman" w:hAnsi="Times New Roman" w:cs="Times New Roman"/>
          <w:color w:val="auto"/>
          <w:sz w:val="20"/>
          <w:szCs w:val="20"/>
        </w:rPr>
      </w:pPr>
      <w:r>
        <w:rPr>
          <w:rFonts w:ascii="Times New Roman" w:hAnsi="Times New Roman" w:cs="Times New Roman"/>
          <w:color w:val="auto"/>
          <w:sz w:val="20"/>
          <w:szCs w:val="20"/>
        </w:rPr>
        <w:t>#13 MeSH descriptor: [Depression] explode all trees</w:t>
      </w:r>
    </w:p>
    <w:p w14:paraId="007448DA">
      <w:pPr>
        <w:rPr>
          <w:rFonts w:ascii="Times New Roman" w:hAnsi="Times New Roman" w:cs="Times New Roman"/>
          <w:color w:val="auto"/>
          <w:sz w:val="20"/>
          <w:szCs w:val="20"/>
        </w:rPr>
      </w:pPr>
    </w:p>
    <w:p w14:paraId="53395338">
      <w:pPr>
        <w:rPr>
          <w:rFonts w:ascii="Times New Roman" w:hAnsi="Times New Roman" w:cs="Times New Roman"/>
          <w:color w:val="auto"/>
          <w:sz w:val="20"/>
          <w:szCs w:val="20"/>
        </w:rPr>
      </w:pPr>
      <w:r>
        <w:rPr>
          <w:rFonts w:ascii="Times New Roman" w:hAnsi="Times New Roman" w:cs="Times New Roman"/>
          <w:color w:val="auto"/>
          <w:sz w:val="20"/>
          <w:szCs w:val="20"/>
        </w:rPr>
        <w:t>#14 MeSH descriptor: [Anxiety] explode all trees</w:t>
      </w:r>
    </w:p>
    <w:p w14:paraId="58795DEE">
      <w:pPr>
        <w:rPr>
          <w:rFonts w:ascii="Times New Roman" w:hAnsi="Times New Roman" w:cs="Times New Roman"/>
          <w:color w:val="auto"/>
          <w:sz w:val="20"/>
          <w:szCs w:val="20"/>
        </w:rPr>
      </w:pPr>
    </w:p>
    <w:p w14:paraId="58F09D1B">
      <w:pPr>
        <w:rPr>
          <w:rFonts w:ascii="Times New Roman" w:hAnsi="Times New Roman" w:cs="Times New Roman"/>
          <w:color w:val="auto"/>
          <w:sz w:val="20"/>
          <w:szCs w:val="20"/>
        </w:rPr>
      </w:pPr>
      <w:r>
        <w:rPr>
          <w:rFonts w:ascii="Times New Roman" w:hAnsi="Times New Roman" w:cs="Times New Roman"/>
          <w:color w:val="auto"/>
          <w:sz w:val="20"/>
          <w:szCs w:val="20"/>
        </w:rPr>
        <w:t>#15 MeSH descriptor: [Mood Disorders] explode all trees</w:t>
      </w:r>
    </w:p>
    <w:p w14:paraId="1CAE87A5">
      <w:pPr>
        <w:rPr>
          <w:rFonts w:ascii="Times New Roman" w:hAnsi="Times New Roman" w:cs="Times New Roman"/>
          <w:color w:val="auto"/>
          <w:sz w:val="20"/>
          <w:szCs w:val="20"/>
        </w:rPr>
      </w:pPr>
    </w:p>
    <w:p w14:paraId="57C9E007">
      <w:pPr>
        <w:rPr>
          <w:rFonts w:ascii="Times New Roman" w:hAnsi="Times New Roman" w:cs="Times New Roman"/>
          <w:color w:val="auto"/>
          <w:sz w:val="20"/>
          <w:szCs w:val="20"/>
        </w:rPr>
      </w:pPr>
      <w:r>
        <w:rPr>
          <w:rFonts w:ascii="Times New Roman" w:hAnsi="Times New Roman" w:cs="Times New Roman"/>
          <w:color w:val="auto"/>
          <w:sz w:val="20"/>
          <w:szCs w:val="20"/>
        </w:rPr>
        <w:t>#16 MeSH descriptor: [Sleep Wake Disorders] explode all trees</w:t>
      </w:r>
    </w:p>
    <w:p w14:paraId="3F6A1610">
      <w:pPr>
        <w:rPr>
          <w:rFonts w:ascii="Times New Roman" w:hAnsi="Times New Roman" w:cs="Times New Roman"/>
          <w:color w:val="auto"/>
          <w:sz w:val="20"/>
          <w:szCs w:val="20"/>
        </w:rPr>
      </w:pPr>
    </w:p>
    <w:p w14:paraId="21F02565">
      <w:pPr>
        <w:rPr>
          <w:rFonts w:ascii="Times New Roman" w:hAnsi="Times New Roman" w:cs="Times New Roman"/>
          <w:color w:val="auto"/>
          <w:sz w:val="20"/>
          <w:szCs w:val="20"/>
        </w:rPr>
      </w:pPr>
      <w:r>
        <w:rPr>
          <w:rFonts w:ascii="Times New Roman" w:hAnsi="Times New Roman" w:cs="Times New Roman"/>
          <w:color w:val="auto"/>
          <w:sz w:val="20"/>
          <w:szCs w:val="20"/>
        </w:rPr>
        <w:t>#17 MeSH descriptor: [Quality of Life] explode all trees</w:t>
      </w:r>
    </w:p>
    <w:p w14:paraId="20C9823F">
      <w:pPr>
        <w:rPr>
          <w:rFonts w:ascii="Times New Roman" w:hAnsi="Times New Roman" w:cs="Times New Roman"/>
          <w:color w:val="auto"/>
          <w:sz w:val="20"/>
          <w:szCs w:val="20"/>
        </w:rPr>
      </w:pPr>
    </w:p>
    <w:p w14:paraId="525919C2">
      <w:pPr>
        <w:rPr>
          <w:rFonts w:ascii="Times New Roman" w:hAnsi="Times New Roman" w:cs="Times New Roman"/>
          <w:color w:val="auto"/>
          <w:sz w:val="20"/>
          <w:szCs w:val="20"/>
        </w:rPr>
      </w:pPr>
      <w:r>
        <w:rPr>
          <w:rFonts w:ascii="Times New Roman" w:hAnsi="Times New Roman" w:cs="Times New Roman"/>
          <w:color w:val="auto"/>
          <w:sz w:val="20"/>
          <w:szCs w:val="20"/>
        </w:rPr>
        <w:t>#18 (depress* or anxiety or anxious or anxi* or mood or emotion* or sleep or insomnia or "sleep quality" or "quality of life" or QoL or wellbeing or well-being) in Trials (Word variations have been searched)</w:t>
      </w:r>
    </w:p>
    <w:p w14:paraId="45FE7CF0">
      <w:pPr>
        <w:rPr>
          <w:rFonts w:ascii="Times New Roman" w:hAnsi="Times New Roman" w:cs="Times New Roman"/>
          <w:color w:val="auto"/>
          <w:sz w:val="20"/>
          <w:szCs w:val="20"/>
        </w:rPr>
      </w:pPr>
    </w:p>
    <w:p w14:paraId="70D76706">
      <w:pPr>
        <w:rPr>
          <w:rFonts w:ascii="Times New Roman" w:hAnsi="Times New Roman" w:cs="Times New Roman"/>
          <w:color w:val="auto"/>
          <w:sz w:val="20"/>
          <w:szCs w:val="20"/>
        </w:rPr>
      </w:pPr>
      <w:r>
        <w:rPr>
          <w:rFonts w:ascii="Times New Roman" w:hAnsi="Times New Roman" w:cs="Times New Roman"/>
          <w:color w:val="auto"/>
          <w:sz w:val="20"/>
          <w:szCs w:val="20"/>
        </w:rPr>
        <w:t>#19 #13 or #14 or #15 or #16 or #17 or #18</w:t>
      </w:r>
    </w:p>
    <w:p w14:paraId="3E0C6050">
      <w:pPr>
        <w:rPr>
          <w:rFonts w:ascii="Times New Roman" w:hAnsi="Times New Roman" w:cs="Times New Roman"/>
          <w:color w:val="auto"/>
          <w:sz w:val="20"/>
          <w:szCs w:val="20"/>
        </w:rPr>
      </w:pPr>
    </w:p>
    <w:p w14:paraId="57D70771">
      <w:pPr>
        <w:rPr>
          <w:rFonts w:ascii="Times New Roman" w:hAnsi="Times New Roman" w:cs="Times New Roman"/>
          <w:color w:val="auto"/>
          <w:sz w:val="20"/>
          <w:szCs w:val="20"/>
        </w:rPr>
      </w:pPr>
      <w:r>
        <w:rPr>
          <w:rFonts w:ascii="Times New Roman" w:hAnsi="Times New Roman" w:cs="Times New Roman"/>
          <w:color w:val="auto"/>
          <w:sz w:val="20"/>
          <w:szCs w:val="20"/>
        </w:rPr>
        <w:t>#20 #1 or #2</w:t>
      </w:r>
    </w:p>
    <w:p w14:paraId="509A993F">
      <w:pPr>
        <w:rPr>
          <w:rFonts w:ascii="Times New Roman" w:hAnsi="Times New Roman" w:cs="Times New Roman"/>
          <w:color w:val="auto"/>
          <w:sz w:val="20"/>
          <w:szCs w:val="20"/>
        </w:rPr>
      </w:pPr>
    </w:p>
    <w:p w14:paraId="5EC18850">
      <w:pPr>
        <w:rPr>
          <w:rFonts w:ascii="Times New Roman" w:hAnsi="Times New Roman" w:cs="Times New Roman"/>
          <w:color w:val="auto"/>
          <w:sz w:val="20"/>
          <w:szCs w:val="20"/>
        </w:rPr>
        <w:sectPr>
          <w:pgSz w:w="11906" w:h="16838"/>
          <w:pgMar w:top="1440" w:right="1800" w:bottom="1440" w:left="1800" w:header="851" w:footer="992" w:gutter="0"/>
          <w:cols w:space="425" w:num="1"/>
          <w:docGrid w:type="lines" w:linePitch="312" w:charSpace="0"/>
        </w:sectPr>
      </w:pPr>
      <w:r>
        <w:rPr>
          <w:rFonts w:ascii="Times New Roman" w:hAnsi="Times New Roman" w:cs="Times New Roman"/>
          <w:color w:val="auto"/>
          <w:sz w:val="20"/>
          <w:szCs w:val="20"/>
        </w:rPr>
        <w:t>#21 #20 and #12 and #19</w:t>
      </w:r>
    </w:p>
    <w:p w14:paraId="66A07476">
      <w:pPr>
        <w:rPr>
          <w:rFonts w:hint="eastAsia"/>
          <w:b/>
          <w:bCs/>
          <w:i/>
          <w:iCs/>
          <w:color w:val="auto"/>
          <w:sz w:val="20"/>
          <w:szCs w:val="20"/>
        </w:rPr>
      </w:pPr>
      <w:r>
        <w:rPr>
          <w:rFonts w:hint="eastAsia" w:ascii="Times New Roman" w:hAnsi="Times New Roman" w:cs="Times New Roman"/>
          <w:b/>
          <w:bCs/>
          <w:i/>
          <w:iCs/>
          <w:color w:val="auto"/>
          <w:sz w:val="20"/>
          <w:szCs w:val="20"/>
        </w:rPr>
        <w:t xml:space="preserve">1.4 </w:t>
      </w:r>
      <w:r>
        <w:rPr>
          <w:rFonts w:ascii="Times New Roman" w:hAnsi="Times New Roman" w:cs="Times New Roman"/>
          <w:b/>
          <w:bCs/>
          <w:i/>
          <w:iCs/>
          <w:color w:val="auto"/>
          <w:sz w:val="20"/>
          <w:szCs w:val="20"/>
        </w:rPr>
        <w:t>Search Strategy</w:t>
      </w:r>
      <w:r>
        <w:rPr>
          <w:rFonts w:hint="eastAsia" w:ascii="Times New Roman" w:hAnsi="Times New Roman" w:cs="Times New Roman"/>
          <w:b/>
          <w:bCs/>
          <w:i/>
          <w:iCs/>
          <w:color w:val="auto"/>
          <w:sz w:val="20"/>
          <w:szCs w:val="20"/>
        </w:rPr>
        <w:t xml:space="preserve"> (Web of Science)</w:t>
      </w:r>
      <w:r>
        <w:rPr>
          <w:rFonts w:ascii="Times New Roman" w:hAnsi="Times New Roman" w:cs="Times New Roman"/>
          <w:b/>
          <w:bCs/>
          <w:i/>
          <w:iCs/>
          <w:color w:val="auto"/>
          <w:sz w:val="20"/>
          <w:szCs w:val="20"/>
        </w:rPr>
        <w:t xml:space="preserve">: </w:t>
      </w:r>
    </w:p>
    <w:p w14:paraId="1A6F623E">
      <w:pPr>
        <w:rPr>
          <w:rFonts w:ascii="Times New Roman" w:hAnsi="Times New Roman" w:cs="Times New Roman"/>
          <w:color w:val="auto"/>
          <w:sz w:val="20"/>
          <w:szCs w:val="20"/>
        </w:rPr>
      </w:pPr>
    </w:p>
    <w:p w14:paraId="12391F6F">
      <w:pPr>
        <w:rPr>
          <w:rFonts w:ascii="Times New Roman" w:hAnsi="Times New Roman" w:cs="Times New Roman"/>
          <w:color w:val="auto"/>
          <w:sz w:val="20"/>
          <w:szCs w:val="20"/>
        </w:rPr>
      </w:pPr>
      <w:r>
        <w:rPr>
          <w:rFonts w:ascii="Times New Roman" w:hAnsi="Times New Roman" w:cs="Times New Roman"/>
          <w:color w:val="auto"/>
          <w:sz w:val="20"/>
          <w:szCs w:val="20"/>
        </w:rPr>
        <w:t>#13 #12 AND #11 AND #1</w:t>
      </w:r>
    </w:p>
    <w:p w14:paraId="4742C866">
      <w:pPr>
        <w:rPr>
          <w:rFonts w:ascii="Times New Roman" w:hAnsi="Times New Roman" w:cs="Times New Roman"/>
          <w:color w:val="auto"/>
          <w:sz w:val="20"/>
          <w:szCs w:val="20"/>
        </w:rPr>
      </w:pPr>
      <w:r>
        <w:rPr>
          <w:rFonts w:ascii="Times New Roman" w:hAnsi="Times New Roman" w:cs="Times New Roman"/>
          <w:color w:val="auto"/>
          <w:sz w:val="20"/>
          <w:szCs w:val="20"/>
        </w:rPr>
        <w:t>Indexes=SCI-EXPANDED, SSCI, A&amp;HCI, CPCI-S, CPCI-SSH, BKCI-S, BKCI-SSH, ESCI, CCR-EXPANDED, IC</w:t>
      </w:r>
    </w:p>
    <w:p w14:paraId="460F2AC5">
      <w:pPr>
        <w:rPr>
          <w:rFonts w:ascii="Times New Roman" w:hAnsi="Times New Roman" w:cs="Times New Roman"/>
          <w:color w:val="auto"/>
          <w:sz w:val="20"/>
          <w:szCs w:val="20"/>
        </w:rPr>
      </w:pPr>
      <w:r>
        <w:rPr>
          <w:rFonts w:ascii="Times New Roman" w:hAnsi="Times New Roman" w:cs="Times New Roman"/>
          <w:color w:val="auto"/>
          <w:sz w:val="20"/>
          <w:szCs w:val="20"/>
        </w:rPr>
        <w:t>Timespan=All years</w:t>
      </w:r>
    </w:p>
    <w:p w14:paraId="46D2B41C">
      <w:pPr>
        <w:rPr>
          <w:rFonts w:ascii="Times New Roman" w:hAnsi="Times New Roman" w:cs="Times New Roman"/>
          <w:color w:val="auto"/>
          <w:sz w:val="20"/>
          <w:szCs w:val="20"/>
        </w:rPr>
      </w:pPr>
    </w:p>
    <w:p w14:paraId="0F53DD9D">
      <w:pPr>
        <w:rPr>
          <w:rFonts w:ascii="Times New Roman" w:hAnsi="Times New Roman" w:cs="Times New Roman"/>
          <w:color w:val="auto"/>
          <w:sz w:val="20"/>
          <w:szCs w:val="20"/>
        </w:rPr>
      </w:pPr>
      <w:r>
        <w:rPr>
          <w:rFonts w:ascii="Times New Roman" w:hAnsi="Times New Roman" w:cs="Times New Roman"/>
          <w:color w:val="auto"/>
          <w:sz w:val="20"/>
          <w:szCs w:val="20"/>
        </w:rPr>
        <w:t>#12 #10 OR #9 OR #8 OR #7 OR #6 OR #5 OR #4 OR #3 OR #2</w:t>
      </w:r>
    </w:p>
    <w:p w14:paraId="51E0067D">
      <w:pPr>
        <w:rPr>
          <w:rFonts w:ascii="Times New Roman" w:hAnsi="Times New Roman" w:cs="Times New Roman"/>
          <w:color w:val="auto"/>
          <w:sz w:val="20"/>
          <w:szCs w:val="20"/>
        </w:rPr>
      </w:pPr>
      <w:r>
        <w:rPr>
          <w:rFonts w:ascii="Times New Roman" w:hAnsi="Times New Roman" w:cs="Times New Roman"/>
          <w:color w:val="auto"/>
          <w:sz w:val="20"/>
          <w:szCs w:val="20"/>
        </w:rPr>
        <w:t>Indexes=SCI-EXPANDED, SSCI, A&amp;HCI, CPCI-S, CPCI-SSH, BKCI-S, BKCI-SSH, ESCI, CCR-EXPANDED, IC</w:t>
      </w:r>
    </w:p>
    <w:p w14:paraId="16CFCD01">
      <w:pPr>
        <w:rPr>
          <w:rFonts w:ascii="Times New Roman" w:hAnsi="Times New Roman" w:cs="Times New Roman"/>
          <w:color w:val="auto"/>
          <w:sz w:val="20"/>
          <w:szCs w:val="20"/>
        </w:rPr>
      </w:pPr>
      <w:r>
        <w:rPr>
          <w:rFonts w:ascii="Times New Roman" w:hAnsi="Times New Roman" w:cs="Times New Roman"/>
          <w:color w:val="auto"/>
          <w:sz w:val="20"/>
          <w:szCs w:val="20"/>
        </w:rPr>
        <w:t>Timespan=All years</w:t>
      </w:r>
    </w:p>
    <w:p w14:paraId="7F918842">
      <w:pPr>
        <w:rPr>
          <w:rFonts w:ascii="Times New Roman" w:hAnsi="Times New Roman" w:cs="Times New Roman"/>
          <w:color w:val="auto"/>
          <w:sz w:val="20"/>
          <w:szCs w:val="20"/>
        </w:rPr>
      </w:pPr>
    </w:p>
    <w:p w14:paraId="60FEBD35">
      <w:pPr>
        <w:rPr>
          <w:rFonts w:ascii="Times New Roman" w:hAnsi="Times New Roman" w:cs="Times New Roman"/>
          <w:color w:val="auto"/>
          <w:sz w:val="20"/>
          <w:szCs w:val="20"/>
        </w:rPr>
      </w:pPr>
      <w:r>
        <w:rPr>
          <w:rFonts w:ascii="Times New Roman" w:hAnsi="Times New Roman" w:cs="Times New Roman"/>
          <w:color w:val="auto"/>
          <w:sz w:val="20"/>
          <w:szCs w:val="20"/>
        </w:rPr>
        <w:t>#11 TOPIC: ((“randomized controlled trial*” OR “controlled clinical trial” OR random* OR randomly OR trial OR “clinical trial*” OR “cross-over stud*” OR clinic*))</w:t>
      </w:r>
    </w:p>
    <w:p w14:paraId="7C978341">
      <w:pPr>
        <w:rPr>
          <w:rFonts w:ascii="Times New Roman" w:hAnsi="Times New Roman" w:cs="Times New Roman"/>
          <w:color w:val="auto"/>
          <w:sz w:val="20"/>
          <w:szCs w:val="20"/>
        </w:rPr>
      </w:pPr>
      <w:r>
        <w:rPr>
          <w:rFonts w:ascii="Times New Roman" w:hAnsi="Times New Roman" w:cs="Times New Roman"/>
          <w:color w:val="auto"/>
          <w:sz w:val="20"/>
          <w:szCs w:val="20"/>
        </w:rPr>
        <w:t>Indexes=SCI-EXPANDED, SSCI, A&amp;HCI, CPCI-S, CPCI-SSH, BKCI-S, BKCI-SSH, ESCI, CCR-EXPANDED, IC</w:t>
      </w:r>
    </w:p>
    <w:p w14:paraId="3094FD3B">
      <w:pPr>
        <w:rPr>
          <w:rFonts w:ascii="Times New Roman" w:hAnsi="Times New Roman" w:cs="Times New Roman"/>
          <w:color w:val="auto"/>
          <w:sz w:val="20"/>
          <w:szCs w:val="20"/>
        </w:rPr>
      </w:pPr>
      <w:r>
        <w:rPr>
          <w:rFonts w:ascii="Times New Roman" w:hAnsi="Times New Roman" w:cs="Times New Roman"/>
          <w:color w:val="auto"/>
          <w:sz w:val="20"/>
          <w:szCs w:val="20"/>
        </w:rPr>
        <w:t>Timespan=All years</w:t>
      </w:r>
    </w:p>
    <w:p w14:paraId="2B94845B">
      <w:pPr>
        <w:rPr>
          <w:rFonts w:ascii="Times New Roman" w:hAnsi="Times New Roman" w:cs="Times New Roman"/>
          <w:color w:val="auto"/>
          <w:sz w:val="20"/>
          <w:szCs w:val="20"/>
        </w:rPr>
      </w:pPr>
    </w:p>
    <w:p w14:paraId="0FF681FF">
      <w:pPr>
        <w:rPr>
          <w:rFonts w:ascii="Times New Roman" w:hAnsi="Times New Roman" w:cs="Times New Roman"/>
          <w:color w:val="auto"/>
          <w:sz w:val="20"/>
          <w:szCs w:val="20"/>
        </w:rPr>
      </w:pPr>
      <w:r>
        <w:rPr>
          <w:rFonts w:ascii="Times New Roman" w:hAnsi="Times New Roman" w:cs="Times New Roman"/>
          <w:color w:val="auto"/>
          <w:sz w:val="20"/>
          <w:szCs w:val="20"/>
        </w:rPr>
        <w:t>#10 TOPIC: ((depress* OR depressive* OR anxiety OR anxious OR anxi* OR mood OR emotion* OR sleep OR insomnia OR “sleep quality” OR “quality of life” OR QoL OR wellbeing OR well-being))</w:t>
      </w:r>
    </w:p>
    <w:p w14:paraId="76A7FF18">
      <w:pPr>
        <w:rPr>
          <w:rFonts w:ascii="Times New Roman" w:hAnsi="Times New Roman" w:cs="Times New Roman"/>
          <w:color w:val="auto"/>
          <w:sz w:val="20"/>
          <w:szCs w:val="20"/>
        </w:rPr>
      </w:pPr>
      <w:r>
        <w:rPr>
          <w:rFonts w:ascii="Times New Roman" w:hAnsi="Times New Roman" w:cs="Times New Roman"/>
          <w:color w:val="auto"/>
          <w:sz w:val="20"/>
          <w:szCs w:val="20"/>
        </w:rPr>
        <w:t>Indexes=SCI-EXPANDED, SSCI, A&amp;HCI, CPCI-S, CPCI-SSH, BKCI-S, BKCI-SSH, ESCI, CCR-EXPANDED, IC</w:t>
      </w:r>
    </w:p>
    <w:p w14:paraId="6A4F1BC5">
      <w:pPr>
        <w:rPr>
          <w:rFonts w:ascii="Times New Roman" w:hAnsi="Times New Roman" w:cs="Times New Roman"/>
          <w:color w:val="auto"/>
          <w:sz w:val="20"/>
          <w:szCs w:val="20"/>
        </w:rPr>
      </w:pPr>
      <w:r>
        <w:rPr>
          <w:rFonts w:ascii="Times New Roman" w:hAnsi="Times New Roman" w:cs="Times New Roman"/>
          <w:color w:val="auto"/>
          <w:sz w:val="20"/>
          <w:szCs w:val="20"/>
        </w:rPr>
        <w:t>Timespan=All years</w:t>
      </w:r>
    </w:p>
    <w:p w14:paraId="08221CBA">
      <w:pPr>
        <w:rPr>
          <w:rFonts w:ascii="Times New Roman" w:hAnsi="Times New Roman" w:cs="Times New Roman"/>
          <w:color w:val="auto"/>
          <w:sz w:val="20"/>
          <w:szCs w:val="20"/>
        </w:rPr>
      </w:pPr>
    </w:p>
    <w:p w14:paraId="19F3BD53">
      <w:pPr>
        <w:rPr>
          <w:rFonts w:ascii="Times New Roman" w:hAnsi="Times New Roman" w:cs="Times New Roman"/>
          <w:color w:val="auto"/>
          <w:sz w:val="20"/>
          <w:szCs w:val="20"/>
        </w:rPr>
      </w:pPr>
      <w:r>
        <w:rPr>
          <w:rFonts w:ascii="Times New Roman" w:hAnsi="Times New Roman" w:cs="Times New Roman"/>
          <w:color w:val="auto"/>
          <w:sz w:val="20"/>
          <w:szCs w:val="20"/>
        </w:rPr>
        <w:t>#9 TOPIC: ((“Mind-Body Therap*” OR “Mind Body Therap*”))</w:t>
      </w:r>
    </w:p>
    <w:p w14:paraId="44B7F412">
      <w:pPr>
        <w:rPr>
          <w:rFonts w:ascii="Times New Roman" w:hAnsi="Times New Roman" w:cs="Times New Roman"/>
          <w:color w:val="auto"/>
          <w:sz w:val="20"/>
          <w:szCs w:val="20"/>
        </w:rPr>
      </w:pPr>
      <w:r>
        <w:rPr>
          <w:rFonts w:ascii="Times New Roman" w:hAnsi="Times New Roman" w:cs="Times New Roman"/>
          <w:color w:val="auto"/>
          <w:sz w:val="20"/>
          <w:szCs w:val="20"/>
        </w:rPr>
        <w:t>Indexes=SCI-EXPANDED, SSCI, A&amp;HCI, CPCI-S, CPCI-SSH, BKCI-S, BKCI-SSH, ESCI, CCR-EXPANDED, IC</w:t>
      </w:r>
    </w:p>
    <w:p w14:paraId="68637AD1">
      <w:pPr>
        <w:rPr>
          <w:rFonts w:ascii="Times New Roman" w:hAnsi="Times New Roman" w:cs="Times New Roman"/>
          <w:color w:val="auto"/>
          <w:sz w:val="20"/>
          <w:szCs w:val="20"/>
        </w:rPr>
      </w:pPr>
      <w:r>
        <w:rPr>
          <w:rFonts w:ascii="Times New Roman" w:hAnsi="Times New Roman" w:cs="Times New Roman"/>
          <w:color w:val="auto"/>
          <w:sz w:val="20"/>
          <w:szCs w:val="20"/>
        </w:rPr>
        <w:t>Timespan=All years</w:t>
      </w:r>
    </w:p>
    <w:p w14:paraId="34D1A6B9">
      <w:pPr>
        <w:rPr>
          <w:rFonts w:ascii="Times New Roman" w:hAnsi="Times New Roman" w:cs="Times New Roman"/>
          <w:color w:val="auto"/>
          <w:sz w:val="20"/>
          <w:szCs w:val="20"/>
        </w:rPr>
      </w:pPr>
    </w:p>
    <w:p w14:paraId="02C57D5A">
      <w:pPr>
        <w:rPr>
          <w:rFonts w:ascii="Times New Roman" w:hAnsi="Times New Roman" w:cs="Times New Roman"/>
          <w:color w:val="auto"/>
          <w:sz w:val="20"/>
          <w:szCs w:val="20"/>
        </w:rPr>
      </w:pPr>
      <w:r>
        <w:rPr>
          <w:rFonts w:ascii="Times New Roman" w:hAnsi="Times New Roman" w:cs="Times New Roman"/>
          <w:color w:val="auto"/>
          <w:sz w:val="20"/>
          <w:szCs w:val="20"/>
        </w:rPr>
        <w:t>#8 TOPIC: ((“Tai-ji” OR “Tai Chi” OR “Chi, Tai” OR “Tai Ji Quan” OR “Ji Quan, Tai” OR “Quan, Tai Ji” OR Taiji OR Taijiquan OR “T'ai Chi” OR “Tai Chi Chuan” OR Qigong OR “Qi Gong” OR “Ch'i Kung” OR Baduanjin OR Wuqinxi OR Liuzijue OR “Yi Jin Jing”))</w:t>
      </w:r>
    </w:p>
    <w:p w14:paraId="3301564B">
      <w:pPr>
        <w:rPr>
          <w:rFonts w:ascii="Times New Roman" w:hAnsi="Times New Roman" w:cs="Times New Roman"/>
          <w:color w:val="auto"/>
          <w:sz w:val="20"/>
          <w:szCs w:val="20"/>
        </w:rPr>
      </w:pPr>
      <w:r>
        <w:rPr>
          <w:rFonts w:ascii="Times New Roman" w:hAnsi="Times New Roman" w:cs="Times New Roman"/>
          <w:color w:val="auto"/>
          <w:sz w:val="20"/>
          <w:szCs w:val="20"/>
        </w:rPr>
        <w:t>Indexes=SCI-EXPANDED, SSCI, A&amp;HCI, CPCI-S, CPCI-SSH, BKCI-S, BKCI-SSH, ESCI, CCR-EXPANDED, IC</w:t>
      </w:r>
    </w:p>
    <w:p w14:paraId="61F1023D">
      <w:pPr>
        <w:rPr>
          <w:rFonts w:ascii="Times New Roman" w:hAnsi="Times New Roman" w:cs="Times New Roman"/>
          <w:color w:val="auto"/>
          <w:sz w:val="20"/>
          <w:szCs w:val="20"/>
        </w:rPr>
      </w:pPr>
      <w:r>
        <w:rPr>
          <w:rFonts w:ascii="Times New Roman" w:hAnsi="Times New Roman" w:cs="Times New Roman"/>
          <w:color w:val="auto"/>
          <w:sz w:val="20"/>
          <w:szCs w:val="20"/>
        </w:rPr>
        <w:t>Timespan=All years</w:t>
      </w:r>
    </w:p>
    <w:p w14:paraId="7DF8C120">
      <w:pPr>
        <w:rPr>
          <w:rFonts w:ascii="Times New Roman" w:hAnsi="Times New Roman" w:cs="Times New Roman"/>
          <w:color w:val="auto"/>
          <w:sz w:val="20"/>
          <w:szCs w:val="20"/>
        </w:rPr>
      </w:pPr>
    </w:p>
    <w:p w14:paraId="2FE13045">
      <w:pPr>
        <w:rPr>
          <w:rFonts w:ascii="Times New Roman" w:hAnsi="Times New Roman" w:cs="Times New Roman"/>
          <w:color w:val="auto"/>
          <w:sz w:val="20"/>
          <w:szCs w:val="20"/>
        </w:rPr>
      </w:pPr>
      <w:r>
        <w:rPr>
          <w:rFonts w:ascii="Times New Roman" w:hAnsi="Times New Roman" w:cs="Times New Roman"/>
          <w:color w:val="auto"/>
          <w:sz w:val="20"/>
          <w:szCs w:val="20"/>
        </w:rPr>
        <w:t>#7 TOPIC: ((acupuncture OR electroacupuncture OR pharmacopuncture OR moxibustion))</w:t>
      </w:r>
    </w:p>
    <w:p w14:paraId="7CD2B356">
      <w:pPr>
        <w:rPr>
          <w:rFonts w:ascii="Times New Roman" w:hAnsi="Times New Roman" w:cs="Times New Roman"/>
          <w:color w:val="auto"/>
          <w:sz w:val="20"/>
          <w:szCs w:val="20"/>
        </w:rPr>
      </w:pPr>
      <w:r>
        <w:rPr>
          <w:rFonts w:ascii="Times New Roman" w:hAnsi="Times New Roman" w:cs="Times New Roman"/>
          <w:color w:val="auto"/>
          <w:sz w:val="20"/>
          <w:szCs w:val="20"/>
        </w:rPr>
        <w:t>Indexes=SCI-EXPANDED, SSCI, A&amp;HCI, CPCI-S, CPCI-SSH, BKCI-S, BKCI-SSH, ESCI, CCR-EXPANDED, IC</w:t>
      </w:r>
    </w:p>
    <w:p w14:paraId="76E5C301">
      <w:pPr>
        <w:rPr>
          <w:rFonts w:ascii="Times New Roman" w:hAnsi="Times New Roman" w:cs="Times New Roman"/>
          <w:color w:val="auto"/>
          <w:sz w:val="20"/>
          <w:szCs w:val="20"/>
        </w:rPr>
      </w:pPr>
      <w:r>
        <w:rPr>
          <w:rFonts w:ascii="Times New Roman" w:hAnsi="Times New Roman" w:cs="Times New Roman"/>
          <w:color w:val="auto"/>
          <w:sz w:val="20"/>
          <w:szCs w:val="20"/>
        </w:rPr>
        <w:t>Timespan=All years</w:t>
      </w:r>
    </w:p>
    <w:p w14:paraId="68A60BF8">
      <w:pPr>
        <w:rPr>
          <w:rFonts w:ascii="Times New Roman" w:hAnsi="Times New Roman" w:cs="Times New Roman"/>
          <w:color w:val="auto"/>
          <w:sz w:val="20"/>
          <w:szCs w:val="20"/>
        </w:rPr>
      </w:pPr>
    </w:p>
    <w:p w14:paraId="28342327">
      <w:pPr>
        <w:rPr>
          <w:rFonts w:ascii="Times New Roman" w:hAnsi="Times New Roman" w:cs="Times New Roman"/>
          <w:color w:val="auto"/>
          <w:sz w:val="20"/>
          <w:szCs w:val="20"/>
        </w:rPr>
      </w:pPr>
      <w:r>
        <w:rPr>
          <w:rFonts w:ascii="Times New Roman" w:hAnsi="Times New Roman" w:cs="Times New Roman"/>
          <w:color w:val="auto"/>
          <w:sz w:val="20"/>
          <w:szCs w:val="20"/>
        </w:rPr>
        <w:t>#6 TOPIC: ((acupressure OR tuina OR massage OR “massage therapy” OR “Chinese massage” OR “gua sha”))</w:t>
      </w:r>
    </w:p>
    <w:p w14:paraId="350A3C04">
      <w:pPr>
        <w:rPr>
          <w:rFonts w:ascii="Times New Roman" w:hAnsi="Times New Roman" w:cs="Times New Roman"/>
          <w:color w:val="auto"/>
          <w:sz w:val="20"/>
          <w:szCs w:val="20"/>
        </w:rPr>
      </w:pPr>
      <w:r>
        <w:rPr>
          <w:rFonts w:ascii="Times New Roman" w:hAnsi="Times New Roman" w:cs="Times New Roman"/>
          <w:color w:val="auto"/>
          <w:sz w:val="20"/>
          <w:szCs w:val="20"/>
        </w:rPr>
        <w:t>Indexes=SCI-EXPANDED, SSCI, A&amp;HCI, CPCI-S, CPCI-SSH, BKCI-S, BKCI-SSH, ESCI, CCR-EXPANDED, IC</w:t>
      </w:r>
    </w:p>
    <w:p w14:paraId="06D0DF83">
      <w:pPr>
        <w:rPr>
          <w:rFonts w:ascii="Times New Roman" w:hAnsi="Times New Roman" w:cs="Times New Roman"/>
          <w:color w:val="auto"/>
          <w:sz w:val="20"/>
          <w:szCs w:val="20"/>
        </w:rPr>
      </w:pPr>
      <w:r>
        <w:rPr>
          <w:rFonts w:ascii="Times New Roman" w:hAnsi="Times New Roman" w:cs="Times New Roman"/>
          <w:color w:val="auto"/>
          <w:sz w:val="20"/>
          <w:szCs w:val="20"/>
        </w:rPr>
        <w:t>Timespan=All years</w:t>
      </w:r>
    </w:p>
    <w:p w14:paraId="55688CD3">
      <w:pPr>
        <w:rPr>
          <w:rFonts w:ascii="Times New Roman" w:hAnsi="Times New Roman" w:cs="Times New Roman"/>
          <w:color w:val="auto"/>
          <w:sz w:val="20"/>
          <w:szCs w:val="20"/>
        </w:rPr>
      </w:pPr>
    </w:p>
    <w:p w14:paraId="6C120B38">
      <w:pPr>
        <w:rPr>
          <w:rFonts w:ascii="Times New Roman" w:hAnsi="Times New Roman" w:cs="Times New Roman"/>
          <w:color w:val="auto"/>
          <w:sz w:val="20"/>
          <w:szCs w:val="20"/>
        </w:rPr>
      </w:pPr>
      <w:r>
        <w:rPr>
          <w:rFonts w:ascii="Times New Roman" w:hAnsi="Times New Roman" w:cs="Times New Roman"/>
          <w:color w:val="auto"/>
          <w:sz w:val="20"/>
          <w:szCs w:val="20"/>
        </w:rPr>
        <w:t>#5 TOPIC: ((“traditional Chinese medicine” OR “Chinese medicine”))</w:t>
      </w:r>
    </w:p>
    <w:p w14:paraId="5B1ACF3B">
      <w:pPr>
        <w:rPr>
          <w:rFonts w:ascii="Times New Roman" w:hAnsi="Times New Roman" w:cs="Times New Roman"/>
          <w:color w:val="auto"/>
          <w:sz w:val="20"/>
          <w:szCs w:val="20"/>
        </w:rPr>
      </w:pPr>
      <w:r>
        <w:rPr>
          <w:rFonts w:ascii="Times New Roman" w:hAnsi="Times New Roman" w:cs="Times New Roman"/>
          <w:color w:val="auto"/>
          <w:sz w:val="20"/>
          <w:szCs w:val="20"/>
        </w:rPr>
        <w:t>Indexes=SCI-EXPANDED, SSCI, A&amp;HCI, CPCI-S, CPCI-SSH, BKCI-S, BKCI-SSH, ESCI, CCR-EXPANDED, IC</w:t>
      </w:r>
    </w:p>
    <w:p w14:paraId="69C53FF9">
      <w:pPr>
        <w:rPr>
          <w:rFonts w:ascii="Times New Roman" w:hAnsi="Times New Roman" w:cs="Times New Roman"/>
          <w:color w:val="auto"/>
          <w:sz w:val="20"/>
          <w:szCs w:val="20"/>
        </w:rPr>
      </w:pPr>
      <w:r>
        <w:rPr>
          <w:rFonts w:ascii="Times New Roman" w:hAnsi="Times New Roman" w:cs="Times New Roman"/>
          <w:color w:val="auto"/>
          <w:sz w:val="20"/>
          <w:szCs w:val="20"/>
        </w:rPr>
        <w:t>Timespan=All years</w:t>
      </w:r>
    </w:p>
    <w:p w14:paraId="6AA3BE06">
      <w:pPr>
        <w:rPr>
          <w:rFonts w:ascii="Times New Roman" w:hAnsi="Times New Roman" w:cs="Times New Roman"/>
          <w:color w:val="auto"/>
          <w:sz w:val="20"/>
          <w:szCs w:val="20"/>
        </w:rPr>
      </w:pPr>
    </w:p>
    <w:p w14:paraId="52661B9E">
      <w:pPr>
        <w:rPr>
          <w:rFonts w:ascii="Times New Roman" w:hAnsi="Times New Roman" w:cs="Times New Roman"/>
          <w:color w:val="auto"/>
          <w:sz w:val="20"/>
          <w:szCs w:val="20"/>
        </w:rPr>
      </w:pPr>
      <w:r>
        <w:rPr>
          <w:rFonts w:ascii="Times New Roman" w:hAnsi="Times New Roman" w:cs="Times New Roman"/>
          <w:color w:val="auto"/>
          <w:sz w:val="20"/>
          <w:szCs w:val="20"/>
        </w:rPr>
        <w:t>#4 TOPIC: ((chemotherap* OR antineoplastic therap* OR cancer treatment*))</w:t>
      </w:r>
    </w:p>
    <w:p w14:paraId="7547C70E">
      <w:pPr>
        <w:rPr>
          <w:rFonts w:ascii="Times New Roman" w:hAnsi="Times New Roman" w:cs="Times New Roman"/>
          <w:color w:val="auto"/>
          <w:sz w:val="20"/>
          <w:szCs w:val="20"/>
        </w:rPr>
      </w:pPr>
      <w:r>
        <w:rPr>
          <w:rFonts w:ascii="Times New Roman" w:hAnsi="Times New Roman" w:cs="Times New Roman"/>
          <w:color w:val="auto"/>
          <w:sz w:val="20"/>
          <w:szCs w:val="20"/>
        </w:rPr>
        <w:t>Indexes=SCI-EXPANDED, SSCI, A&amp;HCI, CPCI-S, CPCI-SSH, BKCI-S, BKCI-SSH, ESCI, CCR-EXPANDED, IC</w:t>
      </w:r>
    </w:p>
    <w:p w14:paraId="6E80A780">
      <w:pPr>
        <w:rPr>
          <w:rFonts w:ascii="Times New Roman" w:hAnsi="Times New Roman" w:cs="Times New Roman"/>
          <w:color w:val="auto"/>
          <w:sz w:val="20"/>
          <w:szCs w:val="20"/>
        </w:rPr>
      </w:pPr>
      <w:r>
        <w:rPr>
          <w:rFonts w:ascii="Times New Roman" w:hAnsi="Times New Roman" w:cs="Times New Roman"/>
          <w:color w:val="auto"/>
          <w:sz w:val="20"/>
          <w:szCs w:val="20"/>
        </w:rPr>
        <w:t>Timespan=All years</w:t>
      </w:r>
    </w:p>
    <w:p w14:paraId="3EE8D64C">
      <w:pPr>
        <w:rPr>
          <w:rFonts w:ascii="Times New Roman" w:hAnsi="Times New Roman" w:cs="Times New Roman"/>
          <w:color w:val="auto"/>
          <w:sz w:val="20"/>
          <w:szCs w:val="20"/>
        </w:rPr>
      </w:pPr>
    </w:p>
    <w:p w14:paraId="7BAC2262">
      <w:pPr>
        <w:rPr>
          <w:rFonts w:ascii="Times New Roman" w:hAnsi="Times New Roman" w:cs="Times New Roman"/>
          <w:color w:val="auto"/>
          <w:sz w:val="20"/>
          <w:szCs w:val="20"/>
        </w:rPr>
      </w:pPr>
      <w:r>
        <w:rPr>
          <w:rFonts w:ascii="Times New Roman" w:hAnsi="Times New Roman" w:cs="Times New Roman"/>
          <w:color w:val="auto"/>
          <w:sz w:val="20"/>
          <w:szCs w:val="20"/>
        </w:rPr>
        <w:t>#3 TOPIC: ((cancer* OR neoplasm* OR tumor* OR tumour* OR malignan*))</w:t>
      </w:r>
    </w:p>
    <w:p w14:paraId="3915DBA5">
      <w:pPr>
        <w:rPr>
          <w:rFonts w:ascii="Times New Roman" w:hAnsi="Times New Roman" w:cs="Times New Roman"/>
          <w:color w:val="auto"/>
          <w:sz w:val="20"/>
          <w:szCs w:val="20"/>
        </w:rPr>
      </w:pPr>
      <w:r>
        <w:rPr>
          <w:rFonts w:ascii="Times New Roman" w:hAnsi="Times New Roman" w:cs="Times New Roman"/>
          <w:color w:val="auto"/>
          <w:sz w:val="20"/>
          <w:szCs w:val="20"/>
        </w:rPr>
        <w:t>Indexes=SCI-EXPANDED, SSCI, A&amp;HCI, CPCI-S, CPCI-SSH, BKCI-S, BKCI-SSH, ESCI, CCR-EXPANDED, IC</w:t>
      </w:r>
    </w:p>
    <w:p w14:paraId="78B829CD">
      <w:pPr>
        <w:rPr>
          <w:rFonts w:ascii="Times New Roman" w:hAnsi="Times New Roman" w:cs="Times New Roman"/>
          <w:color w:val="auto"/>
          <w:sz w:val="20"/>
          <w:szCs w:val="20"/>
        </w:rPr>
      </w:pPr>
      <w:r>
        <w:rPr>
          <w:rFonts w:ascii="Times New Roman" w:hAnsi="Times New Roman" w:cs="Times New Roman"/>
          <w:color w:val="auto"/>
          <w:sz w:val="20"/>
          <w:szCs w:val="20"/>
        </w:rPr>
        <w:t>Timespan=All years</w:t>
      </w:r>
    </w:p>
    <w:p w14:paraId="66D4ED80">
      <w:pPr>
        <w:rPr>
          <w:rFonts w:ascii="Times New Roman" w:hAnsi="Times New Roman" w:cs="Times New Roman"/>
          <w:color w:val="auto"/>
          <w:sz w:val="20"/>
          <w:szCs w:val="20"/>
        </w:rPr>
      </w:pPr>
    </w:p>
    <w:p w14:paraId="63BFE899">
      <w:pPr>
        <w:rPr>
          <w:rFonts w:ascii="Times New Roman" w:hAnsi="Times New Roman" w:cs="Times New Roman"/>
          <w:color w:val="auto"/>
          <w:sz w:val="20"/>
          <w:szCs w:val="20"/>
        </w:rPr>
      </w:pPr>
      <w:r>
        <w:rPr>
          <w:rFonts w:ascii="Times New Roman" w:hAnsi="Times New Roman" w:cs="Times New Roman"/>
          <w:color w:val="auto"/>
          <w:sz w:val="20"/>
          <w:szCs w:val="20"/>
        </w:rPr>
        <w:t>#2 TOPIC: ((“cancer survivor*”))</w:t>
      </w:r>
    </w:p>
    <w:p w14:paraId="4D18E629">
      <w:pPr>
        <w:rPr>
          <w:rFonts w:ascii="Times New Roman" w:hAnsi="Times New Roman" w:cs="Times New Roman"/>
          <w:color w:val="auto"/>
          <w:sz w:val="20"/>
          <w:szCs w:val="20"/>
        </w:rPr>
      </w:pPr>
      <w:r>
        <w:rPr>
          <w:rFonts w:ascii="Times New Roman" w:hAnsi="Times New Roman" w:cs="Times New Roman"/>
          <w:color w:val="auto"/>
          <w:sz w:val="20"/>
          <w:szCs w:val="20"/>
        </w:rPr>
        <w:t>Indexes=SCI-EXPANDED, SSCI, A&amp;HCI, CPCI-S, CPCI-SSH, BKCI-S, BKCI-SSH, ESCI, CCR-EXPANDED, IC</w:t>
      </w:r>
    </w:p>
    <w:p w14:paraId="573DBE18">
      <w:pPr>
        <w:rPr>
          <w:rFonts w:ascii="Times New Roman" w:hAnsi="Times New Roman" w:cs="Times New Roman"/>
          <w:color w:val="auto"/>
          <w:sz w:val="20"/>
          <w:szCs w:val="20"/>
        </w:rPr>
      </w:pPr>
      <w:r>
        <w:rPr>
          <w:rFonts w:ascii="Times New Roman" w:hAnsi="Times New Roman" w:cs="Times New Roman"/>
          <w:color w:val="auto"/>
          <w:sz w:val="20"/>
          <w:szCs w:val="20"/>
        </w:rPr>
        <w:t>Timespan=All years</w:t>
      </w:r>
    </w:p>
    <w:p w14:paraId="09F9C5A0">
      <w:pPr>
        <w:rPr>
          <w:rFonts w:ascii="Times New Roman" w:hAnsi="Times New Roman" w:cs="Times New Roman"/>
          <w:color w:val="auto"/>
          <w:sz w:val="20"/>
          <w:szCs w:val="20"/>
        </w:rPr>
      </w:pPr>
    </w:p>
    <w:p w14:paraId="2D4583FA">
      <w:pPr>
        <w:rPr>
          <w:rFonts w:ascii="Times New Roman" w:hAnsi="Times New Roman" w:cs="Times New Roman"/>
          <w:color w:val="auto"/>
          <w:sz w:val="20"/>
          <w:szCs w:val="20"/>
        </w:rPr>
      </w:pPr>
      <w:r>
        <w:rPr>
          <w:rFonts w:ascii="Times New Roman" w:hAnsi="Times New Roman" w:cs="Times New Roman"/>
          <w:color w:val="auto"/>
          <w:sz w:val="20"/>
          <w:szCs w:val="20"/>
        </w:rPr>
        <w:t>#1 #3 OR #2</w:t>
      </w:r>
    </w:p>
    <w:p w14:paraId="73EA232C">
      <w:pPr>
        <w:rPr>
          <w:rFonts w:ascii="Times New Roman" w:hAnsi="Times New Roman" w:cs="Times New Roman"/>
          <w:color w:val="auto"/>
          <w:sz w:val="20"/>
          <w:szCs w:val="20"/>
        </w:rPr>
      </w:pPr>
      <w:r>
        <w:rPr>
          <w:rFonts w:ascii="Times New Roman" w:hAnsi="Times New Roman" w:cs="Times New Roman"/>
          <w:color w:val="auto"/>
          <w:sz w:val="20"/>
          <w:szCs w:val="20"/>
        </w:rPr>
        <w:t>Indexes=SCI-EXPANDED, SSCI, A&amp;HCI, CPCI-S, CPCI-SSH, BKCI-S, BKCI-SSH, ESCI, CCR-EXPANDED, IC</w:t>
      </w:r>
    </w:p>
    <w:p w14:paraId="02340722">
      <w:pPr>
        <w:rPr>
          <w:rFonts w:ascii="Times New Roman" w:hAnsi="Times New Roman" w:cs="Times New Roman"/>
          <w:color w:val="auto"/>
          <w:sz w:val="20"/>
          <w:szCs w:val="20"/>
        </w:rPr>
        <w:sectPr>
          <w:pgSz w:w="11906" w:h="16838"/>
          <w:pgMar w:top="1440" w:right="1800" w:bottom="1440" w:left="1800" w:header="851" w:footer="992" w:gutter="0"/>
          <w:cols w:space="425" w:num="1"/>
          <w:docGrid w:type="lines" w:linePitch="312" w:charSpace="0"/>
        </w:sectPr>
      </w:pPr>
      <w:r>
        <w:rPr>
          <w:rFonts w:ascii="Times New Roman" w:hAnsi="Times New Roman" w:cs="Times New Roman"/>
          <w:color w:val="auto"/>
          <w:sz w:val="20"/>
          <w:szCs w:val="20"/>
        </w:rPr>
        <w:t>Timespan=All years</w:t>
      </w:r>
    </w:p>
    <w:p w14:paraId="3789A249">
      <w:pPr>
        <w:pStyle w:val="2"/>
        <w:spacing w:line="360" w:lineRule="auto"/>
        <w:rPr>
          <w:rStyle w:val="28"/>
          <w:rFonts w:ascii="Times New Roman" w:hAnsi="Times New Roman" w:cs="Times New Roman"/>
          <w:color w:val="auto"/>
          <w:u w:val="none"/>
          <w:lang w:eastAsia="zh-TW"/>
        </w:rPr>
      </w:pPr>
      <w:r>
        <w:rPr>
          <w:rFonts w:ascii="Times New Roman" w:hAnsi="Times New Roman" w:cs="Times New Roman"/>
          <w:color w:val="auto"/>
          <w:szCs w:val="20"/>
          <w:lang w:eastAsia="zh-TW"/>
        </w:rPr>
        <w:t xml:space="preserve">Supplementary </w:t>
      </w:r>
      <w:r>
        <w:rPr>
          <w:rFonts w:hint="eastAsia" w:ascii="Times New Roman" w:hAnsi="Times New Roman" w:eastAsia="宋体" w:cs="Times New Roman"/>
          <w:color w:val="auto"/>
          <w:szCs w:val="20"/>
        </w:rPr>
        <w:t>2</w:t>
      </w:r>
      <w:r>
        <w:rPr>
          <w:rFonts w:ascii="Times New Roman" w:hAnsi="Times New Roman" w:cs="Times New Roman"/>
          <w:color w:val="auto"/>
          <w:szCs w:val="20"/>
          <w:lang w:eastAsia="zh-TW"/>
        </w:rPr>
        <w:t xml:space="preserve">: </w:t>
      </w:r>
      <w:r>
        <w:rPr>
          <w:rStyle w:val="28"/>
          <w:rFonts w:ascii="Times New Roman" w:hAnsi="Times New Roman" w:cs="Times New Roman"/>
          <w:color w:val="auto"/>
          <w:u w:val="none"/>
          <w:lang w:eastAsia="zh-TW"/>
        </w:rPr>
        <w:t>Risk of Bias</w:t>
      </w:r>
    </w:p>
    <w:tbl>
      <w:tblPr>
        <w:tblStyle w:val="22"/>
        <w:tblW w:w="14173" w:type="dxa"/>
        <w:tblInd w:w="102"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37"/>
        <w:gridCol w:w="2370"/>
        <w:gridCol w:w="2030"/>
        <w:gridCol w:w="1642"/>
        <w:gridCol w:w="2209"/>
        <w:gridCol w:w="1642"/>
        <w:gridCol w:w="1643"/>
      </w:tblGrid>
      <w:tr w14:paraId="76A160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2637" w:type="dxa"/>
            <w:tcBorders>
              <w:bottom w:val="single" w:color="auto" w:sz="4" w:space="0"/>
            </w:tcBorders>
            <w:vAlign w:val="center"/>
          </w:tcPr>
          <w:p w14:paraId="55F18FFA">
            <w:pPr>
              <w:spacing w:line="360" w:lineRule="auto"/>
              <w:rPr>
                <w:rFonts w:ascii="Times New Roman" w:hAnsi="Times New Roman" w:cs="Times New Roman"/>
                <w:b/>
                <w:bCs/>
                <w:color w:val="auto"/>
                <w:sz w:val="20"/>
                <w:szCs w:val="20"/>
                <w:lang w:val="zh-CN"/>
              </w:rPr>
            </w:pPr>
            <w:r>
              <w:rPr>
                <w:rFonts w:ascii="Times New Roman" w:hAnsi="Times New Roman" w:cs="Times New Roman"/>
                <w:b/>
                <w:bCs/>
                <w:color w:val="auto"/>
                <w:sz w:val="20"/>
                <w:szCs w:val="20"/>
              </w:rPr>
              <w:t>Author</w:t>
            </w:r>
          </w:p>
        </w:tc>
        <w:tc>
          <w:tcPr>
            <w:tcW w:w="2370" w:type="dxa"/>
            <w:tcBorders>
              <w:bottom w:val="single" w:color="auto" w:sz="4" w:space="0"/>
            </w:tcBorders>
            <w:vAlign w:val="center"/>
          </w:tcPr>
          <w:p w14:paraId="1BB536F8">
            <w:pPr>
              <w:spacing w:line="360" w:lineRule="auto"/>
              <w:rPr>
                <w:rFonts w:ascii="Times New Roman" w:hAnsi="Times New Roman" w:cs="Times New Roman"/>
                <w:b/>
                <w:bCs/>
                <w:color w:val="auto"/>
                <w:sz w:val="20"/>
                <w:szCs w:val="20"/>
              </w:rPr>
            </w:pPr>
            <w:r>
              <w:rPr>
                <w:rFonts w:ascii="Times New Roman" w:hAnsi="Times New Roman" w:cs="Times New Roman"/>
                <w:b/>
                <w:bCs/>
                <w:color w:val="auto"/>
                <w:sz w:val="20"/>
                <w:szCs w:val="20"/>
              </w:rPr>
              <w:t xml:space="preserve">Bias arising from the randomization process  </w:t>
            </w:r>
          </w:p>
        </w:tc>
        <w:tc>
          <w:tcPr>
            <w:tcW w:w="2030" w:type="dxa"/>
            <w:tcBorders>
              <w:bottom w:val="single" w:color="auto" w:sz="4" w:space="0"/>
            </w:tcBorders>
            <w:vAlign w:val="center"/>
          </w:tcPr>
          <w:p w14:paraId="4D15D491">
            <w:pPr>
              <w:spacing w:line="360" w:lineRule="auto"/>
              <w:rPr>
                <w:rFonts w:ascii="Times New Roman" w:hAnsi="Times New Roman" w:cs="Times New Roman"/>
                <w:b/>
                <w:bCs/>
                <w:color w:val="auto"/>
                <w:sz w:val="20"/>
                <w:szCs w:val="20"/>
              </w:rPr>
            </w:pPr>
            <w:r>
              <w:rPr>
                <w:rFonts w:ascii="Times New Roman" w:hAnsi="Times New Roman" w:cs="Times New Roman"/>
                <w:b/>
                <w:bCs/>
                <w:color w:val="auto"/>
                <w:sz w:val="20"/>
                <w:szCs w:val="20"/>
              </w:rPr>
              <w:t>Bias due to deviations from intended intervention</w:t>
            </w:r>
          </w:p>
        </w:tc>
        <w:tc>
          <w:tcPr>
            <w:tcW w:w="1642" w:type="dxa"/>
            <w:tcBorders>
              <w:bottom w:val="single" w:color="auto" w:sz="4" w:space="0"/>
            </w:tcBorders>
            <w:vAlign w:val="center"/>
          </w:tcPr>
          <w:p w14:paraId="75C2B76C">
            <w:pPr>
              <w:spacing w:line="360" w:lineRule="auto"/>
              <w:rPr>
                <w:rFonts w:ascii="Times New Roman" w:hAnsi="Times New Roman" w:cs="Times New Roman"/>
                <w:b/>
                <w:bCs/>
                <w:color w:val="auto"/>
                <w:sz w:val="20"/>
                <w:szCs w:val="20"/>
              </w:rPr>
            </w:pPr>
            <w:r>
              <w:rPr>
                <w:rFonts w:ascii="Times New Roman" w:hAnsi="Times New Roman" w:cs="Times New Roman"/>
                <w:b/>
                <w:bCs/>
                <w:color w:val="auto"/>
                <w:sz w:val="20"/>
                <w:szCs w:val="20"/>
              </w:rPr>
              <w:t>Bias due to missing outcome data</w:t>
            </w:r>
          </w:p>
        </w:tc>
        <w:tc>
          <w:tcPr>
            <w:tcW w:w="2209" w:type="dxa"/>
            <w:tcBorders>
              <w:bottom w:val="single" w:color="auto" w:sz="4" w:space="0"/>
            </w:tcBorders>
            <w:vAlign w:val="center"/>
          </w:tcPr>
          <w:p w14:paraId="56C66425">
            <w:pPr>
              <w:spacing w:line="360" w:lineRule="auto"/>
              <w:rPr>
                <w:rFonts w:ascii="Times New Roman" w:hAnsi="Times New Roman" w:cs="Times New Roman"/>
                <w:b/>
                <w:bCs/>
                <w:color w:val="auto"/>
                <w:sz w:val="20"/>
                <w:szCs w:val="20"/>
              </w:rPr>
            </w:pPr>
            <w:r>
              <w:rPr>
                <w:rFonts w:ascii="Times New Roman" w:hAnsi="Times New Roman" w:cs="Times New Roman"/>
                <w:b/>
                <w:bCs/>
                <w:color w:val="auto"/>
                <w:sz w:val="20"/>
                <w:szCs w:val="20"/>
              </w:rPr>
              <w:t>Bias in measurement of the outcome</w:t>
            </w:r>
          </w:p>
        </w:tc>
        <w:tc>
          <w:tcPr>
            <w:tcW w:w="1642" w:type="dxa"/>
            <w:tcBorders>
              <w:bottom w:val="single" w:color="auto" w:sz="4" w:space="0"/>
            </w:tcBorders>
            <w:vAlign w:val="center"/>
          </w:tcPr>
          <w:p w14:paraId="0B56EB49">
            <w:pPr>
              <w:spacing w:line="360" w:lineRule="auto"/>
              <w:rPr>
                <w:rFonts w:ascii="Times New Roman" w:hAnsi="Times New Roman" w:cs="Times New Roman"/>
                <w:b/>
                <w:bCs/>
                <w:color w:val="auto"/>
                <w:sz w:val="20"/>
                <w:szCs w:val="20"/>
              </w:rPr>
            </w:pPr>
            <w:r>
              <w:rPr>
                <w:rFonts w:ascii="Times New Roman" w:hAnsi="Times New Roman" w:cs="Times New Roman"/>
                <w:b/>
                <w:bCs/>
                <w:color w:val="auto"/>
                <w:sz w:val="20"/>
                <w:szCs w:val="20"/>
              </w:rPr>
              <w:t>Bias in selection of the reported result</w:t>
            </w:r>
          </w:p>
        </w:tc>
        <w:tc>
          <w:tcPr>
            <w:tcW w:w="1643" w:type="dxa"/>
            <w:tcBorders>
              <w:bottom w:val="single" w:color="auto" w:sz="4" w:space="0"/>
            </w:tcBorders>
            <w:vAlign w:val="center"/>
          </w:tcPr>
          <w:p w14:paraId="17621A49">
            <w:pPr>
              <w:spacing w:line="360" w:lineRule="auto"/>
              <w:rPr>
                <w:rFonts w:ascii="Times New Roman" w:hAnsi="Times New Roman" w:cs="Times New Roman"/>
                <w:b/>
                <w:bCs/>
                <w:color w:val="auto"/>
                <w:sz w:val="20"/>
                <w:szCs w:val="20"/>
                <w:lang w:val="zh-CN"/>
              </w:rPr>
            </w:pPr>
            <w:r>
              <w:rPr>
                <w:rFonts w:ascii="Times New Roman" w:hAnsi="Times New Roman" w:cs="Times New Roman"/>
                <w:b/>
                <w:bCs/>
                <w:color w:val="auto"/>
                <w:sz w:val="20"/>
                <w:szCs w:val="20"/>
              </w:rPr>
              <w:t>Overall</w:t>
            </w:r>
          </w:p>
        </w:tc>
      </w:tr>
      <w:tr w14:paraId="1D8B5E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op w:val="single" w:color="auto" w:sz="4" w:space="0"/>
              <w:tl2br w:val="nil"/>
              <w:tr2bl w:val="nil"/>
            </w:tcBorders>
            <w:vAlign w:val="center"/>
          </w:tcPr>
          <w:p w14:paraId="5F4155D4">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Qiao Xiao et al. (2025)</w:t>
            </w:r>
          </w:p>
        </w:tc>
        <w:tc>
          <w:tcPr>
            <w:tcW w:w="2370" w:type="dxa"/>
            <w:tcBorders>
              <w:top w:val="single" w:color="auto" w:sz="4" w:space="0"/>
              <w:tl2br w:val="nil"/>
              <w:tr2bl w:val="nil"/>
            </w:tcBorders>
            <w:vAlign w:val="center"/>
          </w:tcPr>
          <w:p w14:paraId="2C403F9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op w:val="single" w:color="auto" w:sz="4" w:space="0"/>
              <w:tl2br w:val="nil"/>
              <w:tr2bl w:val="nil"/>
            </w:tcBorders>
            <w:vAlign w:val="center"/>
          </w:tcPr>
          <w:p w14:paraId="3882264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op w:val="single" w:color="auto" w:sz="4" w:space="0"/>
              <w:tl2br w:val="nil"/>
              <w:tr2bl w:val="nil"/>
            </w:tcBorders>
            <w:vAlign w:val="center"/>
          </w:tcPr>
          <w:p w14:paraId="22769D08">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op w:val="single" w:color="auto" w:sz="4" w:space="0"/>
              <w:tl2br w:val="nil"/>
              <w:tr2bl w:val="nil"/>
            </w:tcBorders>
            <w:vAlign w:val="center"/>
          </w:tcPr>
          <w:p w14:paraId="01417950">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op w:val="single" w:color="auto" w:sz="4" w:space="0"/>
              <w:tl2br w:val="nil"/>
              <w:tr2bl w:val="nil"/>
            </w:tcBorders>
            <w:vAlign w:val="center"/>
          </w:tcPr>
          <w:p w14:paraId="51EFE077">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op w:val="single" w:color="auto" w:sz="4" w:space="0"/>
              <w:tl2br w:val="nil"/>
              <w:tr2bl w:val="nil"/>
            </w:tcBorders>
            <w:vAlign w:val="center"/>
          </w:tcPr>
          <w:p w14:paraId="386D6F7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r>
      <w:tr w14:paraId="06F99DE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678D063A">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Lu et al. (2019)</w:t>
            </w:r>
          </w:p>
        </w:tc>
        <w:tc>
          <w:tcPr>
            <w:tcW w:w="2370" w:type="dxa"/>
            <w:tcBorders>
              <w:tl2br w:val="nil"/>
              <w:tr2bl w:val="nil"/>
            </w:tcBorders>
            <w:vAlign w:val="center"/>
          </w:tcPr>
          <w:p w14:paraId="3635626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6BEEBB41">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4BEA9DB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64EFC15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3216E7EC">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0346C395">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r>
      <w:tr w14:paraId="24A3D23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7B6EFE4D">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Molassiotis et al. (2019)</w:t>
            </w:r>
          </w:p>
        </w:tc>
        <w:tc>
          <w:tcPr>
            <w:tcW w:w="2370" w:type="dxa"/>
            <w:tcBorders>
              <w:tl2br w:val="nil"/>
              <w:tr2bl w:val="nil"/>
            </w:tcBorders>
            <w:vAlign w:val="center"/>
          </w:tcPr>
          <w:p w14:paraId="6D406F0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4E7A658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29A9D2A9">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554113E5">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1642" w:type="dxa"/>
            <w:tcBorders>
              <w:tl2br w:val="nil"/>
              <w:tr2bl w:val="nil"/>
            </w:tcBorders>
            <w:vAlign w:val="center"/>
          </w:tcPr>
          <w:p w14:paraId="705F4279">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7EDF49D5">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r>
      <w:tr w14:paraId="75A665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5FC65209">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Zhang et al. (2021)</w:t>
            </w:r>
          </w:p>
        </w:tc>
        <w:tc>
          <w:tcPr>
            <w:tcW w:w="2370" w:type="dxa"/>
            <w:tcBorders>
              <w:tl2br w:val="nil"/>
              <w:tr2bl w:val="nil"/>
            </w:tcBorders>
            <w:vAlign w:val="center"/>
          </w:tcPr>
          <w:p w14:paraId="41F97C3E">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030" w:type="dxa"/>
            <w:tcBorders>
              <w:tl2br w:val="nil"/>
              <w:tr2bl w:val="nil"/>
            </w:tcBorders>
            <w:vAlign w:val="center"/>
          </w:tcPr>
          <w:p w14:paraId="4910DC01">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54B834B5">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36C50FE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07AFC549">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093084EE">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r>
      <w:tr w14:paraId="6700D0E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4B49120F">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Zhuang et al. (2024)</w:t>
            </w:r>
          </w:p>
        </w:tc>
        <w:tc>
          <w:tcPr>
            <w:tcW w:w="2370" w:type="dxa"/>
            <w:tcBorders>
              <w:tl2br w:val="nil"/>
              <w:tr2bl w:val="nil"/>
            </w:tcBorders>
            <w:vAlign w:val="center"/>
          </w:tcPr>
          <w:p w14:paraId="2D0046B1">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44AF0F1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250942B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7D7FDF93">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6578D7B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7D6D8BF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r>
      <w:tr w14:paraId="21736D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4FD662B1">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Xu et al. (2022)</w:t>
            </w:r>
          </w:p>
        </w:tc>
        <w:tc>
          <w:tcPr>
            <w:tcW w:w="2370" w:type="dxa"/>
            <w:tcBorders>
              <w:tl2br w:val="nil"/>
              <w:tr2bl w:val="nil"/>
            </w:tcBorders>
            <w:vAlign w:val="center"/>
          </w:tcPr>
          <w:p w14:paraId="0C069857">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16DAE467">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2B05BBC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6D26244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745DBACE">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12BAAD4C">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r>
      <w:tr w14:paraId="5E6BF28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4B46AC79">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Billhult et al. (2007)</w:t>
            </w:r>
          </w:p>
        </w:tc>
        <w:tc>
          <w:tcPr>
            <w:tcW w:w="2370" w:type="dxa"/>
            <w:tcBorders>
              <w:tl2br w:val="nil"/>
              <w:tr2bl w:val="nil"/>
            </w:tcBorders>
            <w:vAlign w:val="center"/>
          </w:tcPr>
          <w:p w14:paraId="31A951A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265869DB">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0D4E61A8">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292D68B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5E511B4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1190E8A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r>
      <w:tr w14:paraId="423866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08EE0F97">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Chuang et al. (2017)</w:t>
            </w:r>
          </w:p>
        </w:tc>
        <w:tc>
          <w:tcPr>
            <w:tcW w:w="2370" w:type="dxa"/>
            <w:tcBorders>
              <w:tl2br w:val="nil"/>
              <w:tr2bl w:val="nil"/>
            </w:tcBorders>
            <w:vAlign w:val="center"/>
          </w:tcPr>
          <w:p w14:paraId="48866C68">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7C4974D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0194F33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209" w:type="dxa"/>
            <w:tcBorders>
              <w:tl2br w:val="nil"/>
              <w:tr2bl w:val="nil"/>
            </w:tcBorders>
            <w:vAlign w:val="center"/>
          </w:tcPr>
          <w:p w14:paraId="3757D0EB">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0F27E96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6F85E5B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r>
      <w:tr w14:paraId="30C6D0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51388A7D">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Ding et al. (2020)</w:t>
            </w:r>
          </w:p>
        </w:tc>
        <w:tc>
          <w:tcPr>
            <w:tcW w:w="2370" w:type="dxa"/>
            <w:tcBorders>
              <w:tl2br w:val="nil"/>
              <w:tr2bl w:val="nil"/>
            </w:tcBorders>
            <w:vAlign w:val="center"/>
          </w:tcPr>
          <w:p w14:paraId="2731441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030" w:type="dxa"/>
            <w:tcBorders>
              <w:tl2br w:val="nil"/>
              <w:tr2bl w:val="nil"/>
            </w:tcBorders>
            <w:vAlign w:val="center"/>
          </w:tcPr>
          <w:p w14:paraId="1E23F210">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07D3129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209" w:type="dxa"/>
            <w:tcBorders>
              <w:tl2br w:val="nil"/>
              <w:tr2bl w:val="nil"/>
            </w:tcBorders>
            <w:vAlign w:val="center"/>
          </w:tcPr>
          <w:p w14:paraId="05289CB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08E6714E">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4031AFF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r>
      <w:tr w14:paraId="26C31B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557120CF">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Wen et al. (2023)</w:t>
            </w:r>
          </w:p>
        </w:tc>
        <w:tc>
          <w:tcPr>
            <w:tcW w:w="2370" w:type="dxa"/>
            <w:tcBorders>
              <w:tl2br w:val="nil"/>
              <w:tr2bl w:val="nil"/>
            </w:tcBorders>
            <w:vAlign w:val="center"/>
          </w:tcPr>
          <w:p w14:paraId="6E4EAD8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16CD80AB">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6F9211C3">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10F11993">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59BEA14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2D632EC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r>
      <w:tr w14:paraId="6088A1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7D566E28">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Li et al. (2021)</w:t>
            </w:r>
          </w:p>
        </w:tc>
        <w:tc>
          <w:tcPr>
            <w:tcW w:w="2370" w:type="dxa"/>
            <w:tcBorders>
              <w:tl2br w:val="nil"/>
              <w:tr2bl w:val="nil"/>
            </w:tcBorders>
            <w:vAlign w:val="center"/>
          </w:tcPr>
          <w:p w14:paraId="72BA6C7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4420F8A9">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52E47B0C">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4A64527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316031B7">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4851FCFE">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r>
      <w:tr w14:paraId="0B24F20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1F2E1ED1">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Zhang et al. (2022)</w:t>
            </w:r>
          </w:p>
        </w:tc>
        <w:tc>
          <w:tcPr>
            <w:tcW w:w="2370" w:type="dxa"/>
            <w:tcBorders>
              <w:tl2br w:val="nil"/>
              <w:tr2bl w:val="nil"/>
            </w:tcBorders>
            <w:vAlign w:val="center"/>
          </w:tcPr>
          <w:p w14:paraId="44C2377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030" w:type="dxa"/>
            <w:tcBorders>
              <w:tl2br w:val="nil"/>
              <w:tr2bl w:val="nil"/>
            </w:tcBorders>
            <w:vAlign w:val="center"/>
          </w:tcPr>
          <w:p w14:paraId="0FBF92E9">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3F94EBB0">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0119F33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28613C2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00B328D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r>
      <w:tr w14:paraId="641841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1640936F">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Huang et al. (2015)</w:t>
            </w:r>
          </w:p>
        </w:tc>
        <w:tc>
          <w:tcPr>
            <w:tcW w:w="2370" w:type="dxa"/>
            <w:tcBorders>
              <w:tl2br w:val="nil"/>
              <w:tr2bl w:val="nil"/>
            </w:tcBorders>
            <w:vAlign w:val="center"/>
          </w:tcPr>
          <w:p w14:paraId="3354A8C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094E428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6BE706CB">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163277E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1D4AFF07">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2023EAB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r>
      <w:tr w14:paraId="7ACAFA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2C85C3ED">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Huong et al. (2021)</w:t>
            </w:r>
          </w:p>
        </w:tc>
        <w:tc>
          <w:tcPr>
            <w:tcW w:w="2370" w:type="dxa"/>
            <w:tcBorders>
              <w:tl2br w:val="nil"/>
              <w:tr2bl w:val="nil"/>
            </w:tcBorders>
            <w:vAlign w:val="center"/>
          </w:tcPr>
          <w:p w14:paraId="062C808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High</w:t>
            </w:r>
          </w:p>
        </w:tc>
        <w:tc>
          <w:tcPr>
            <w:tcW w:w="2030" w:type="dxa"/>
            <w:tcBorders>
              <w:tl2br w:val="nil"/>
              <w:tr2bl w:val="nil"/>
            </w:tcBorders>
            <w:vAlign w:val="center"/>
          </w:tcPr>
          <w:p w14:paraId="140D88F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High</w:t>
            </w:r>
          </w:p>
        </w:tc>
        <w:tc>
          <w:tcPr>
            <w:tcW w:w="1642" w:type="dxa"/>
            <w:tcBorders>
              <w:tl2br w:val="nil"/>
              <w:tr2bl w:val="nil"/>
            </w:tcBorders>
            <w:vAlign w:val="center"/>
          </w:tcPr>
          <w:p w14:paraId="793895B5">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High</w:t>
            </w:r>
          </w:p>
        </w:tc>
        <w:tc>
          <w:tcPr>
            <w:tcW w:w="2209" w:type="dxa"/>
            <w:tcBorders>
              <w:tl2br w:val="nil"/>
              <w:tr2bl w:val="nil"/>
            </w:tcBorders>
            <w:vAlign w:val="center"/>
          </w:tcPr>
          <w:p w14:paraId="73885C2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46B73C9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49FB9D3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High</w:t>
            </w:r>
          </w:p>
        </w:tc>
      </w:tr>
      <w:tr w14:paraId="59AA94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247CF1E8">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Lin et al. (2019)</w:t>
            </w:r>
          </w:p>
        </w:tc>
        <w:tc>
          <w:tcPr>
            <w:tcW w:w="2370" w:type="dxa"/>
            <w:tcBorders>
              <w:tl2br w:val="nil"/>
              <w:tr2bl w:val="nil"/>
            </w:tcBorders>
            <w:vAlign w:val="center"/>
          </w:tcPr>
          <w:p w14:paraId="6A3ABC7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1C661275">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High</w:t>
            </w:r>
          </w:p>
        </w:tc>
        <w:tc>
          <w:tcPr>
            <w:tcW w:w="1642" w:type="dxa"/>
            <w:tcBorders>
              <w:tl2br w:val="nil"/>
              <w:tr2bl w:val="nil"/>
            </w:tcBorders>
            <w:vAlign w:val="center"/>
          </w:tcPr>
          <w:p w14:paraId="465C080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High</w:t>
            </w:r>
          </w:p>
        </w:tc>
        <w:tc>
          <w:tcPr>
            <w:tcW w:w="2209" w:type="dxa"/>
            <w:tcBorders>
              <w:tl2br w:val="nil"/>
              <w:tr2bl w:val="nil"/>
            </w:tcBorders>
            <w:vAlign w:val="center"/>
          </w:tcPr>
          <w:p w14:paraId="15846EA8">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00BC0BD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68EC484E">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High</w:t>
            </w:r>
          </w:p>
        </w:tc>
      </w:tr>
      <w:tr w14:paraId="08E330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28D77DC5">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Liu et al. (2022)</w:t>
            </w:r>
          </w:p>
        </w:tc>
        <w:tc>
          <w:tcPr>
            <w:tcW w:w="2370" w:type="dxa"/>
            <w:tcBorders>
              <w:tl2br w:val="nil"/>
              <w:tr2bl w:val="nil"/>
            </w:tcBorders>
            <w:vAlign w:val="center"/>
          </w:tcPr>
          <w:p w14:paraId="15834BA1">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4EF381C5">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40518BC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7F0C41A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321D0B9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4FD03568">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r>
      <w:tr w14:paraId="66181A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2637" w:type="dxa"/>
            <w:tcBorders>
              <w:tl2br w:val="nil"/>
              <w:tr2bl w:val="nil"/>
            </w:tcBorders>
            <w:vAlign w:val="center"/>
          </w:tcPr>
          <w:p w14:paraId="3504A79A">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Molassiotis et al. (2014)</w:t>
            </w:r>
          </w:p>
        </w:tc>
        <w:tc>
          <w:tcPr>
            <w:tcW w:w="2370" w:type="dxa"/>
            <w:tcBorders>
              <w:tl2br w:val="nil"/>
              <w:tr2bl w:val="nil"/>
            </w:tcBorders>
            <w:vAlign w:val="center"/>
          </w:tcPr>
          <w:p w14:paraId="37C29C0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030" w:type="dxa"/>
            <w:tcBorders>
              <w:tl2br w:val="nil"/>
              <w:tr2bl w:val="nil"/>
            </w:tcBorders>
            <w:vAlign w:val="center"/>
          </w:tcPr>
          <w:p w14:paraId="6EFE5977">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1642" w:type="dxa"/>
            <w:tcBorders>
              <w:tl2br w:val="nil"/>
              <w:tr2bl w:val="nil"/>
            </w:tcBorders>
            <w:vAlign w:val="center"/>
          </w:tcPr>
          <w:p w14:paraId="460D5971">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209" w:type="dxa"/>
            <w:tcBorders>
              <w:tl2br w:val="nil"/>
              <w:tr2bl w:val="nil"/>
            </w:tcBorders>
            <w:vAlign w:val="center"/>
          </w:tcPr>
          <w:p w14:paraId="01231EF7">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044641E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273DC64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r>
      <w:tr w14:paraId="5B583D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23D4CBFC">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Yang et al. (2021)</w:t>
            </w:r>
          </w:p>
        </w:tc>
        <w:tc>
          <w:tcPr>
            <w:tcW w:w="2370" w:type="dxa"/>
            <w:tcBorders>
              <w:tl2br w:val="nil"/>
              <w:tr2bl w:val="nil"/>
            </w:tcBorders>
            <w:vAlign w:val="center"/>
          </w:tcPr>
          <w:p w14:paraId="336AAD2E">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592FF30B">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1642" w:type="dxa"/>
            <w:tcBorders>
              <w:tl2br w:val="nil"/>
              <w:tr2bl w:val="nil"/>
            </w:tcBorders>
            <w:vAlign w:val="center"/>
          </w:tcPr>
          <w:p w14:paraId="2A15504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3F239D8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37DC4A37">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632BFFC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r>
      <w:tr w14:paraId="2EA93B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6C54D45F">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Zhang et al. (2023)</w:t>
            </w:r>
          </w:p>
        </w:tc>
        <w:tc>
          <w:tcPr>
            <w:tcW w:w="2370" w:type="dxa"/>
            <w:tcBorders>
              <w:tl2br w:val="nil"/>
              <w:tr2bl w:val="nil"/>
            </w:tcBorders>
            <w:vAlign w:val="center"/>
          </w:tcPr>
          <w:p w14:paraId="7696268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126373D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52E32570">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352C343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3696DA7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31C3640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r>
      <w:tr w14:paraId="3E8612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3EF5E492">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Shin et al. (2016)</w:t>
            </w:r>
          </w:p>
        </w:tc>
        <w:tc>
          <w:tcPr>
            <w:tcW w:w="2370" w:type="dxa"/>
            <w:tcBorders>
              <w:tl2br w:val="nil"/>
              <w:tr2bl w:val="nil"/>
            </w:tcBorders>
            <w:vAlign w:val="center"/>
          </w:tcPr>
          <w:p w14:paraId="73BFB96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030" w:type="dxa"/>
            <w:tcBorders>
              <w:tl2br w:val="nil"/>
              <w:tr2bl w:val="nil"/>
            </w:tcBorders>
            <w:vAlign w:val="center"/>
          </w:tcPr>
          <w:p w14:paraId="0C03CD28">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517B3FD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63F2D24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5A1DF08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7DFBA728">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r>
      <w:tr w14:paraId="026C02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633BA36C">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Tang et al. (2014)</w:t>
            </w:r>
          </w:p>
        </w:tc>
        <w:tc>
          <w:tcPr>
            <w:tcW w:w="2370" w:type="dxa"/>
            <w:tcBorders>
              <w:tl2br w:val="nil"/>
              <w:tr2bl w:val="nil"/>
            </w:tcBorders>
            <w:vAlign w:val="center"/>
          </w:tcPr>
          <w:p w14:paraId="7C3E840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High</w:t>
            </w:r>
          </w:p>
        </w:tc>
        <w:tc>
          <w:tcPr>
            <w:tcW w:w="2030" w:type="dxa"/>
            <w:tcBorders>
              <w:tl2br w:val="nil"/>
              <w:tr2bl w:val="nil"/>
            </w:tcBorders>
            <w:vAlign w:val="center"/>
          </w:tcPr>
          <w:p w14:paraId="62A2EF01">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1642" w:type="dxa"/>
            <w:tcBorders>
              <w:tl2br w:val="nil"/>
              <w:tr2bl w:val="nil"/>
            </w:tcBorders>
            <w:vAlign w:val="center"/>
          </w:tcPr>
          <w:p w14:paraId="0A70248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209" w:type="dxa"/>
            <w:tcBorders>
              <w:tl2br w:val="nil"/>
              <w:tr2bl w:val="nil"/>
            </w:tcBorders>
            <w:vAlign w:val="center"/>
          </w:tcPr>
          <w:p w14:paraId="6295EB40">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7A13C9FE">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7D2F485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High</w:t>
            </w:r>
          </w:p>
        </w:tc>
      </w:tr>
      <w:tr w14:paraId="17FDF0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2EBED082">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Jung et al. (2023)</w:t>
            </w:r>
          </w:p>
        </w:tc>
        <w:tc>
          <w:tcPr>
            <w:tcW w:w="2370" w:type="dxa"/>
            <w:tcBorders>
              <w:tl2br w:val="nil"/>
              <w:tr2bl w:val="nil"/>
            </w:tcBorders>
            <w:vAlign w:val="center"/>
          </w:tcPr>
          <w:p w14:paraId="47439A19">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2A733575">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638FA261">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209" w:type="dxa"/>
            <w:tcBorders>
              <w:tl2br w:val="nil"/>
              <w:tr2bl w:val="nil"/>
            </w:tcBorders>
            <w:vAlign w:val="center"/>
          </w:tcPr>
          <w:p w14:paraId="175F960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30AC049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3E199679">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r>
      <w:tr w14:paraId="4D5515A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5A7E2682">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Yeh et al. (2016)</w:t>
            </w:r>
          </w:p>
        </w:tc>
        <w:tc>
          <w:tcPr>
            <w:tcW w:w="2370" w:type="dxa"/>
            <w:tcBorders>
              <w:tl2br w:val="nil"/>
              <w:tr2bl w:val="nil"/>
            </w:tcBorders>
            <w:vAlign w:val="center"/>
          </w:tcPr>
          <w:p w14:paraId="4A728D8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7EB6C27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612E4171">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2D4B6971">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22B1D6C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49DA908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r>
      <w:tr w14:paraId="5531B8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00401D78">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Zhang et al. (2016)</w:t>
            </w:r>
          </w:p>
        </w:tc>
        <w:tc>
          <w:tcPr>
            <w:tcW w:w="2370" w:type="dxa"/>
            <w:tcBorders>
              <w:tl2br w:val="nil"/>
              <w:tr2bl w:val="nil"/>
            </w:tcBorders>
            <w:vAlign w:val="center"/>
          </w:tcPr>
          <w:p w14:paraId="47DA8608">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66565CF9">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423B1E3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04D4D10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2442B659">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0AE723D8">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r>
      <w:tr w14:paraId="10FE3F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3A625BD2">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Zhou et al. (2017)</w:t>
            </w:r>
          </w:p>
        </w:tc>
        <w:tc>
          <w:tcPr>
            <w:tcW w:w="2370" w:type="dxa"/>
            <w:tcBorders>
              <w:tl2br w:val="nil"/>
              <w:tr2bl w:val="nil"/>
            </w:tcBorders>
            <w:vAlign w:val="center"/>
          </w:tcPr>
          <w:p w14:paraId="0BEFEA8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47847E0B">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49ECB43E">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1E53548B">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699B8E5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0CA816F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r>
      <w:tr w14:paraId="3F680AF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12D7CEF3">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Chen et al. (2021)</w:t>
            </w:r>
          </w:p>
        </w:tc>
        <w:tc>
          <w:tcPr>
            <w:tcW w:w="2370" w:type="dxa"/>
            <w:tcBorders>
              <w:tl2br w:val="nil"/>
              <w:tr2bl w:val="nil"/>
            </w:tcBorders>
            <w:vAlign w:val="center"/>
          </w:tcPr>
          <w:p w14:paraId="63490747">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778BF3B5">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1642" w:type="dxa"/>
            <w:tcBorders>
              <w:tl2br w:val="nil"/>
              <w:tr2bl w:val="nil"/>
            </w:tcBorders>
            <w:vAlign w:val="center"/>
          </w:tcPr>
          <w:p w14:paraId="349A27E3">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176B9125">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09D60948">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266D3FC8">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r>
      <w:tr w14:paraId="6520F61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74D60AE4">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Zhang et al. (2024)</w:t>
            </w:r>
          </w:p>
        </w:tc>
        <w:tc>
          <w:tcPr>
            <w:tcW w:w="2370" w:type="dxa"/>
            <w:tcBorders>
              <w:tl2br w:val="nil"/>
              <w:tr2bl w:val="nil"/>
            </w:tcBorders>
            <w:vAlign w:val="center"/>
          </w:tcPr>
          <w:p w14:paraId="33591363">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030" w:type="dxa"/>
            <w:tcBorders>
              <w:tl2br w:val="nil"/>
              <w:tr2bl w:val="nil"/>
            </w:tcBorders>
            <w:vAlign w:val="center"/>
          </w:tcPr>
          <w:p w14:paraId="17767F8B">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08E655F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High</w:t>
            </w:r>
          </w:p>
        </w:tc>
        <w:tc>
          <w:tcPr>
            <w:tcW w:w="2209" w:type="dxa"/>
            <w:tcBorders>
              <w:tl2br w:val="nil"/>
              <w:tr2bl w:val="nil"/>
            </w:tcBorders>
            <w:vAlign w:val="center"/>
          </w:tcPr>
          <w:p w14:paraId="0F7D105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High</w:t>
            </w:r>
          </w:p>
        </w:tc>
        <w:tc>
          <w:tcPr>
            <w:tcW w:w="1642" w:type="dxa"/>
            <w:tcBorders>
              <w:tl2br w:val="nil"/>
              <w:tr2bl w:val="nil"/>
            </w:tcBorders>
            <w:vAlign w:val="center"/>
          </w:tcPr>
          <w:p w14:paraId="18B179F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54491061">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High</w:t>
            </w:r>
          </w:p>
        </w:tc>
      </w:tr>
      <w:tr w14:paraId="2C0114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2637" w:type="dxa"/>
            <w:tcBorders>
              <w:tl2br w:val="nil"/>
              <w:tr2bl w:val="nil"/>
            </w:tcBorders>
            <w:vAlign w:val="center"/>
          </w:tcPr>
          <w:p w14:paraId="550A4FD3">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Zhou et al. (2022)</w:t>
            </w:r>
          </w:p>
        </w:tc>
        <w:tc>
          <w:tcPr>
            <w:tcW w:w="2370" w:type="dxa"/>
            <w:tcBorders>
              <w:tl2br w:val="nil"/>
              <w:tr2bl w:val="nil"/>
            </w:tcBorders>
            <w:vAlign w:val="center"/>
          </w:tcPr>
          <w:p w14:paraId="6C7C6C1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030" w:type="dxa"/>
            <w:tcBorders>
              <w:tl2br w:val="nil"/>
              <w:tr2bl w:val="nil"/>
            </w:tcBorders>
            <w:vAlign w:val="center"/>
          </w:tcPr>
          <w:p w14:paraId="7DF8635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75B8E42E">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209" w:type="dxa"/>
            <w:tcBorders>
              <w:tl2br w:val="nil"/>
              <w:tr2bl w:val="nil"/>
            </w:tcBorders>
            <w:vAlign w:val="center"/>
          </w:tcPr>
          <w:p w14:paraId="5576459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7339B0F0">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7850EF0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r>
      <w:tr w14:paraId="3CF696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62CB44EB">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Zhang et al. (2020a)</w:t>
            </w:r>
          </w:p>
        </w:tc>
        <w:tc>
          <w:tcPr>
            <w:tcW w:w="2370" w:type="dxa"/>
            <w:tcBorders>
              <w:tl2br w:val="nil"/>
              <w:tr2bl w:val="nil"/>
            </w:tcBorders>
            <w:vAlign w:val="center"/>
          </w:tcPr>
          <w:p w14:paraId="543E742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059A9AB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7D91F8F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26279C80">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7C71435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6EBDC48E">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r>
      <w:tr w14:paraId="162CD2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16AD6B7D">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Zhang et al. (2020b)</w:t>
            </w:r>
          </w:p>
        </w:tc>
        <w:tc>
          <w:tcPr>
            <w:tcW w:w="2370" w:type="dxa"/>
            <w:tcBorders>
              <w:tl2br w:val="nil"/>
              <w:tr2bl w:val="nil"/>
            </w:tcBorders>
            <w:vAlign w:val="center"/>
          </w:tcPr>
          <w:p w14:paraId="2D67E51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6439DAB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39E5286B">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00554F29">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1642" w:type="dxa"/>
            <w:tcBorders>
              <w:tl2br w:val="nil"/>
              <w:tr2bl w:val="nil"/>
            </w:tcBorders>
            <w:vAlign w:val="center"/>
          </w:tcPr>
          <w:p w14:paraId="6E64E1E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3DF7E897">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r>
      <w:tr w14:paraId="6DCC34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0851AF4E">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Peng et al. (2016)</w:t>
            </w:r>
          </w:p>
        </w:tc>
        <w:tc>
          <w:tcPr>
            <w:tcW w:w="2370" w:type="dxa"/>
            <w:tcBorders>
              <w:tl2br w:val="nil"/>
              <w:tr2bl w:val="nil"/>
            </w:tcBorders>
            <w:vAlign w:val="center"/>
          </w:tcPr>
          <w:p w14:paraId="1042FF4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030" w:type="dxa"/>
            <w:tcBorders>
              <w:tl2br w:val="nil"/>
              <w:tr2bl w:val="nil"/>
            </w:tcBorders>
            <w:vAlign w:val="center"/>
          </w:tcPr>
          <w:p w14:paraId="256EB98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4464268F">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209" w:type="dxa"/>
            <w:tcBorders>
              <w:tl2br w:val="nil"/>
              <w:tr2bl w:val="nil"/>
            </w:tcBorders>
            <w:vAlign w:val="center"/>
          </w:tcPr>
          <w:p w14:paraId="3F0F4467">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35E77663">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65529FE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r>
      <w:tr w14:paraId="235CE48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637" w:type="dxa"/>
            <w:tcBorders>
              <w:tl2br w:val="nil"/>
              <w:tr2bl w:val="nil"/>
            </w:tcBorders>
            <w:vAlign w:val="center"/>
          </w:tcPr>
          <w:p w14:paraId="1396605D">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Zhou et al. (2024)</w:t>
            </w:r>
          </w:p>
        </w:tc>
        <w:tc>
          <w:tcPr>
            <w:tcW w:w="2370" w:type="dxa"/>
            <w:tcBorders>
              <w:tl2br w:val="nil"/>
              <w:tr2bl w:val="nil"/>
            </w:tcBorders>
            <w:vAlign w:val="center"/>
          </w:tcPr>
          <w:p w14:paraId="572B8855">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078CFF4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2B5F6FF0">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209" w:type="dxa"/>
            <w:tcBorders>
              <w:tl2br w:val="nil"/>
              <w:tr2bl w:val="nil"/>
            </w:tcBorders>
            <w:vAlign w:val="center"/>
          </w:tcPr>
          <w:p w14:paraId="4F39C78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7755F3B7">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67BD6BE3">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r>
      <w:tr w14:paraId="3A8A0F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74A00DA6">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Wu et al. (2022)</w:t>
            </w:r>
          </w:p>
        </w:tc>
        <w:tc>
          <w:tcPr>
            <w:tcW w:w="2370" w:type="dxa"/>
            <w:tcBorders>
              <w:tl2br w:val="nil"/>
              <w:tr2bl w:val="nil"/>
            </w:tcBorders>
            <w:vAlign w:val="center"/>
          </w:tcPr>
          <w:p w14:paraId="32A85C36">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37CCA7E3">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06403750">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c>
          <w:tcPr>
            <w:tcW w:w="2209" w:type="dxa"/>
            <w:tcBorders>
              <w:tl2br w:val="nil"/>
              <w:tr2bl w:val="nil"/>
            </w:tcBorders>
            <w:vAlign w:val="center"/>
          </w:tcPr>
          <w:p w14:paraId="5CDA6B5C">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6FD8588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5724C98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Some Concerns</w:t>
            </w:r>
          </w:p>
        </w:tc>
      </w:tr>
      <w:tr w14:paraId="6A57F0F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57CF9DFE">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Wang et al. (2020)</w:t>
            </w:r>
          </w:p>
        </w:tc>
        <w:tc>
          <w:tcPr>
            <w:tcW w:w="2370" w:type="dxa"/>
            <w:tcBorders>
              <w:tl2br w:val="nil"/>
              <w:tr2bl w:val="nil"/>
            </w:tcBorders>
            <w:vAlign w:val="center"/>
          </w:tcPr>
          <w:p w14:paraId="18F8149E">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28C1165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4115E23B">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31BA9FC7">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2F6A1979">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768CC49E">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r>
      <w:tr w14:paraId="7E71CF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637" w:type="dxa"/>
            <w:tcBorders>
              <w:tl2br w:val="nil"/>
              <w:tr2bl w:val="nil"/>
            </w:tcBorders>
            <w:vAlign w:val="center"/>
          </w:tcPr>
          <w:p w14:paraId="2310A684">
            <w:pPr>
              <w:textAlignment w:val="top"/>
              <w:rPr>
                <w:rFonts w:ascii="Times New Roman" w:hAnsi="Times New Roman" w:cs="Times New Roman"/>
                <w:color w:val="auto"/>
                <w:sz w:val="20"/>
                <w:szCs w:val="20"/>
                <w:lang w:bidi="ar"/>
              </w:rPr>
            </w:pPr>
            <w:r>
              <w:rPr>
                <w:rFonts w:hint="eastAsia" w:ascii="Times New Roman" w:hAnsi="Times New Roman" w:cs="Times New Roman"/>
                <w:color w:val="auto"/>
                <w:sz w:val="20"/>
                <w:szCs w:val="20"/>
                <w:lang w:bidi="ar"/>
              </w:rPr>
              <w:t>Xiao et al. (2022)</w:t>
            </w:r>
          </w:p>
        </w:tc>
        <w:tc>
          <w:tcPr>
            <w:tcW w:w="2370" w:type="dxa"/>
            <w:tcBorders>
              <w:tl2br w:val="nil"/>
              <w:tr2bl w:val="nil"/>
            </w:tcBorders>
            <w:vAlign w:val="center"/>
          </w:tcPr>
          <w:p w14:paraId="6A1BA952">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030" w:type="dxa"/>
            <w:tcBorders>
              <w:tl2br w:val="nil"/>
              <w:tr2bl w:val="nil"/>
            </w:tcBorders>
            <w:vAlign w:val="center"/>
          </w:tcPr>
          <w:p w14:paraId="71E201B3">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High</w:t>
            </w:r>
          </w:p>
        </w:tc>
        <w:tc>
          <w:tcPr>
            <w:tcW w:w="1642" w:type="dxa"/>
            <w:tcBorders>
              <w:tl2br w:val="nil"/>
              <w:tr2bl w:val="nil"/>
            </w:tcBorders>
            <w:vAlign w:val="center"/>
          </w:tcPr>
          <w:p w14:paraId="2EFA9E7D">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2209" w:type="dxa"/>
            <w:tcBorders>
              <w:tl2br w:val="nil"/>
              <w:tr2bl w:val="nil"/>
            </w:tcBorders>
            <w:vAlign w:val="center"/>
          </w:tcPr>
          <w:p w14:paraId="27E66294">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2" w:type="dxa"/>
            <w:tcBorders>
              <w:tl2br w:val="nil"/>
              <w:tr2bl w:val="nil"/>
            </w:tcBorders>
            <w:vAlign w:val="center"/>
          </w:tcPr>
          <w:p w14:paraId="60B86EA8">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Low</w:t>
            </w:r>
          </w:p>
        </w:tc>
        <w:tc>
          <w:tcPr>
            <w:tcW w:w="1643" w:type="dxa"/>
            <w:tcBorders>
              <w:tl2br w:val="nil"/>
              <w:tr2bl w:val="nil"/>
            </w:tcBorders>
            <w:vAlign w:val="center"/>
          </w:tcPr>
          <w:p w14:paraId="5E17EBFA">
            <w:pPr>
              <w:textAlignment w:val="top"/>
              <w:rPr>
                <w:rFonts w:ascii="Times New Roman" w:hAnsi="Times New Roman" w:cs="Times New Roman"/>
                <w:color w:val="auto"/>
                <w:sz w:val="20"/>
                <w:szCs w:val="20"/>
                <w:lang w:bidi="ar"/>
              </w:rPr>
            </w:pPr>
            <w:r>
              <w:rPr>
                <w:rFonts w:ascii="Times New Roman" w:hAnsi="Times New Roman" w:cs="Times New Roman"/>
                <w:color w:val="auto"/>
                <w:sz w:val="20"/>
                <w:szCs w:val="20"/>
                <w:lang w:bidi="ar"/>
              </w:rPr>
              <w:t>High</w:t>
            </w:r>
          </w:p>
        </w:tc>
      </w:tr>
    </w:tbl>
    <w:p w14:paraId="51FD141C">
      <w:pPr>
        <w:ind w:firstLine="400" w:firstLineChars="200"/>
        <w:rPr>
          <w:rFonts w:ascii="Times New Roman" w:hAnsi="Times New Roman" w:cs="Times New Roman"/>
          <w:color w:val="auto"/>
          <w:sz w:val="20"/>
          <w:szCs w:val="20"/>
        </w:rPr>
      </w:pPr>
    </w:p>
    <w:p w14:paraId="78E2656F">
      <w:pPr>
        <w:tabs>
          <w:tab w:val="left" w:pos="620"/>
        </w:tabs>
        <w:rPr>
          <w:rFonts w:hint="eastAsia"/>
          <w:color w:val="auto"/>
          <w:lang w:eastAsia="zh-TW"/>
        </w:rPr>
        <w:sectPr>
          <w:pgSz w:w="16838" w:h="11906" w:orient="landscape"/>
          <w:pgMar w:top="1800" w:right="1440" w:bottom="1800" w:left="1440" w:header="851" w:footer="992" w:gutter="0"/>
          <w:cols w:space="425" w:num="1"/>
          <w:docGrid w:type="lines" w:linePitch="326" w:charSpace="0"/>
        </w:sectPr>
      </w:pPr>
      <w:r>
        <w:rPr>
          <w:rFonts w:ascii="Times New Roman" w:hAnsi="Times New Roman" w:cs="Times New Roman"/>
          <w:color w:val="auto"/>
          <w:sz w:val="20"/>
          <w:szCs w:val="20"/>
        </w:rPr>
        <w:tab/>
      </w:r>
      <w:bookmarkEnd w:id="2"/>
      <w:bookmarkEnd w:id="3"/>
    </w:p>
    <w:bookmarkEnd w:id="4"/>
    <w:bookmarkEnd w:id="5"/>
    <w:bookmarkEnd w:id="6"/>
    <w:bookmarkEnd w:id="7"/>
    <w:p w14:paraId="373BA55B">
      <w:pPr>
        <w:pStyle w:val="2"/>
        <w:spacing w:line="360" w:lineRule="auto"/>
        <w:rPr>
          <w:rFonts w:ascii="Times New Roman" w:hAnsi="Times New Roman" w:cs="Times New Roman"/>
          <w:color w:val="auto"/>
          <w:szCs w:val="20"/>
          <w:lang w:eastAsia="zh-TW"/>
        </w:rPr>
      </w:pPr>
      <w:r>
        <w:rPr>
          <w:rFonts w:ascii="Times New Roman" w:hAnsi="Times New Roman" w:cs="Times New Roman"/>
          <w:color w:val="auto"/>
          <w:szCs w:val="20"/>
          <w:lang w:eastAsia="zh-TW"/>
        </w:rPr>
        <w:t xml:space="preserve">Supplementary </w:t>
      </w:r>
      <w:r>
        <w:rPr>
          <w:rFonts w:hint="eastAsia" w:ascii="Times New Roman" w:hAnsi="Times New Roman" w:cs="Times New Roman" w:eastAsiaTheme="minorEastAsia"/>
          <w:color w:val="auto"/>
          <w:szCs w:val="20"/>
        </w:rPr>
        <w:t>3</w:t>
      </w:r>
      <w:r>
        <w:rPr>
          <w:rFonts w:hint="eastAsia" w:ascii="Times New Roman" w:hAnsi="Times New Roman" w:eastAsia="宋体" w:cs="Times New Roman"/>
          <w:color w:val="auto"/>
          <w:szCs w:val="20"/>
        </w:rPr>
        <w:t>:</w:t>
      </w:r>
      <w:r>
        <w:rPr>
          <w:rFonts w:ascii="Times New Roman" w:hAnsi="Times New Roman" w:cs="Times New Roman"/>
          <w:color w:val="auto"/>
          <w:szCs w:val="20"/>
          <w:lang w:eastAsia="zh-TW"/>
        </w:rPr>
        <w:t xml:space="preserve"> Definitions and examples of TCM non-pharmacological intervention nodes</w:t>
      </w:r>
    </w:p>
    <w:tbl>
      <w:tblPr>
        <w:tblStyle w:val="22"/>
        <w:tblW w:w="8519" w:type="dxa"/>
        <w:jc w:val="center"/>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66"/>
        <w:gridCol w:w="4005"/>
        <w:gridCol w:w="2948"/>
      </w:tblGrid>
      <w:tr w14:paraId="607105E6">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1566" w:type="dxa"/>
            <w:tcBorders>
              <w:bottom w:val="single" w:color="auto" w:sz="4" w:space="0"/>
              <w:tl2br w:val="nil"/>
              <w:tr2bl w:val="nil"/>
            </w:tcBorders>
            <w:vAlign w:val="center"/>
          </w:tcPr>
          <w:p w14:paraId="644E66C1">
            <w:pPr>
              <w:snapToGrid w:val="0"/>
              <w:jc w:val="center"/>
              <w:textAlignment w:val="center"/>
              <w:rPr>
                <w:rFonts w:ascii="Times New Roman" w:hAnsi="Times New Roman" w:cs="Times New Roman"/>
                <w:b/>
                <w:bCs/>
                <w:color w:val="auto"/>
                <w:sz w:val="22"/>
                <w:szCs w:val="22"/>
              </w:rPr>
            </w:pPr>
            <w:r>
              <w:rPr>
                <w:rFonts w:ascii="Times New Roman" w:hAnsi="Times New Roman" w:cs="Times New Roman"/>
                <w:b/>
                <w:bCs/>
                <w:color w:val="auto"/>
                <w:sz w:val="22"/>
                <w:szCs w:val="22"/>
                <w:lang w:bidi="ar"/>
              </w:rPr>
              <w:t>Full name</w:t>
            </w:r>
          </w:p>
        </w:tc>
        <w:tc>
          <w:tcPr>
            <w:tcW w:w="4005" w:type="dxa"/>
            <w:tcBorders>
              <w:bottom w:val="single" w:color="auto" w:sz="4" w:space="0"/>
              <w:tl2br w:val="nil"/>
              <w:tr2bl w:val="nil"/>
            </w:tcBorders>
            <w:vAlign w:val="center"/>
          </w:tcPr>
          <w:p w14:paraId="5EE1D270">
            <w:pPr>
              <w:snapToGrid w:val="0"/>
              <w:jc w:val="center"/>
              <w:textAlignment w:val="center"/>
              <w:rPr>
                <w:rFonts w:ascii="Times New Roman" w:hAnsi="Times New Roman" w:cs="Times New Roman"/>
                <w:b/>
                <w:bCs/>
                <w:color w:val="auto"/>
                <w:sz w:val="22"/>
                <w:szCs w:val="22"/>
              </w:rPr>
            </w:pPr>
            <w:r>
              <w:rPr>
                <w:rFonts w:ascii="Times New Roman" w:hAnsi="Times New Roman" w:cs="Times New Roman"/>
                <w:b/>
                <w:bCs/>
                <w:color w:val="auto"/>
                <w:sz w:val="22"/>
                <w:szCs w:val="22"/>
                <w:lang w:bidi="ar"/>
              </w:rPr>
              <w:t>Definitions</w:t>
            </w:r>
          </w:p>
        </w:tc>
        <w:tc>
          <w:tcPr>
            <w:tcW w:w="2948" w:type="dxa"/>
            <w:tcBorders>
              <w:bottom w:val="single" w:color="auto" w:sz="4" w:space="0"/>
              <w:tl2br w:val="nil"/>
              <w:tr2bl w:val="nil"/>
            </w:tcBorders>
            <w:vAlign w:val="center"/>
          </w:tcPr>
          <w:p w14:paraId="72A04415">
            <w:pPr>
              <w:snapToGrid w:val="0"/>
              <w:jc w:val="center"/>
              <w:textAlignment w:val="center"/>
              <w:rPr>
                <w:rFonts w:ascii="Times New Roman" w:hAnsi="Times New Roman" w:cs="Times New Roman"/>
                <w:b/>
                <w:bCs/>
                <w:color w:val="auto"/>
                <w:sz w:val="22"/>
                <w:szCs w:val="22"/>
              </w:rPr>
            </w:pPr>
            <w:r>
              <w:rPr>
                <w:rFonts w:ascii="Times New Roman" w:hAnsi="Times New Roman" w:cs="Times New Roman"/>
                <w:b/>
                <w:bCs/>
                <w:color w:val="auto"/>
                <w:sz w:val="22"/>
                <w:szCs w:val="22"/>
                <w:lang w:bidi="ar"/>
              </w:rPr>
              <w:t>Examples</w:t>
            </w:r>
          </w:p>
        </w:tc>
      </w:tr>
      <w:tr w14:paraId="1EE89E41">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66" w:type="dxa"/>
            <w:tcBorders>
              <w:top w:val="single" w:color="auto" w:sz="4" w:space="0"/>
            </w:tcBorders>
            <w:vAlign w:val="center"/>
          </w:tcPr>
          <w:p w14:paraId="43747686">
            <w:pPr>
              <w:snapToGrid w:val="0"/>
              <w:textAlignment w:val="center"/>
              <w:rPr>
                <w:rFonts w:ascii="Times New Roman" w:hAnsi="Times New Roman" w:cs="Times New Roman"/>
                <w:b/>
                <w:bCs/>
                <w:color w:val="auto"/>
                <w:sz w:val="22"/>
                <w:szCs w:val="22"/>
              </w:rPr>
            </w:pPr>
            <w:r>
              <w:rPr>
                <w:rFonts w:ascii="Times New Roman" w:hAnsi="Times New Roman" w:cs="Times New Roman"/>
                <w:b/>
                <w:bCs/>
                <w:color w:val="auto"/>
                <w:sz w:val="22"/>
                <w:szCs w:val="22"/>
                <w:lang w:bidi="ar"/>
              </w:rPr>
              <w:t>Acupuncture</w:t>
            </w:r>
          </w:p>
        </w:tc>
        <w:tc>
          <w:tcPr>
            <w:tcW w:w="4005" w:type="dxa"/>
            <w:tcBorders>
              <w:top w:val="single" w:color="auto" w:sz="4" w:space="0"/>
            </w:tcBorders>
            <w:vAlign w:val="center"/>
          </w:tcPr>
          <w:p w14:paraId="143A5687">
            <w:pPr>
              <w:snapToGrid w:val="0"/>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Acupuncture refers to a TCM intervention involving the insertion of fine needles into specific body acupoints along meridians, with the aim of regulating qi flow and restoring functional balance. In oncology-related supportive care, acupuncture is commonly used to alleviate chemotherapy-related symptoms such as fatigue, pain, sleep disturbance, anxiety, and gastrointestinal discomfort. Both manual acupuncture and electroacupuncture are included when needle insertion at body acupoints is the core therapeutic component.</w:t>
            </w:r>
          </w:p>
        </w:tc>
        <w:tc>
          <w:tcPr>
            <w:tcW w:w="2948" w:type="dxa"/>
            <w:tcBorders>
              <w:top w:val="single" w:color="auto" w:sz="4" w:space="0"/>
            </w:tcBorders>
            <w:vAlign w:val="center"/>
          </w:tcPr>
          <w:p w14:paraId="0250911F">
            <w:pPr>
              <w:snapToGrid w:val="0"/>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Body acupuncture using standardized acupoints selected according to symptom profiles; manual acupuncture or electroacupuncture applied by licensed practitioners.</w:t>
            </w:r>
          </w:p>
        </w:tc>
      </w:tr>
      <w:tr w14:paraId="6C5F5B1E">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66" w:type="dxa"/>
            <w:tcBorders>
              <w:tl2br w:val="nil"/>
              <w:tr2bl w:val="nil"/>
            </w:tcBorders>
            <w:vAlign w:val="center"/>
          </w:tcPr>
          <w:p w14:paraId="5B00953B">
            <w:pPr>
              <w:snapToGrid w:val="0"/>
              <w:textAlignment w:val="center"/>
              <w:rPr>
                <w:rFonts w:ascii="Times New Roman" w:hAnsi="Times New Roman" w:cs="Times New Roman"/>
                <w:b/>
                <w:bCs/>
                <w:color w:val="auto"/>
                <w:sz w:val="22"/>
                <w:szCs w:val="22"/>
              </w:rPr>
            </w:pPr>
            <w:r>
              <w:rPr>
                <w:rFonts w:ascii="Times New Roman" w:hAnsi="Times New Roman" w:cs="Times New Roman"/>
                <w:b/>
                <w:bCs/>
                <w:color w:val="auto"/>
                <w:sz w:val="22"/>
                <w:szCs w:val="22"/>
                <w:lang w:bidi="ar"/>
              </w:rPr>
              <w:t>Auricular Therapy</w:t>
            </w:r>
          </w:p>
        </w:tc>
        <w:tc>
          <w:tcPr>
            <w:tcW w:w="4005" w:type="dxa"/>
            <w:tcBorders>
              <w:tl2br w:val="nil"/>
              <w:tr2bl w:val="nil"/>
            </w:tcBorders>
            <w:vAlign w:val="center"/>
          </w:tcPr>
          <w:p w14:paraId="671DDA91">
            <w:pPr>
              <w:snapToGrid w:val="0"/>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Auricular Therapy encompasses auricular acupuncture or auricular acupressure based on the somatotopic representation of the body on the auricle. This modality stimulates specific auricular points to modulate central nervous system activity and autonomic regulation. Point selection typically follows internationally recognized auricular mapping systems, such as the WHO Standard Auricular Points Map.</w:t>
            </w:r>
          </w:p>
        </w:tc>
        <w:tc>
          <w:tcPr>
            <w:tcW w:w="2948" w:type="dxa"/>
            <w:tcBorders>
              <w:tl2br w:val="nil"/>
              <w:tr2bl w:val="nil"/>
            </w:tcBorders>
            <w:vAlign w:val="center"/>
          </w:tcPr>
          <w:p w14:paraId="0036F841">
            <w:pPr>
              <w:snapToGrid w:val="0"/>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Auricular acupressure or acupuncture targeting points such as Shenmen, Sympathetic, and Subcortex using press seeds or needles.</w:t>
            </w:r>
          </w:p>
        </w:tc>
      </w:tr>
      <w:tr w14:paraId="4F2C02C5">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66" w:type="dxa"/>
            <w:tcBorders>
              <w:tl2br w:val="nil"/>
              <w:tr2bl w:val="nil"/>
            </w:tcBorders>
            <w:vAlign w:val="center"/>
          </w:tcPr>
          <w:p w14:paraId="5277D408">
            <w:pPr>
              <w:snapToGrid w:val="0"/>
              <w:textAlignment w:val="center"/>
              <w:rPr>
                <w:rFonts w:ascii="Times New Roman" w:hAnsi="Times New Roman" w:cs="Times New Roman"/>
                <w:b/>
                <w:bCs/>
                <w:color w:val="auto"/>
                <w:sz w:val="22"/>
                <w:szCs w:val="22"/>
              </w:rPr>
            </w:pPr>
            <w:r>
              <w:rPr>
                <w:rFonts w:ascii="Times New Roman" w:hAnsi="Times New Roman" w:cs="Times New Roman"/>
                <w:b/>
                <w:bCs/>
                <w:color w:val="auto"/>
                <w:sz w:val="22"/>
                <w:szCs w:val="22"/>
                <w:lang w:bidi="ar"/>
              </w:rPr>
              <w:t>Manual Acupoint Therapy</w:t>
            </w:r>
          </w:p>
        </w:tc>
        <w:tc>
          <w:tcPr>
            <w:tcW w:w="4005" w:type="dxa"/>
            <w:tcBorders>
              <w:tl2br w:val="nil"/>
              <w:tr2bl w:val="nil"/>
            </w:tcBorders>
            <w:vAlign w:val="center"/>
          </w:tcPr>
          <w:p w14:paraId="4D3EAF94">
            <w:pPr>
              <w:snapToGrid w:val="0"/>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Manual Acupoint Therapy refers to hands-on stimulation of body acupoints or meridian regions using tuina massage or body acupressure techniques. This modality applies manual pressure, kneading, or rolling to regulate meridian circulation and relieve symptom burden. It is commonly used for chemotherapy-related fatigue, sleep disturbance, and general discomfort.</w:t>
            </w:r>
          </w:p>
        </w:tc>
        <w:tc>
          <w:tcPr>
            <w:tcW w:w="2948" w:type="dxa"/>
            <w:tcBorders>
              <w:tl2br w:val="nil"/>
              <w:tr2bl w:val="nil"/>
            </w:tcBorders>
            <w:vAlign w:val="center"/>
          </w:tcPr>
          <w:p w14:paraId="0355D85D">
            <w:pPr>
              <w:snapToGrid w:val="0"/>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Tuina massage or acupressure applied to body acupoints such as BL23 (Shenshu), BL15 (Xinshu), HT7 (Shenmen), and SP6 (Sanyinjiao).</w:t>
            </w:r>
          </w:p>
        </w:tc>
      </w:tr>
      <w:tr w14:paraId="2A0771B6">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66" w:type="dxa"/>
            <w:tcBorders>
              <w:tl2br w:val="nil"/>
              <w:tr2bl w:val="nil"/>
            </w:tcBorders>
            <w:vAlign w:val="center"/>
          </w:tcPr>
          <w:p w14:paraId="646484EC">
            <w:pPr>
              <w:snapToGrid w:val="0"/>
              <w:textAlignment w:val="center"/>
              <w:rPr>
                <w:rFonts w:ascii="Times New Roman" w:hAnsi="Times New Roman" w:cs="Times New Roman"/>
                <w:b/>
                <w:bCs/>
                <w:color w:val="auto"/>
                <w:sz w:val="22"/>
                <w:szCs w:val="22"/>
              </w:rPr>
            </w:pPr>
            <w:r>
              <w:rPr>
                <w:rFonts w:ascii="Times New Roman" w:hAnsi="Times New Roman" w:cs="Times New Roman"/>
                <w:b/>
                <w:bCs/>
                <w:color w:val="auto"/>
                <w:sz w:val="22"/>
                <w:szCs w:val="22"/>
                <w:lang w:bidi="ar"/>
              </w:rPr>
              <w:t>Mind–Body Exercise Therapy</w:t>
            </w:r>
          </w:p>
        </w:tc>
        <w:tc>
          <w:tcPr>
            <w:tcW w:w="4005" w:type="dxa"/>
            <w:tcBorders>
              <w:tl2br w:val="nil"/>
              <w:tr2bl w:val="nil"/>
            </w:tcBorders>
            <w:vAlign w:val="center"/>
          </w:tcPr>
          <w:p w14:paraId="4AD74EE9">
            <w:pPr>
              <w:snapToGrid w:val="0"/>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Mind–Body Exercise Therapy includes structured traditional exercises that integrate physical movement, breathing regulation, and mental focus to promote physical and psychological well-being. These practices emphasize coordinated posture, controlled respiration, and meditative awareness, and are widely used in cancer rehabilitation to improve quality of life, mood, sleep, and fatigue.</w:t>
            </w:r>
          </w:p>
        </w:tc>
        <w:tc>
          <w:tcPr>
            <w:tcW w:w="2948" w:type="dxa"/>
            <w:tcBorders>
              <w:tl2br w:val="nil"/>
              <w:tr2bl w:val="nil"/>
            </w:tcBorders>
            <w:vAlign w:val="center"/>
          </w:tcPr>
          <w:p w14:paraId="3B8C8738">
            <w:pPr>
              <w:snapToGrid w:val="0"/>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Tai Chi (e.g., 24-form), Qigong, Baduanjin, and other standardized traditional Chinese exercise forms.</w:t>
            </w:r>
          </w:p>
        </w:tc>
      </w:tr>
      <w:tr w14:paraId="2BFEB78C">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66" w:type="dxa"/>
            <w:tcBorders>
              <w:tl2br w:val="nil"/>
              <w:tr2bl w:val="nil"/>
            </w:tcBorders>
            <w:vAlign w:val="center"/>
          </w:tcPr>
          <w:p w14:paraId="71988D27">
            <w:pPr>
              <w:snapToGrid w:val="0"/>
              <w:textAlignment w:val="center"/>
              <w:rPr>
                <w:rFonts w:ascii="Times New Roman" w:hAnsi="Times New Roman" w:cs="Times New Roman"/>
                <w:b/>
                <w:bCs/>
                <w:color w:val="auto"/>
                <w:sz w:val="22"/>
                <w:szCs w:val="22"/>
              </w:rPr>
            </w:pPr>
            <w:r>
              <w:rPr>
                <w:rFonts w:ascii="Times New Roman" w:hAnsi="Times New Roman" w:cs="Times New Roman"/>
                <w:b/>
                <w:bCs/>
                <w:color w:val="auto"/>
                <w:sz w:val="22"/>
                <w:szCs w:val="22"/>
                <w:lang w:bidi="ar"/>
              </w:rPr>
              <w:t>Moxibustion</w:t>
            </w:r>
          </w:p>
        </w:tc>
        <w:tc>
          <w:tcPr>
            <w:tcW w:w="4005" w:type="dxa"/>
            <w:tcBorders>
              <w:tl2br w:val="nil"/>
              <w:tr2bl w:val="nil"/>
            </w:tcBorders>
            <w:vAlign w:val="center"/>
          </w:tcPr>
          <w:p w14:paraId="6A3F5CBD">
            <w:pPr>
              <w:snapToGrid w:val="0"/>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Moxibustion is a TCM intervention involving thermal stimulation of acupuncture points through the burning of moxa (Artemisia vulgaris). The heat generated is believed to warm meridians, promote circulation, and enhance systemic vitality. In supportive oncology care, moxibustion is commonly applied to relieve fatigue, pain, and digestive symptoms.</w:t>
            </w:r>
          </w:p>
        </w:tc>
        <w:tc>
          <w:tcPr>
            <w:tcW w:w="2948" w:type="dxa"/>
            <w:tcBorders>
              <w:tl2br w:val="nil"/>
              <w:tr2bl w:val="nil"/>
            </w:tcBorders>
            <w:vAlign w:val="center"/>
          </w:tcPr>
          <w:p w14:paraId="588D37A0">
            <w:pPr>
              <w:snapToGrid w:val="0"/>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Indirect or direct moxibustion applied to body acupoints as specified in individual trials.</w:t>
            </w:r>
          </w:p>
        </w:tc>
      </w:tr>
      <w:tr w14:paraId="542F9BEB">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66" w:type="dxa"/>
            <w:tcBorders>
              <w:tl2br w:val="nil"/>
              <w:tr2bl w:val="nil"/>
            </w:tcBorders>
            <w:vAlign w:val="center"/>
          </w:tcPr>
          <w:p w14:paraId="23A917E2">
            <w:pPr>
              <w:snapToGrid w:val="0"/>
              <w:textAlignment w:val="center"/>
              <w:rPr>
                <w:rFonts w:ascii="Times New Roman" w:hAnsi="Times New Roman" w:cs="Times New Roman"/>
                <w:b/>
                <w:bCs/>
                <w:color w:val="auto"/>
                <w:sz w:val="22"/>
                <w:szCs w:val="22"/>
              </w:rPr>
            </w:pPr>
            <w:r>
              <w:rPr>
                <w:rFonts w:ascii="Times New Roman" w:hAnsi="Times New Roman" w:cs="Times New Roman"/>
                <w:b/>
                <w:bCs/>
                <w:color w:val="auto"/>
                <w:sz w:val="22"/>
                <w:szCs w:val="22"/>
                <w:lang w:bidi="ar"/>
              </w:rPr>
              <w:t>CON (Control)</w:t>
            </w:r>
          </w:p>
        </w:tc>
        <w:tc>
          <w:tcPr>
            <w:tcW w:w="4005" w:type="dxa"/>
            <w:tcBorders>
              <w:tl2br w:val="nil"/>
              <w:tr2bl w:val="nil"/>
            </w:tcBorders>
            <w:vAlign w:val="center"/>
          </w:tcPr>
          <w:p w14:paraId="2AE14B5A">
            <w:pPr>
              <w:snapToGrid w:val="0"/>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Control conditions include routine care, usual supportive care, wait-list control, or no additional intervention beyond standard chemotherapy management. These controls do not involve active TCM non-pharmacological interventions.</w:t>
            </w:r>
          </w:p>
        </w:tc>
        <w:tc>
          <w:tcPr>
            <w:tcW w:w="2948" w:type="dxa"/>
            <w:tcBorders>
              <w:tl2br w:val="nil"/>
              <w:tr2bl w:val="nil"/>
            </w:tcBorders>
            <w:vAlign w:val="center"/>
          </w:tcPr>
          <w:p w14:paraId="0DB722F8">
            <w:pPr>
              <w:snapToGrid w:val="0"/>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Standard chemotherapy-related supportive care such as routine monitoring and health education without additional TCM intervention.</w:t>
            </w:r>
          </w:p>
        </w:tc>
      </w:tr>
    </w:tbl>
    <w:p w14:paraId="748C44F3">
      <w:pPr>
        <w:rPr>
          <w:rFonts w:ascii="Times New Roman" w:hAnsi="Times New Roman" w:cs="Times New Roman"/>
          <w:color w:val="auto"/>
          <w:sz w:val="20"/>
          <w:szCs w:val="20"/>
        </w:rPr>
      </w:pPr>
      <w:r>
        <w:rPr>
          <w:rFonts w:hint="eastAsia" w:ascii="Times New Roman" w:hAnsi="Times New Roman" w:cs="Times New Roman"/>
          <w:color w:val="auto"/>
          <w:sz w:val="20"/>
          <w:szCs w:val="20"/>
        </w:rPr>
        <w:t xml:space="preserve"> </w:t>
      </w:r>
    </w:p>
    <w:p w14:paraId="3BB76C58">
      <w:pPr>
        <w:rPr>
          <w:rFonts w:ascii="Times New Roman" w:hAnsi="Times New Roman" w:cs="Times New Roman"/>
          <w:b/>
          <w:bCs/>
          <w:color w:val="auto"/>
          <w:sz w:val="20"/>
          <w:szCs w:val="20"/>
        </w:rPr>
      </w:pPr>
      <w:r>
        <w:rPr>
          <w:rFonts w:ascii="Times New Roman" w:hAnsi="Times New Roman" w:cs="Times New Roman"/>
          <w:b/>
          <w:bCs/>
          <w:color w:val="auto"/>
          <w:sz w:val="20"/>
          <w:szCs w:val="20"/>
        </w:rPr>
        <w:t>Reference</w:t>
      </w:r>
    </w:p>
    <w:p w14:paraId="7236450F">
      <w:pPr>
        <w:numPr>
          <w:ilvl w:val="0"/>
          <w:numId w:val="1"/>
        </w:numPr>
        <w:rPr>
          <w:rFonts w:ascii="Times New Roman" w:hAnsi="Times New Roman" w:cs="Times New Roman"/>
          <w:color w:val="auto"/>
          <w:sz w:val="20"/>
          <w:szCs w:val="20"/>
        </w:rPr>
      </w:pPr>
      <w:r>
        <w:rPr>
          <w:rFonts w:ascii="Times New Roman" w:hAnsi="Times New Roman" w:cs="Times New Roman"/>
          <w:color w:val="auto"/>
          <w:sz w:val="20"/>
          <w:szCs w:val="20"/>
        </w:rPr>
        <w:t>World Health Organization. WHO International Standard Terminologies on Traditional Medicine in the Western Pacific Region. Geneva: WHO; 2007.</w:t>
      </w:r>
    </w:p>
    <w:p w14:paraId="17FFA8CC">
      <w:pPr>
        <w:numPr>
          <w:ilvl w:val="0"/>
          <w:numId w:val="1"/>
        </w:numPr>
        <w:rPr>
          <w:rFonts w:ascii="Times New Roman" w:hAnsi="Times New Roman" w:cs="Times New Roman"/>
          <w:color w:val="auto"/>
          <w:sz w:val="20"/>
          <w:szCs w:val="20"/>
        </w:rPr>
      </w:pPr>
      <w:r>
        <w:rPr>
          <w:rFonts w:ascii="Times New Roman" w:hAnsi="Times New Roman" w:cs="Times New Roman"/>
          <w:color w:val="auto"/>
          <w:sz w:val="20"/>
          <w:szCs w:val="20"/>
        </w:rPr>
        <w:t>World Health Organization. WHO Standard Acupuncture Point Locations in the Western Pacific Region. Geneva: WHO; 2008.</w:t>
      </w:r>
    </w:p>
    <w:p w14:paraId="3F4DA81C">
      <w:pPr>
        <w:numPr>
          <w:ilvl w:val="0"/>
          <w:numId w:val="1"/>
        </w:numPr>
        <w:rPr>
          <w:rFonts w:ascii="Times New Roman" w:hAnsi="Times New Roman" w:cs="Times New Roman"/>
          <w:color w:val="auto"/>
          <w:sz w:val="20"/>
          <w:szCs w:val="20"/>
        </w:rPr>
        <w:sectPr>
          <w:pgSz w:w="11906" w:h="16838"/>
          <w:pgMar w:top="1440" w:right="1800" w:bottom="1440" w:left="1800" w:header="851" w:footer="992" w:gutter="0"/>
          <w:cols w:space="425" w:num="1"/>
          <w:docGrid w:type="lines" w:linePitch="326" w:charSpace="0"/>
        </w:sectPr>
      </w:pPr>
      <w:r>
        <w:rPr>
          <w:rFonts w:ascii="Times New Roman" w:hAnsi="Times New Roman" w:cs="Times New Roman"/>
          <w:color w:val="auto"/>
          <w:sz w:val="20"/>
          <w:szCs w:val="20"/>
        </w:rPr>
        <w:t>MacPherson H, Altman DG, Hammerschlag R, et al. Revised STRICTA: standards for reporting interventions in clinical trials of acupuncture. PLoS Med. 2010;7(6):e1000261.</w:t>
      </w:r>
    </w:p>
    <w:p w14:paraId="2E4B48E1">
      <w:pPr>
        <w:pStyle w:val="2"/>
        <w:spacing w:line="360" w:lineRule="auto"/>
        <w:rPr>
          <w:rFonts w:ascii="Times New Roman" w:hAnsi="Times New Roman" w:cs="Times New Roman"/>
          <w:color w:val="auto"/>
          <w:szCs w:val="20"/>
        </w:rPr>
      </w:pPr>
      <w:r>
        <w:rPr>
          <w:rFonts w:ascii="Times New Roman" w:hAnsi="Times New Roman" w:cs="Times New Roman"/>
          <w:color w:val="auto"/>
          <w:szCs w:val="20"/>
          <w:lang w:eastAsia="zh-TW"/>
        </w:rPr>
        <w:t xml:space="preserve">Supplementary </w:t>
      </w:r>
      <w:r>
        <w:rPr>
          <w:rFonts w:hint="eastAsia" w:ascii="Times New Roman" w:hAnsi="Times New Roman" w:eastAsia="宋体" w:cs="Times New Roman"/>
          <w:color w:val="auto"/>
          <w:szCs w:val="20"/>
        </w:rPr>
        <w:t>4</w:t>
      </w:r>
      <w:r>
        <w:rPr>
          <w:rFonts w:ascii="Times New Roman" w:hAnsi="Times New Roman" w:cs="Times New Roman"/>
          <w:color w:val="auto"/>
          <w:szCs w:val="20"/>
          <w:lang w:eastAsia="zh-TW"/>
        </w:rPr>
        <w:t xml:space="preserve">: </w:t>
      </w:r>
      <w:r>
        <w:rPr>
          <w:rFonts w:hint="eastAsia" w:ascii="Times New Roman" w:hAnsi="Times New Roman" w:eastAsia="宋体" w:cs="Times New Roman"/>
          <w:color w:val="auto"/>
          <w:szCs w:val="20"/>
        </w:rPr>
        <w:t xml:space="preserve">Forest </w:t>
      </w:r>
      <w:r>
        <w:rPr>
          <w:rFonts w:ascii="Times New Roman" w:hAnsi="Times New Roman" w:cs="Times New Roman"/>
          <w:color w:val="auto"/>
          <w:szCs w:val="20"/>
          <w:lang w:eastAsia="zh-TW"/>
        </w:rPr>
        <w:t>bias</w:t>
      </w:r>
    </w:p>
    <w:p w14:paraId="19CB3F04">
      <w:pPr>
        <w:jc w:val="center"/>
        <w:rPr>
          <w:rFonts w:ascii="Times New Roman" w:hAnsi="Times New Roman" w:cs="Times New Roman"/>
          <w:color w:val="auto"/>
          <w:sz w:val="20"/>
          <w:szCs w:val="20"/>
        </w:rPr>
      </w:pPr>
      <w:r>
        <w:rPr>
          <w:rFonts w:ascii="Times New Roman" w:hAnsi="Times New Roman" w:cs="Times New Roman"/>
          <w:color w:val="auto"/>
          <w:sz w:val="20"/>
          <w:szCs w:val="20"/>
        </w:rPr>
        <w:drawing>
          <wp:inline distT="0" distB="0" distL="114300" distR="114300">
            <wp:extent cx="5270500" cy="3832860"/>
            <wp:effectExtent l="0" t="0" r="6350" b="5715"/>
            <wp:docPr id="23" name="图片 23" descr="森林图-QoL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森林图-QoL_01"/>
                    <pic:cNvPicPr>
                      <a:picLocks noChangeAspect="1"/>
                    </pic:cNvPicPr>
                  </pic:nvPicPr>
                  <pic:blipFill>
                    <a:blip r:embed="rId14"/>
                    <a:stretch>
                      <a:fillRect/>
                    </a:stretch>
                  </pic:blipFill>
                  <pic:spPr>
                    <a:xfrm>
                      <a:off x="0" y="0"/>
                      <a:ext cx="5270500" cy="3832860"/>
                    </a:xfrm>
                    <a:prstGeom prst="rect">
                      <a:avLst/>
                    </a:prstGeom>
                  </pic:spPr>
                </pic:pic>
              </a:graphicData>
            </a:graphic>
          </wp:inline>
        </w:drawing>
      </w:r>
    </w:p>
    <w:p w14:paraId="66AD9050">
      <w:pPr>
        <w:jc w:val="center"/>
        <w:rPr>
          <w:rFonts w:ascii="Times New Roman" w:hAnsi="Times New Roman" w:cs="Times New Roman"/>
          <w:color w:val="auto"/>
          <w:sz w:val="20"/>
          <w:szCs w:val="20"/>
          <w:lang w:eastAsia="zh-TW"/>
        </w:rPr>
      </w:pPr>
      <w:r>
        <w:rPr>
          <w:rFonts w:ascii="Times New Roman" w:hAnsi="Times New Roman" w:cs="Times New Roman"/>
          <w:color w:val="auto"/>
          <w:sz w:val="20"/>
          <w:szCs w:val="20"/>
          <w:lang w:eastAsia="zh-TW"/>
        </w:rPr>
        <w:t xml:space="preserve">Figure </w:t>
      </w:r>
      <w:r>
        <w:rPr>
          <w:rFonts w:hint="eastAsia" w:ascii="Times New Roman" w:hAnsi="Times New Roman" w:cs="Times New Roman"/>
          <w:color w:val="auto"/>
          <w:sz w:val="20"/>
          <w:szCs w:val="20"/>
        </w:rPr>
        <w:t>4</w:t>
      </w:r>
      <w:r>
        <w:rPr>
          <w:rFonts w:ascii="Times New Roman" w:hAnsi="Times New Roman" w:cs="Times New Roman"/>
          <w:color w:val="auto"/>
          <w:sz w:val="20"/>
          <w:szCs w:val="20"/>
          <w:lang w:eastAsia="zh-TW"/>
        </w:rPr>
        <w:t xml:space="preserve">.1 The </w:t>
      </w:r>
      <w:r>
        <w:rPr>
          <w:rFonts w:hint="eastAsia" w:ascii="Times New Roman" w:hAnsi="Times New Roman" w:cs="Times New Roman"/>
          <w:color w:val="auto"/>
          <w:sz w:val="20"/>
          <w:szCs w:val="20"/>
        </w:rPr>
        <w:t xml:space="preserve">forest </w:t>
      </w:r>
      <w:r>
        <w:rPr>
          <w:rFonts w:ascii="Times New Roman" w:hAnsi="Times New Roman" w:cs="Times New Roman"/>
          <w:color w:val="auto"/>
          <w:sz w:val="20"/>
          <w:szCs w:val="20"/>
          <w:lang w:eastAsia="zh-TW"/>
        </w:rPr>
        <w:t>plot of</w:t>
      </w:r>
      <w:r>
        <w:rPr>
          <w:rFonts w:hint="eastAsia" w:ascii="Times New Roman" w:hAnsi="Times New Roman" w:cs="Times New Roman"/>
          <w:color w:val="auto"/>
          <w:sz w:val="20"/>
          <w:szCs w:val="20"/>
        </w:rPr>
        <w:t xml:space="preserve"> QoL</w:t>
      </w:r>
      <w:r>
        <w:rPr>
          <w:rFonts w:ascii="Times New Roman" w:hAnsi="Times New Roman" w:cs="Times New Roman"/>
          <w:color w:val="auto"/>
          <w:sz w:val="20"/>
          <w:szCs w:val="20"/>
          <w:lang w:eastAsia="zh-TW"/>
        </w:rPr>
        <w:t xml:space="preserve">. The result of </w:t>
      </w:r>
      <w:r>
        <w:rPr>
          <w:rFonts w:hint="eastAsia" w:ascii="Times New Roman" w:hAnsi="Times New Roman" w:cs="Times New Roman"/>
          <w:color w:val="auto"/>
          <w:sz w:val="20"/>
          <w:szCs w:val="20"/>
        </w:rPr>
        <w:t xml:space="preserve">inconsistency </w:t>
      </w:r>
      <w:r>
        <w:rPr>
          <w:rFonts w:ascii="Times New Roman" w:hAnsi="Times New Roman" w:cs="Times New Roman"/>
          <w:color w:val="auto"/>
          <w:sz w:val="20"/>
          <w:szCs w:val="20"/>
          <w:lang w:eastAsia="zh-TW"/>
        </w:rPr>
        <w:t>test showed the p=</w:t>
      </w:r>
      <w:r>
        <w:rPr>
          <w:rFonts w:ascii="Times New Roman" w:hAnsi="Times New Roman" w:cs="Times New Roman"/>
          <w:color w:val="auto"/>
          <w:sz w:val="20"/>
          <w:szCs w:val="20"/>
        </w:rPr>
        <w:t>0.</w:t>
      </w:r>
      <w:r>
        <w:rPr>
          <w:rFonts w:hint="eastAsia" w:ascii="Times New Roman" w:hAnsi="Times New Roman" w:cs="Times New Roman"/>
          <w:color w:val="auto"/>
          <w:sz w:val="20"/>
          <w:szCs w:val="20"/>
        </w:rPr>
        <w:t>038</w:t>
      </w:r>
      <w:r>
        <w:rPr>
          <w:rFonts w:ascii="Times New Roman" w:hAnsi="Times New Roman" w:cs="Times New Roman"/>
          <w:color w:val="auto"/>
          <w:sz w:val="20"/>
          <w:szCs w:val="20"/>
          <w:lang w:eastAsia="zh-TW"/>
        </w:rPr>
        <w:t>.</w:t>
      </w:r>
    </w:p>
    <w:p w14:paraId="27C4CE1E">
      <w:pPr>
        <w:jc w:val="center"/>
        <w:rPr>
          <w:rFonts w:ascii="Times New Roman" w:hAnsi="Times New Roman" w:cs="Times New Roman"/>
          <w:color w:val="auto"/>
        </w:rPr>
      </w:pPr>
      <w:r>
        <w:rPr>
          <w:rFonts w:ascii="Times New Roman" w:hAnsi="Times New Roman" w:cs="Times New Roman"/>
          <w:color w:val="auto"/>
        </w:rPr>
        <w:drawing>
          <wp:inline distT="0" distB="0" distL="114300" distR="114300">
            <wp:extent cx="5270500" cy="3832860"/>
            <wp:effectExtent l="0" t="0" r="6350" b="5715"/>
            <wp:docPr id="24" name="图片 24" descr="森林图-睡眠质量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森林图-睡眠质量_01"/>
                    <pic:cNvPicPr>
                      <a:picLocks noChangeAspect="1"/>
                    </pic:cNvPicPr>
                  </pic:nvPicPr>
                  <pic:blipFill>
                    <a:blip r:embed="rId15"/>
                    <a:stretch>
                      <a:fillRect/>
                    </a:stretch>
                  </pic:blipFill>
                  <pic:spPr>
                    <a:xfrm>
                      <a:off x="0" y="0"/>
                      <a:ext cx="5270500" cy="3832860"/>
                    </a:xfrm>
                    <a:prstGeom prst="rect">
                      <a:avLst/>
                    </a:prstGeom>
                  </pic:spPr>
                </pic:pic>
              </a:graphicData>
            </a:graphic>
          </wp:inline>
        </w:drawing>
      </w:r>
    </w:p>
    <w:p w14:paraId="4D61B2CF">
      <w:pPr>
        <w:jc w:val="center"/>
        <w:rPr>
          <w:rFonts w:ascii="Times New Roman" w:hAnsi="Times New Roman" w:cs="Times New Roman"/>
          <w:color w:val="auto"/>
          <w:sz w:val="20"/>
          <w:szCs w:val="20"/>
          <w:lang w:eastAsia="zh-TW"/>
        </w:rPr>
      </w:pPr>
      <w:r>
        <w:rPr>
          <w:rFonts w:ascii="Times New Roman" w:hAnsi="Times New Roman" w:cs="Times New Roman"/>
          <w:color w:val="auto"/>
          <w:sz w:val="20"/>
          <w:szCs w:val="20"/>
          <w:lang w:eastAsia="zh-TW"/>
        </w:rPr>
        <w:t xml:space="preserve">Figure </w:t>
      </w:r>
      <w:r>
        <w:rPr>
          <w:rFonts w:hint="eastAsia" w:ascii="Times New Roman" w:hAnsi="Times New Roman" w:cs="Times New Roman"/>
          <w:color w:val="auto"/>
          <w:sz w:val="20"/>
          <w:szCs w:val="20"/>
        </w:rPr>
        <w:t>4</w:t>
      </w:r>
      <w:r>
        <w:rPr>
          <w:rFonts w:ascii="Times New Roman" w:hAnsi="Times New Roman" w:cs="Times New Roman"/>
          <w:color w:val="auto"/>
          <w:sz w:val="20"/>
          <w:szCs w:val="20"/>
          <w:lang w:eastAsia="zh-TW"/>
        </w:rPr>
        <w:t xml:space="preserve">.2 The </w:t>
      </w:r>
      <w:r>
        <w:rPr>
          <w:rFonts w:hint="eastAsia" w:ascii="Times New Roman" w:hAnsi="Times New Roman" w:cs="Times New Roman"/>
          <w:color w:val="auto"/>
          <w:sz w:val="20"/>
          <w:szCs w:val="20"/>
        </w:rPr>
        <w:t xml:space="preserve">forest </w:t>
      </w:r>
      <w:r>
        <w:rPr>
          <w:rFonts w:ascii="Times New Roman" w:hAnsi="Times New Roman" w:cs="Times New Roman"/>
          <w:color w:val="auto"/>
          <w:sz w:val="20"/>
          <w:szCs w:val="20"/>
          <w:lang w:eastAsia="zh-TW"/>
        </w:rPr>
        <w:t>plot of</w:t>
      </w:r>
      <w:r>
        <w:rPr>
          <w:rFonts w:hint="eastAsia" w:ascii="Times New Roman" w:hAnsi="Times New Roman" w:cs="Times New Roman"/>
          <w:color w:val="auto"/>
          <w:sz w:val="20"/>
          <w:szCs w:val="20"/>
        </w:rPr>
        <w:t xml:space="preserve"> sleep quality</w:t>
      </w:r>
      <w:r>
        <w:rPr>
          <w:rFonts w:ascii="Times New Roman" w:hAnsi="Times New Roman" w:cs="Times New Roman"/>
          <w:color w:val="auto"/>
          <w:sz w:val="20"/>
          <w:szCs w:val="20"/>
          <w:lang w:eastAsia="zh-TW"/>
        </w:rPr>
        <w:t xml:space="preserve">. The result of </w:t>
      </w:r>
      <w:r>
        <w:rPr>
          <w:rFonts w:hint="eastAsia" w:ascii="Times New Roman" w:hAnsi="Times New Roman" w:cs="Times New Roman"/>
          <w:color w:val="auto"/>
          <w:sz w:val="20"/>
          <w:szCs w:val="20"/>
        </w:rPr>
        <w:t xml:space="preserve">inconsistency </w:t>
      </w:r>
      <w:r>
        <w:rPr>
          <w:rFonts w:ascii="Times New Roman" w:hAnsi="Times New Roman" w:cs="Times New Roman"/>
          <w:color w:val="auto"/>
          <w:sz w:val="20"/>
          <w:szCs w:val="20"/>
          <w:lang w:eastAsia="zh-TW"/>
        </w:rPr>
        <w:t>test showed the p=</w:t>
      </w:r>
      <w:r>
        <w:rPr>
          <w:rFonts w:ascii="Times New Roman" w:hAnsi="Times New Roman" w:cs="Times New Roman"/>
          <w:color w:val="auto"/>
          <w:sz w:val="20"/>
          <w:szCs w:val="20"/>
        </w:rPr>
        <w:t>0.</w:t>
      </w:r>
      <w:r>
        <w:rPr>
          <w:rFonts w:hint="eastAsia" w:ascii="Times New Roman" w:hAnsi="Times New Roman" w:cs="Times New Roman"/>
          <w:color w:val="auto"/>
          <w:sz w:val="20"/>
          <w:szCs w:val="20"/>
        </w:rPr>
        <w:t>562</w:t>
      </w:r>
      <w:r>
        <w:rPr>
          <w:rFonts w:ascii="Times New Roman" w:hAnsi="Times New Roman" w:cs="Times New Roman"/>
          <w:color w:val="auto"/>
          <w:sz w:val="20"/>
          <w:szCs w:val="20"/>
          <w:lang w:eastAsia="zh-TW"/>
        </w:rPr>
        <w:t>.</w:t>
      </w:r>
    </w:p>
    <w:p w14:paraId="376AD091">
      <w:pPr>
        <w:jc w:val="center"/>
        <w:rPr>
          <w:rFonts w:ascii="Times New Roman" w:hAnsi="Times New Roman" w:cs="Times New Roman"/>
          <w:color w:val="auto"/>
        </w:rPr>
      </w:pPr>
      <w:r>
        <w:rPr>
          <w:rFonts w:ascii="Times New Roman" w:hAnsi="Times New Roman" w:cs="Times New Roman"/>
          <w:color w:val="auto"/>
        </w:rPr>
        <w:drawing>
          <wp:inline distT="0" distB="0" distL="114300" distR="114300">
            <wp:extent cx="5270500" cy="3832860"/>
            <wp:effectExtent l="0" t="0" r="6350" b="5715"/>
            <wp:docPr id="21" name="图片 21" descr="森林图-疲劳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森林图-疲劳_01"/>
                    <pic:cNvPicPr>
                      <a:picLocks noChangeAspect="1"/>
                    </pic:cNvPicPr>
                  </pic:nvPicPr>
                  <pic:blipFill>
                    <a:blip r:embed="rId16"/>
                    <a:stretch>
                      <a:fillRect/>
                    </a:stretch>
                  </pic:blipFill>
                  <pic:spPr>
                    <a:xfrm>
                      <a:off x="0" y="0"/>
                      <a:ext cx="5270500" cy="3832860"/>
                    </a:xfrm>
                    <a:prstGeom prst="rect">
                      <a:avLst/>
                    </a:prstGeom>
                  </pic:spPr>
                </pic:pic>
              </a:graphicData>
            </a:graphic>
          </wp:inline>
        </w:drawing>
      </w:r>
    </w:p>
    <w:p w14:paraId="72BC775E">
      <w:pPr>
        <w:jc w:val="center"/>
        <w:rPr>
          <w:rFonts w:ascii="Times New Roman" w:hAnsi="Times New Roman" w:cs="Times New Roman"/>
          <w:color w:val="auto"/>
          <w:sz w:val="20"/>
          <w:szCs w:val="20"/>
          <w:lang w:eastAsia="zh-TW"/>
        </w:rPr>
      </w:pPr>
      <w:r>
        <w:rPr>
          <w:rFonts w:ascii="Times New Roman" w:hAnsi="Times New Roman" w:cs="Times New Roman"/>
          <w:color w:val="auto"/>
          <w:sz w:val="20"/>
          <w:szCs w:val="20"/>
          <w:lang w:eastAsia="zh-TW"/>
        </w:rPr>
        <w:t xml:space="preserve">Figure </w:t>
      </w:r>
      <w:r>
        <w:rPr>
          <w:rFonts w:hint="eastAsia" w:ascii="Times New Roman" w:hAnsi="Times New Roman" w:cs="Times New Roman"/>
          <w:color w:val="auto"/>
          <w:sz w:val="20"/>
          <w:szCs w:val="20"/>
        </w:rPr>
        <w:t>4</w:t>
      </w:r>
      <w:r>
        <w:rPr>
          <w:rFonts w:ascii="Times New Roman" w:hAnsi="Times New Roman" w:cs="Times New Roman"/>
          <w:color w:val="auto"/>
          <w:sz w:val="20"/>
          <w:szCs w:val="20"/>
          <w:lang w:eastAsia="zh-TW"/>
        </w:rPr>
        <w:t>.</w:t>
      </w:r>
      <w:r>
        <w:rPr>
          <w:rFonts w:hint="eastAsia" w:ascii="Times New Roman" w:hAnsi="Times New Roman" w:cs="Times New Roman"/>
          <w:color w:val="auto"/>
          <w:sz w:val="20"/>
          <w:szCs w:val="20"/>
        </w:rPr>
        <w:t>3</w:t>
      </w:r>
      <w:r>
        <w:rPr>
          <w:rFonts w:ascii="Times New Roman" w:hAnsi="Times New Roman" w:cs="Times New Roman"/>
          <w:color w:val="auto"/>
          <w:sz w:val="20"/>
          <w:szCs w:val="20"/>
          <w:lang w:eastAsia="zh-TW"/>
        </w:rPr>
        <w:t xml:space="preserve"> The </w:t>
      </w:r>
      <w:r>
        <w:rPr>
          <w:rFonts w:hint="eastAsia" w:ascii="Times New Roman" w:hAnsi="Times New Roman" w:cs="Times New Roman"/>
          <w:color w:val="auto"/>
          <w:sz w:val="20"/>
          <w:szCs w:val="20"/>
        </w:rPr>
        <w:t xml:space="preserve">forest </w:t>
      </w:r>
      <w:r>
        <w:rPr>
          <w:rFonts w:ascii="Times New Roman" w:hAnsi="Times New Roman" w:cs="Times New Roman"/>
          <w:color w:val="auto"/>
          <w:sz w:val="20"/>
          <w:szCs w:val="20"/>
          <w:lang w:eastAsia="zh-TW"/>
        </w:rPr>
        <w:t xml:space="preserve">plot of </w:t>
      </w:r>
      <w:r>
        <w:rPr>
          <w:rFonts w:hint="eastAsia" w:ascii="Times New Roman" w:hAnsi="Times New Roman" w:cs="Times New Roman"/>
          <w:color w:val="auto"/>
          <w:sz w:val="20"/>
          <w:szCs w:val="20"/>
        </w:rPr>
        <w:t>fatigue</w:t>
      </w:r>
      <w:r>
        <w:rPr>
          <w:rFonts w:ascii="Times New Roman" w:hAnsi="Times New Roman" w:cs="Times New Roman"/>
          <w:color w:val="auto"/>
          <w:sz w:val="20"/>
          <w:szCs w:val="20"/>
          <w:lang w:eastAsia="zh-TW"/>
        </w:rPr>
        <w:t xml:space="preserve">. The result of </w:t>
      </w:r>
      <w:r>
        <w:rPr>
          <w:rFonts w:hint="eastAsia" w:ascii="Times New Roman" w:hAnsi="Times New Roman" w:cs="Times New Roman"/>
          <w:color w:val="auto"/>
          <w:sz w:val="20"/>
          <w:szCs w:val="20"/>
        </w:rPr>
        <w:t xml:space="preserve">inconsistency </w:t>
      </w:r>
      <w:r>
        <w:rPr>
          <w:rFonts w:ascii="Times New Roman" w:hAnsi="Times New Roman" w:cs="Times New Roman"/>
          <w:color w:val="auto"/>
          <w:sz w:val="20"/>
          <w:szCs w:val="20"/>
          <w:lang w:eastAsia="zh-TW"/>
        </w:rPr>
        <w:t>test showed the p=</w:t>
      </w:r>
      <w:r>
        <w:rPr>
          <w:rFonts w:ascii="Times New Roman" w:hAnsi="Times New Roman" w:cs="Times New Roman"/>
          <w:color w:val="auto"/>
          <w:sz w:val="20"/>
          <w:szCs w:val="20"/>
        </w:rPr>
        <w:t>0.</w:t>
      </w:r>
      <w:r>
        <w:rPr>
          <w:rFonts w:hint="eastAsia" w:ascii="Times New Roman" w:hAnsi="Times New Roman" w:cs="Times New Roman"/>
          <w:color w:val="auto"/>
          <w:sz w:val="20"/>
          <w:szCs w:val="20"/>
        </w:rPr>
        <w:t>488</w:t>
      </w:r>
      <w:r>
        <w:rPr>
          <w:rFonts w:ascii="Times New Roman" w:hAnsi="Times New Roman" w:cs="Times New Roman"/>
          <w:color w:val="auto"/>
          <w:sz w:val="20"/>
          <w:szCs w:val="20"/>
          <w:lang w:eastAsia="zh-TW"/>
        </w:rPr>
        <w:t>.</w:t>
      </w:r>
    </w:p>
    <w:p w14:paraId="4406DC0F">
      <w:pPr>
        <w:jc w:val="center"/>
        <w:rPr>
          <w:rFonts w:ascii="Times New Roman" w:hAnsi="Times New Roman" w:cs="Times New Roman"/>
          <w:color w:val="auto"/>
        </w:rPr>
      </w:pPr>
      <w:r>
        <w:rPr>
          <w:rFonts w:ascii="Times New Roman" w:hAnsi="Times New Roman" w:cs="Times New Roman"/>
          <w:color w:val="auto"/>
        </w:rPr>
        <w:drawing>
          <wp:inline distT="0" distB="0" distL="114300" distR="114300">
            <wp:extent cx="5270500" cy="3832860"/>
            <wp:effectExtent l="0" t="0" r="6350" b="5715"/>
            <wp:docPr id="22" name="图片 22" descr="森林图-整体情绪状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森林图-整体情绪状态_01"/>
                    <pic:cNvPicPr>
                      <a:picLocks noChangeAspect="1"/>
                    </pic:cNvPicPr>
                  </pic:nvPicPr>
                  <pic:blipFill>
                    <a:blip r:embed="rId17"/>
                    <a:stretch>
                      <a:fillRect/>
                    </a:stretch>
                  </pic:blipFill>
                  <pic:spPr>
                    <a:xfrm>
                      <a:off x="0" y="0"/>
                      <a:ext cx="5270500" cy="3832860"/>
                    </a:xfrm>
                    <a:prstGeom prst="rect">
                      <a:avLst/>
                    </a:prstGeom>
                  </pic:spPr>
                </pic:pic>
              </a:graphicData>
            </a:graphic>
          </wp:inline>
        </w:drawing>
      </w:r>
    </w:p>
    <w:p w14:paraId="517C2F0E">
      <w:pPr>
        <w:jc w:val="center"/>
        <w:rPr>
          <w:rFonts w:ascii="Times New Roman" w:hAnsi="Times New Roman" w:cs="Times New Roman"/>
          <w:color w:val="auto"/>
          <w:sz w:val="20"/>
          <w:szCs w:val="20"/>
          <w:lang w:eastAsia="zh-TW"/>
        </w:rPr>
      </w:pPr>
      <w:r>
        <w:rPr>
          <w:rFonts w:ascii="Times New Roman" w:hAnsi="Times New Roman" w:cs="Times New Roman"/>
          <w:color w:val="auto"/>
          <w:sz w:val="20"/>
          <w:szCs w:val="20"/>
          <w:lang w:eastAsia="zh-TW"/>
        </w:rPr>
        <w:t xml:space="preserve">Figure </w:t>
      </w:r>
      <w:r>
        <w:rPr>
          <w:rFonts w:hint="eastAsia" w:ascii="Times New Roman" w:hAnsi="Times New Roman" w:cs="Times New Roman"/>
          <w:color w:val="auto"/>
          <w:sz w:val="20"/>
          <w:szCs w:val="20"/>
        </w:rPr>
        <w:t>4</w:t>
      </w:r>
      <w:r>
        <w:rPr>
          <w:rFonts w:ascii="Times New Roman" w:hAnsi="Times New Roman" w:cs="Times New Roman"/>
          <w:color w:val="auto"/>
          <w:sz w:val="20"/>
          <w:szCs w:val="20"/>
          <w:lang w:eastAsia="zh-TW"/>
        </w:rPr>
        <w:t>.</w:t>
      </w:r>
      <w:r>
        <w:rPr>
          <w:rFonts w:hint="eastAsia" w:ascii="Times New Roman" w:hAnsi="Times New Roman" w:cs="Times New Roman"/>
          <w:color w:val="auto"/>
          <w:sz w:val="20"/>
          <w:szCs w:val="20"/>
        </w:rPr>
        <w:t>4</w:t>
      </w:r>
      <w:r>
        <w:rPr>
          <w:rFonts w:ascii="Times New Roman" w:hAnsi="Times New Roman" w:cs="Times New Roman"/>
          <w:color w:val="auto"/>
          <w:sz w:val="20"/>
          <w:szCs w:val="20"/>
          <w:lang w:eastAsia="zh-TW"/>
        </w:rPr>
        <w:t xml:space="preserve"> The </w:t>
      </w:r>
      <w:r>
        <w:rPr>
          <w:rFonts w:hint="eastAsia" w:ascii="Times New Roman" w:hAnsi="Times New Roman" w:cs="Times New Roman"/>
          <w:color w:val="auto"/>
          <w:sz w:val="20"/>
          <w:szCs w:val="20"/>
        </w:rPr>
        <w:t xml:space="preserve">forest </w:t>
      </w:r>
      <w:r>
        <w:rPr>
          <w:rFonts w:ascii="Times New Roman" w:hAnsi="Times New Roman" w:cs="Times New Roman"/>
          <w:color w:val="auto"/>
          <w:sz w:val="20"/>
          <w:szCs w:val="20"/>
          <w:lang w:eastAsia="zh-TW"/>
        </w:rPr>
        <w:t xml:space="preserve">plot of </w:t>
      </w:r>
      <w:r>
        <w:rPr>
          <w:rFonts w:hint="eastAsia" w:ascii="Times New Roman" w:hAnsi="Times New Roman" w:cs="Times New Roman"/>
          <w:color w:val="auto"/>
          <w:sz w:val="20"/>
          <w:szCs w:val="20"/>
        </w:rPr>
        <w:t>general mood</w:t>
      </w:r>
      <w:r>
        <w:rPr>
          <w:rFonts w:ascii="Times New Roman" w:hAnsi="Times New Roman" w:cs="Times New Roman"/>
          <w:color w:val="auto"/>
          <w:sz w:val="20"/>
          <w:szCs w:val="20"/>
          <w:lang w:eastAsia="zh-TW"/>
        </w:rPr>
        <w:t xml:space="preserve">. The result of </w:t>
      </w:r>
      <w:r>
        <w:rPr>
          <w:rFonts w:hint="eastAsia" w:ascii="Times New Roman" w:hAnsi="Times New Roman" w:cs="Times New Roman"/>
          <w:color w:val="auto"/>
          <w:sz w:val="20"/>
          <w:szCs w:val="20"/>
        </w:rPr>
        <w:t xml:space="preserve">inconsistency </w:t>
      </w:r>
      <w:r>
        <w:rPr>
          <w:rFonts w:ascii="Times New Roman" w:hAnsi="Times New Roman" w:cs="Times New Roman"/>
          <w:color w:val="auto"/>
          <w:sz w:val="20"/>
          <w:szCs w:val="20"/>
          <w:lang w:eastAsia="zh-TW"/>
        </w:rPr>
        <w:t>test showed the p=</w:t>
      </w:r>
      <w:r>
        <w:rPr>
          <w:rFonts w:ascii="Times New Roman" w:hAnsi="Times New Roman" w:cs="Times New Roman"/>
          <w:color w:val="auto"/>
          <w:sz w:val="20"/>
          <w:szCs w:val="20"/>
        </w:rPr>
        <w:t>0.</w:t>
      </w:r>
      <w:r>
        <w:rPr>
          <w:rFonts w:hint="eastAsia" w:ascii="Times New Roman" w:hAnsi="Times New Roman" w:cs="Times New Roman"/>
          <w:color w:val="auto"/>
          <w:sz w:val="20"/>
          <w:szCs w:val="20"/>
        </w:rPr>
        <w:t>190</w:t>
      </w:r>
      <w:r>
        <w:rPr>
          <w:rFonts w:ascii="Times New Roman" w:hAnsi="Times New Roman" w:cs="Times New Roman"/>
          <w:color w:val="auto"/>
          <w:sz w:val="20"/>
          <w:szCs w:val="20"/>
          <w:lang w:eastAsia="zh-TW"/>
        </w:rPr>
        <w:t>.</w:t>
      </w:r>
    </w:p>
    <w:p w14:paraId="0F6D0AE6">
      <w:pPr>
        <w:rPr>
          <w:rFonts w:ascii="Times New Roman" w:hAnsi="Times New Roman" w:cs="Times New Roman"/>
          <w:color w:val="auto"/>
          <w:sz w:val="20"/>
          <w:szCs w:val="20"/>
          <w:lang w:eastAsia="zh-TW"/>
        </w:rPr>
      </w:pPr>
      <w:r>
        <w:rPr>
          <w:rFonts w:ascii="Times New Roman" w:hAnsi="Times New Roman" w:cs="Times New Roman"/>
          <w:color w:val="auto"/>
          <w:sz w:val="20"/>
          <w:szCs w:val="20"/>
          <w:lang w:eastAsia="zh-TW"/>
        </w:rPr>
        <w:br w:type="page"/>
      </w:r>
    </w:p>
    <w:p w14:paraId="7DAE7DC9">
      <w:pPr>
        <w:jc w:val="center"/>
        <w:rPr>
          <w:rFonts w:ascii="Times New Roman" w:hAnsi="Times New Roman" w:cs="Times New Roman"/>
          <w:color w:val="auto"/>
        </w:rPr>
      </w:pPr>
      <w:r>
        <w:rPr>
          <w:rFonts w:ascii="Times New Roman" w:hAnsi="Times New Roman" w:cs="Times New Roman"/>
          <w:color w:val="auto"/>
        </w:rPr>
        <w:drawing>
          <wp:inline distT="0" distB="0" distL="114300" distR="114300">
            <wp:extent cx="5270500" cy="3832860"/>
            <wp:effectExtent l="0" t="0" r="6350" b="5715"/>
            <wp:docPr id="20" name="图片 20" descr="森林图-焦虑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森林图-焦虑_01"/>
                    <pic:cNvPicPr>
                      <a:picLocks noChangeAspect="1"/>
                    </pic:cNvPicPr>
                  </pic:nvPicPr>
                  <pic:blipFill>
                    <a:blip r:embed="rId18"/>
                    <a:stretch>
                      <a:fillRect/>
                    </a:stretch>
                  </pic:blipFill>
                  <pic:spPr>
                    <a:xfrm>
                      <a:off x="0" y="0"/>
                      <a:ext cx="5270500" cy="3832860"/>
                    </a:xfrm>
                    <a:prstGeom prst="rect">
                      <a:avLst/>
                    </a:prstGeom>
                  </pic:spPr>
                </pic:pic>
              </a:graphicData>
            </a:graphic>
          </wp:inline>
        </w:drawing>
      </w:r>
    </w:p>
    <w:p w14:paraId="677562FF">
      <w:pPr>
        <w:rPr>
          <w:rFonts w:ascii="Times New Roman" w:hAnsi="Times New Roman" w:cs="Times New Roman"/>
          <w:color w:val="auto"/>
          <w:sz w:val="20"/>
          <w:szCs w:val="20"/>
          <w:lang w:eastAsia="zh-TW"/>
        </w:rPr>
      </w:pPr>
      <w:r>
        <w:rPr>
          <w:rFonts w:ascii="Times New Roman" w:hAnsi="Times New Roman" w:cs="Times New Roman"/>
          <w:color w:val="auto"/>
          <w:sz w:val="20"/>
          <w:szCs w:val="20"/>
          <w:lang w:eastAsia="zh-TW"/>
        </w:rPr>
        <w:t xml:space="preserve">Figure </w:t>
      </w:r>
      <w:r>
        <w:rPr>
          <w:rFonts w:hint="eastAsia" w:ascii="Times New Roman" w:hAnsi="Times New Roman" w:cs="Times New Roman"/>
          <w:color w:val="auto"/>
          <w:sz w:val="20"/>
          <w:szCs w:val="20"/>
        </w:rPr>
        <w:t>4</w:t>
      </w:r>
      <w:r>
        <w:rPr>
          <w:rFonts w:ascii="Times New Roman" w:hAnsi="Times New Roman" w:cs="Times New Roman"/>
          <w:color w:val="auto"/>
          <w:sz w:val="20"/>
          <w:szCs w:val="20"/>
          <w:lang w:eastAsia="zh-TW"/>
        </w:rPr>
        <w:t>.</w:t>
      </w:r>
      <w:r>
        <w:rPr>
          <w:rFonts w:hint="eastAsia" w:ascii="Times New Roman" w:hAnsi="Times New Roman" w:cs="Times New Roman"/>
          <w:color w:val="auto"/>
          <w:sz w:val="20"/>
          <w:szCs w:val="20"/>
        </w:rPr>
        <w:t>5</w:t>
      </w:r>
      <w:r>
        <w:rPr>
          <w:rFonts w:ascii="Times New Roman" w:hAnsi="Times New Roman" w:cs="Times New Roman"/>
          <w:color w:val="auto"/>
          <w:sz w:val="20"/>
          <w:szCs w:val="20"/>
          <w:lang w:eastAsia="zh-TW"/>
        </w:rPr>
        <w:t xml:space="preserve"> The </w:t>
      </w:r>
      <w:r>
        <w:rPr>
          <w:rFonts w:hint="eastAsia" w:ascii="Times New Roman" w:hAnsi="Times New Roman" w:cs="Times New Roman"/>
          <w:color w:val="auto"/>
          <w:sz w:val="20"/>
          <w:szCs w:val="20"/>
        </w:rPr>
        <w:t xml:space="preserve">forest </w:t>
      </w:r>
      <w:r>
        <w:rPr>
          <w:rFonts w:ascii="Times New Roman" w:hAnsi="Times New Roman" w:cs="Times New Roman"/>
          <w:color w:val="auto"/>
          <w:sz w:val="20"/>
          <w:szCs w:val="20"/>
          <w:lang w:eastAsia="zh-TW"/>
        </w:rPr>
        <w:t xml:space="preserve">plot of </w:t>
      </w:r>
      <w:r>
        <w:rPr>
          <w:rFonts w:hint="eastAsia" w:ascii="Times New Roman" w:hAnsi="Times New Roman" w:cs="Times New Roman"/>
          <w:color w:val="auto"/>
          <w:sz w:val="20"/>
          <w:szCs w:val="20"/>
        </w:rPr>
        <w:t>anxiety</w:t>
      </w:r>
      <w:r>
        <w:rPr>
          <w:rFonts w:ascii="Times New Roman" w:hAnsi="Times New Roman" w:cs="Times New Roman"/>
          <w:color w:val="auto"/>
          <w:sz w:val="20"/>
          <w:szCs w:val="20"/>
          <w:lang w:eastAsia="zh-TW"/>
        </w:rPr>
        <w:t xml:space="preserve">. The result of </w:t>
      </w:r>
      <w:r>
        <w:rPr>
          <w:rFonts w:hint="eastAsia" w:ascii="Times New Roman" w:hAnsi="Times New Roman" w:cs="Times New Roman"/>
          <w:color w:val="auto"/>
          <w:sz w:val="20"/>
          <w:szCs w:val="20"/>
        </w:rPr>
        <w:t xml:space="preserve">inconsistency </w:t>
      </w:r>
      <w:r>
        <w:rPr>
          <w:rFonts w:ascii="Times New Roman" w:hAnsi="Times New Roman" w:cs="Times New Roman"/>
          <w:color w:val="auto"/>
          <w:sz w:val="20"/>
          <w:szCs w:val="20"/>
          <w:lang w:eastAsia="zh-TW"/>
        </w:rPr>
        <w:t>test showed the p=</w:t>
      </w:r>
      <w:r>
        <w:rPr>
          <w:rFonts w:ascii="Times New Roman" w:hAnsi="Times New Roman" w:cs="Times New Roman"/>
          <w:color w:val="auto"/>
          <w:sz w:val="20"/>
          <w:szCs w:val="20"/>
        </w:rPr>
        <w:t>0.</w:t>
      </w:r>
      <w:r>
        <w:rPr>
          <w:rFonts w:hint="eastAsia" w:ascii="Times New Roman" w:hAnsi="Times New Roman" w:cs="Times New Roman"/>
          <w:color w:val="auto"/>
          <w:sz w:val="20"/>
          <w:szCs w:val="20"/>
        </w:rPr>
        <w:t>053</w:t>
      </w:r>
      <w:r>
        <w:rPr>
          <w:rFonts w:ascii="Times New Roman" w:hAnsi="Times New Roman" w:cs="Times New Roman"/>
          <w:color w:val="auto"/>
          <w:sz w:val="20"/>
          <w:szCs w:val="20"/>
          <w:lang w:eastAsia="zh-TW"/>
        </w:rPr>
        <w:t>.</w:t>
      </w:r>
    </w:p>
    <w:p w14:paraId="5ACFF300">
      <w:pPr>
        <w:rPr>
          <w:rFonts w:ascii="Times New Roman" w:hAnsi="Times New Roman" w:cs="Times New Roman"/>
          <w:color w:val="auto"/>
          <w:sz w:val="20"/>
          <w:szCs w:val="20"/>
          <w:lang w:eastAsia="zh-TW"/>
        </w:rPr>
      </w:pPr>
    </w:p>
    <w:p w14:paraId="6F75929B">
      <w:pPr>
        <w:jc w:val="center"/>
        <w:rPr>
          <w:rFonts w:ascii="Times New Roman" w:hAnsi="Times New Roman" w:cs="Times New Roman"/>
          <w:color w:val="auto"/>
        </w:rPr>
      </w:pPr>
      <w:r>
        <w:rPr>
          <w:rFonts w:ascii="Times New Roman" w:hAnsi="Times New Roman" w:cs="Times New Roman"/>
          <w:color w:val="auto"/>
        </w:rPr>
        <w:drawing>
          <wp:inline distT="0" distB="0" distL="114300" distR="114300">
            <wp:extent cx="5270500" cy="3832860"/>
            <wp:effectExtent l="0" t="0" r="6350" b="5715"/>
            <wp:docPr id="19" name="图片 19" descr="森林图-抑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森林图-抑郁_01"/>
                    <pic:cNvPicPr>
                      <a:picLocks noChangeAspect="1"/>
                    </pic:cNvPicPr>
                  </pic:nvPicPr>
                  <pic:blipFill>
                    <a:blip r:embed="rId19"/>
                    <a:stretch>
                      <a:fillRect/>
                    </a:stretch>
                  </pic:blipFill>
                  <pic:spPr>
                    <a:xfrm>
                      <a:off x="0" y="0"/>
                      <a:ext cx="5270500" cy="3832860"/>
                    </a:xfrm>
                    <a:prstGeom prst="rect">
                      <a:avLst/>
                    </a:prstGeom>
                  </pic:spPr>
                </pic:pic>
              </a:graphicData>
            </a:graphic>
          </wp:inline>
        </w:drawing>
      </w:r>
    </w:p>
    <w:p w14:paraId="067E6E23">
      <w:pPr>
        <w:rPr>
          <w:rFonts w:ascii="Times New Roman" w:hAnsi="Times New Roman" w:cs="Times New Roman"/>
          <w:color w:val="auto"/>
          <w:sz w:val="20"/>
          <w:szCs w:val="20"/>
          <w:lang w:eastAsia="zh-TW"/>
        </w:rPr>
        <w:sectPr>
          <w:footerReference r:id="rId9" w:type="default"/>
          <w:pgSz w:w="11906" w:h="16838"/>
          <w:pgMar w:top="1440" w:right="1800" w:bottom="1440" w:left="1800" w:header="851" w:footer="992" w:gutter="0"/>
          <w:cols w:space="425" w:num="1"/>
          <w:docGrid w:type="lines" w:linePitch="326" w:charSpace="0"/>
        </w:sectPr>
      </w:pPr>
      <w:r>
        <w:rPr>
          <w:rFonts w:ascii="Times New Roman" w:hAnsi="Times New Roman" w:cs="Times New Roman"/>
          <w:color w:val="auto"/>
          <w:sz w:val="20"/>
          <w:szCs w:val="20"/>
          <w:lang w:eastAsia="zh-TW"/>
        </w:rPr>
        <w:t xml:space="preserve">Figure </w:t>
      </w:r>
      <w:r>
        <w:rPr>
          <w:rFonts w:hint="eastAsia" w:ascii="Times New Roman" w:hAnsi="Times New Roman" w:cs="Times New Roman"/>
          <w:color w:val="auto"/>
          <w:sz w:val="20"/>
          <w:szCs w:val="20"/>
        </w:rPr>
        <w:t>4</w:t>
      </w:r>
      <w:r>
        <w:rPr>
          <w:rFonts w:ascii="Times New Roman" w:hAnsi="Times New Roman" w:cs="Times New Roman"/>
          <w:color w:val="auto"/>
          <w:sz w:val="20"/>
          <w:szCs w:val="20"/>
          <w:lang w:eastAsia="zh-TW"/>
        </w:rPr>
        <w:t>.</w:t>
      </w:r>
      <w:r>
        <w:rPr>
          <w:rFonts w:hint="eastAsia" w:ascii="Times New Roman" w:hAnsi="Times New Roman" w:cs="Times New Roman"/>
          <w:color w:val="auto"/>
          <w:sz w:val="20"/>
          <w:szCs w:val="20"/>
        </w:rPr>
        <w:t>6</w:t>
      </w:r>
      <w:r>
        <w:rPr>
          <w:rFonts w:ascii="Times New Roman" w:hAnsi="Times New Roman" w:cs="Times New Roman"/>
          <w:color w:val="auto"/>
          <w:sz w:val="20"/>
          <w:szCs w:val="20"/>
          <w:lang w:eastAsia="zh-TW"/>
        </w:rPr>
        <w:t xml:space="preserve"> The </w:t>
      </w:r>
      <w:r>
        <w:rPr>
          <w:rFonts w:hint="eastAsia" w:ascii="Times New Roman" w:hAnsi="Times New Roman" w:cs="Times New Roman"/>
          <w:color w:val="auto"/>
          <w:sz w:val="20"/>
          <w:szCs w:val="20"/>
        </w:rPr>
        <w:t xml:space="preserve">forest </w:t>
      </w:r>
      <w:r>
        <w:rPr>
          <w:rFonts w:ascii="Times New Roman" w:hAnsi="Times New Roman" w:cs="Times New Roman"/>
          <w:color w:val="auto"/>
          <w:sz w:val="20"/>
          <w:szCs w:val="20"/>
          <w:lang w:eastAsia="zh-TW"/>
        </w:rPr>
        <w:t xml:space="preserve">plot of </w:t>
      </w:r>
      <w:r>
        <w:rPr>
          <w:rFonts w:hint="eastAsia" w:ascii="Times New Roman" w:hAnsi="Times New Roman" w:cs="Times New Roman"/>
          <w:color w:val="auto"/>
          <w:sz w:val="20"/>
          <w:szCs w:val="20"/>
        </w:rPr>
        <w:t>depression</w:t>
      </w:r>
      <w:r>
        <w:rPr>
          <w:rFonts w:ascii="Times New Roman" w:hAnsi="Times New Roman" w:cs="Times New Roman"/>
          <w:color w:val="auto"/>
          <w:sz w:val="20"/>
          <w:szCs w:val="20"/>
          <w:lang w:eastAsia="zh-TW"/>
        </w:rPr>
        <w:t xml:space="preserve">. The result of </w:t>
      </w:r>
      <w:r>
        <w:rPr>
          <w:rFonts w:hint="eastAsia" w:ascii="Times New Roman" w:hAnsi="Times New Roman" w:cs="Times New Roman"/>
          <w:color w:val="auto"/>
          <w:sz w:val="20"/>
          <w:szCs w:val="20"/>
        </w:rPr>
        <w:t xml:space="preserve">inconsistency </w:t>
      </w:r>
      <w:r>
        <w:rPr>
          <w:rFonts w:ascii="Times New Roman" w:hAnsi="Times New Roman" w:cs="Times New Roman"/>
          <w:color w:val="auto"/>
          <w:sz w:val="20"/>
          <w:szCs w:val="20"/>
          <w:lang w:eastAsia="zh-TW"/>
        </w:rPr>
        <w:t>test showed the p=</w:t>
      </w:r>
      <w:r>
        <w:rPr>
          <w:rFonts w:ascii="Times New Roman" w:hAnsi="Times New Roman" w:cs="Times New Roman"/>
          <w:color w:val="auto"/>
          <w:sz w:val="20"/>
          <w:szCs w:val="20"/>
        </w:rPr>
        <w:t>0.</w:t>
      </w:r>
      <w:r>
        <w:rPr>
          <w:rFonts w:hint="eastAsia" w:ascii="Times New Roman" w:hAnsi="Times New Roman" w:cs="Times New Roman"/>
          <w:color w:val="auto"/>
          <w:sz w:val="20"/>
          <w:szCs w:val="20"/>
        </w:rPr>
        <w:t>038</w:t>
      </w:r>
      <w:r>
        <w:rPr>
          <w:rFonts w:ascii="Times New Roman" w:hAnsi="Times New Roman" w:cs="Times New Roman"/>
          <w:color w:val="auto"/>
          <w:sz w:val="20"/>
          <w:szCs w:val="20"/>
          <w:lang w:eastAsia="zh-TW"/>
        </w:rPr>
        <w:t>.</w:t>
      </w:r>
    </w:p>
    <w:p w14:paraId="14082AFB">
      <w:pPr>
        <w:pStyle w:val="2"/>
        <w:spacing w:line="360" w:lineRule="auto"/>
        <w:rPr>
          <w:rFonts w:ascii="Times New Roman" w:hAnsi="Times New Roman" w:eastAsia="宋体" w:cs="Times New Roman"/>
          <w:color w:val="auto"/>
          <w:szCs w:val="20"/>
        </w:rPr>
      </w:pPr>
      <w:r>
        <w:rPr>
          <w:rFonts w:ascii="Times New Roman" w:hAnsi="Times New Roman" w:cs="Times New Roman"/>
          <w:color w:val="auto"/>
          <w:szCs w:val="20"/>
          <w:lang w:eastAsia="zh-TW"/>
        </w:rPr>
        <w:t xml:space="preserve">Supplementary </w:t>
      </w:r>
      <w:r>
        <w:rPr>
          <w:rFonts w:hint="eastAsia" w:ascii="Times New Roman" w:hAnsi="Times New Roman" w:eastAsia="宋体" w:cs="Times New Roman"/>
          <w:color w:val="auto"/>
          <w:szCs w:val="20"/>
        </w:rPr>
        <w:t>5</w:t>
      </w:r>
      <w:r>
        <w:rPr>
          <w:rFonts w:ascii="Times New Roman" w:hAnsi="Times New Roman" w:cs="Times New Roman"/>
          <w:color w:val="auto"/>
          <w:szCs w:val="20"/>
          <w:lang w:eastAsia="zh-TW"/>
        </w:rPr>
        <w:t xml:space="preserve">: </w:t>
      </w:r>
      <w:r>
        <w:rPr>
          <w:rFonts w:hint="eastAsia" w:ascii="Times New Roman" w:hAnsi="Times New Roman" w:eastAsia="宋体" w:cs="Times New Roman"/>
          <w:color w:val="auto"/>
          <w:szCs w:val="20"/>
        </w:rPr>
        <w:t>Node splitting method results</w:t>
      </w:r>
    </w:p>
    <w:p w14:paraId="63664F0B">
      <w:pPr>
        <w:rPr>
          <w:rFonts w:ascii="Times New Roman" w:hAnsi="Times New Roman" w:cs="Times New Roman"/>
          <w:color w:val="auto"/>
          <w:szCs w:val="20"/>
        </w:rPr>
      </w:pPr>
      <w:r>
        <w:rPr>
          <w:rFonts w:hint="eastAsia" w:ascii="Times New Roman" w:hAnsi="Times New Roman" w:cs="Times New Roman"/>
          <w:color w:val="auto"/>
          <w:szCs w:val="20"/>
        </w:rPr>
        <w:t>Table 5.1 Results of the nodal splitting method for QoL</w:t>
      </w:r>
    </w:p>
    <w:p w14:paraId="6615DF2E">
      <w:pPr>
        <w:rPr>
          <w:rFonts w:ascii="Times New Roman" w:hAnsi="Times New Roman" w:cs="Times New Roman"/>
          <w:color w:val="auto"/>
          <w:szCs w:val="20"/>
        </w:rPr>
      </w:pPr>
    </w:p>
    <w:tbl>
      <w:tblPr>
        <w:tblStyle w:val="22"/>
        <w:tblW w:w="10490" w:type="dxa"/>
        <w:jc w:val="center"/>
        <w:tblLayout w:type="fixed"/>
        <w:tblCellMar>
          <w:top w:w="0" w:type="dxa"/>
          <w:left w:w="108" w:type="dxa"/>
          <w:bottom w:w="0" w:type="dxa"/>
          <w:right w:w="108" w:type="dxa"/>
        </w:tblCellMar>
      </w:tblPr>
      <w:tblGrid>
        <w:gridCol w:w="993"/>
        <w:gridCol w:w="1257"/>
        <w:gridCol w:w="1295"/>
        <w:gridCol w:w="1275"/>
        <w:gridCol w:w="1134"/>
        <w:gridCol w:w="1276"/>
        <w:gridCol w:w="1134"/>
        <w:gridCol w:w="851"/>
        <w:gridCol w:w="1275"/>
      </w:tblGrid>
      <w:tr w14:paraId="645DD6FE">
        <w:tblPrEx>
          <w:tblCellMar>
            <w:top w:w="0" w:type="dxa"/>
            <w:left w:w="108" w:type="dxa"/>
            <w:bottom w:w="0" w:type="dxa"/>
            <w:right w:w="108" w:type="dxa"/>
          </w:tblCellMar>
        </w:tblPrEx>
        <w:trPr>
          <w:tblHeader/>
          <w:jc w:val="center"/>
        </w:trPr>
        <w:tc>
          <w:tcPr>
            <w:tcW w:w="993" w:type="dxa"/>
            <w:tcBorders>
              <w:top w:val="single" w:color="auto" w:sz="12" w:space="0"/>
              <w:left w:val="nil"/>
              <w:bottom w:val="nil"/>
              <w:right w:val="nil"/>
            </w:tcBorders>
            <w:noWrap/>
            <w:vAlign w:val="center"/>
          </w:tcPr>
          <w:p w14:paraId="1E4DEA80">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Side</w:t>
            </w:r>
          </w:p>
        </w:tc>
        <w:tc>
          <w:tcPr>
            <w:tcW w:w="1257" w:type="dxa"/>
            <w:tcBorders>
              <w:top w:val="single" w:color="auto" w:sz="12" w:space="0"/>
              <w:left w:val="nil"/>
              <w:bottom w:val="nil"/>
              <w:right w:val="nil"/>
            </w:tcBorders>
            <w:noWrap/>
            <w:vAlign w:val="center"/>
          </w:tcPr>
          <w:p w14:paraId="308C4D5C">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Direct</w:t>
            </w:r>
          </w:p>
        </w:tc>
        <w:tc>
          <w:tcPr>
            <w:tcW w:w="1295" w:type="dxa"/>
            <w:tcBorders>
              <w:top w:val="single" w:color="auto" w:sz="12" w:space="0"/>
              <w:left w:val="nil"/>
              <w:bottom w:val="nil"/>
              <w:right w:val="nil"/>
            </w:tcBorders>
            <w:noWrap/>
            <w:vAlign w:val="center"/>
          </w:tcPr>
          <w:p w14:paraId="75C6DE3B">
            <w:pPr>
              <w:snapToGrid w:val="0"/>
              <w:jc w:val="center"/>
              <w:rPr>
                <w:rFonts w:ascii="Times New Roman" w:hAnsi="Times New Roman" w:cs="Times New Roman"/>
                <w:b/>
                <w:color w:val="auto"/>
                <w:sz w:val="22"/>
                <w:szCs w:val="22"/>
              </w:rPr>
            </w:pPr>
          </w:p>
        </w:tc>
        <w:tc>
          <w:tcPr>
            <w:tcW w:w="1275" w:type="dxa"/>
            <w:tcBorders>
              <w:top w:val="single" w:color="auto" w:sz="12" w:space="0"/>
              <w:left w:val="nil"/>
              <w:bottom w:val="nil"/>
              <w:right w:val="nil"/>
            </w:tcBorders>
            <w:noWrap/>
            <w:vAlign w:val="center"/>
          </w:tcPr>
          <w:p w14:paraId="1F551578">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Indirect</w:t>
            </w:r>
          </w:p>
        </w:tc>
        <w:tc>
          <w:tcPr>
            <w:tcW w:w="1134" w:type="dxa"/>
            <w:tcBorders>
              <w:top w:val="single" w:color="auto" w:sz="12" w:space="0"/>
              <w:left w:val="nil"/>
              <w:bottom w:val="nil"/>
              <w:right w:val="nil"/>
            </w:tcBorders>
            <w:noWrap/>
            <w:vAlign w:val="center"/>
          </w:tcPr>
          <w:p w14:paraId="6F6C10C1">
            <w:pPr>
              <w:snapToGrid w:val="0"/>
              <w:jc w:val="center"/>
              <w:rPr>
                <w:rFonts w:ascii="Times New Roman" w:hAnsi="Times New Roman" w:cs="Times New Roman"/>
                <w:b/>
                <w:color w:val="auto"/>
                <w:sz w:val="22"/>
                <w:szCs w:val="22"/>
              </w:rPr>
            </w:pPr>
          </w:p>
        </w:tc>
        <w:tc>
          <w:tcPr>
            <w:tcW w:w="1276" w:type="dxa"/>
            <w:tcBorders>
              <w:top w:val="single" w:color="auto" w:sz="12" w:space="0"/>
              <w:left w:val="nil"/>
              <w:bottom w:val="nil"/>
              <w:right w:val="nil"/>
            </w:tcBorders>
            <w:noWrap/>
            <w:vAlign w:val="center"/>
          </w:tcPr>
          <w:p w14:paraId="45057507">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Difference</w:t>
            </w:r>
          </w:p>
        </w:tc>
        <w:tc>
          <w:tcPr>
            <w:tcW w:w="1134" w:type="dxa"/>
            <w:tcBorders>
              <w:top w:val="single" w:color="auto" w:sz="12" w:space="0"/>
              <w:left w:val="nil"/>
              <w:bottom w:val="nil"/>
              <w:right w:val="nil"/>
            </w:tcBorders>
            <w:noWrap/>
            <w:vAlign w:val="center"/>
          </w:tcPr>
          <w:p w14:paraId="129F3713">
            <w:pPr>
              <w:snapToGrid w:val="0"/>
              <w:jc w:val="center"/>
              <w:rPr>
                <w:rFonts w:ascii="Times New Roman" w:hAnsi="Times New Roman" w:cs="Times New Roman"/>
                <w:b/>
                <w:color w:val="auto"/>
                <w:sz w:val="22"/>
                <w:szCs w:val="22"/>
              </w:rPr>
            </w:pPr>
          </w:p>
        </w:tc>
        <w:tc>
          <w:tcPr>
            <w:tcW w:w="851" w:type="dxa"/>
            <w:tcBorders>
              <w:top w:val="single" w:color="auto" w:sz="12" w:space="0"/>
              <w:left w:val="nil"/>
              <w:bottom w:val="nil"/>
              <w:right w:val="nil"/>
            </w:tcBorders>
            <w:noWrap/>
            <w:vAlign w:val="center"/>
          </w:tcPr>
          <w:p w14:paraId="45C09741">
            <w:pPr>
              <w:snapToGrid w:val="0"/>
              <w:jc w:val="center"/>
              <w:rPr>
                <w:rFonts w:ascii="Times New Roman" w:hAnsi="Times New Roman" w:cs="Times New Roman"/>
                <w:b/>
                <w:color w:val="auto"/>
                <w:sz w:val="22"/>
                <w:szCs w:val="22"/>
              </w:rPr>
            </w:pPr>
          </w:p>
        </w:tc>
        <w:tc>
          <w:tcPr>
            <w:tcW w:w="1275" w:type="dxa"/>
            <w:tcBorders>
              <w:top w:val="single" w:color="auto" w:sz="12" w:space="0"/>
              <w:left w:val="nil"/>
              <w:bottom w:val="nil"/>
              <w:right w:val="nil"/>
            </w:tcBorders>
            <w:noWrap/>
            <w:vAlign w:val="center"/>
          </w:tcPr>
          <w:p w14:paraId="4A8BC348">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tau</w:t>
            </w:r>
          </w:p>
        </w:tc>
      </w:tr>
      <w:tr w14:paraId="51449256">
        <w:tblPrEx>
          <w:tblCellMar>
            <w:top w:w="0" w:type="dxa"/>
            <w:left w:w="108" w:type="dxa"/>
            <w:bottom w:w="0" w:type="dxa"/>
            <w:right w:w="108" w:type="dxa"/>
          </w:tblCellMar>
        </w:tblPrEx>
        <w:trPr>
          <w:tblHeader/>
          <w:jc w:val="center"/>
        </w:trPr>
        <w:tc>
          <w:tcPr>
            <w:tcW w:w="993" w:type="dxa"/>
            <w:tcBorders>
              <w:top w:val="nil"/>
              <w:left w:val="nil"/>
              <w:bottom w:val="single" w:color="auto" w:sz="4" w:space="0"/>
              <w:right w:val="nil"/>
            </w:tcBorders>
            <w:noWrap/>
            <w:vAlign w:val="center"/>
          </w:tcPr>
          <w:p w14:paraId="1CE4C8A0">
            <w:pPr>
              <w:snapToGrid w:val="0"/>
              <w:jc w:val="center"/>
              <w:rPr>
                <w:rFonts w:ascii="Times New Roman" w:hAnsi="Times New Roman" w:cs="Times New Roman"/>
                <w:b/>
                <w:color w:val="auto"/>
                <w:sz w:val="22"/>
                <w:szCs w:val="22"/>
              </w:rPr>
            </w:pPr>
          </w:p>
        </w:tc>
        <w:tc>
          <w:tcPr>
            <w:tcW w:w="1257" w:type="dxa"/>
            <w:tcBorders>
              <w:top w:val="nil"/>
              <w:left w:val="nil"/>
              <w:bottom w:val="single" w:color="auto" w:sz="4" w:space="0"/>
              <w:right w:val="nil"/>
            </w:tcBorders>
            <w:noWrap/>
            <w:vAlign w:val="center"/>
          </w:tcPr>
          <w:p w14:paraId="401B64DB">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Coef.</w:t>
            </w:r>
          </w:p>
        </w:tc>
        <w:tc>
          <w:tcPr>
            <w:tcW w:w="1295" w:type="dxa"/>
            <w:tcBorders>
              <w:top w:val="nil"/>
              <w:left w:val="nil"/>
              <w:bottom w:val="single" w:color="auto" w:sz="4" w:space="0"/>
              <w:right w:val="nil"/>
            </w:tcBorders>
            <w:noWrap/>
            <w:vAlign w:val="center"/>
          </w:tcPr>
          <w:p w14:paraId="3B2E22BE">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Std. Err.</w:t>
            </w:r>
          </w:p>
        </w:tc>
        <w:tc>
          <w:tcPr>
            <w:tcW w:w="1275" w:type="dxa"/>
            <w:tcBorders>
              <w:top w:val="nil"/>
              <w:left w:val="nil"/>
              <w:bottom w:val="single" w:color="auto" w:sz="4" w:space="0"/>
              <w:right w:val="nil"/>
            </w:tcBorders>
            <w:noWrap/>
            <w:vAlign w:val="center"/>
          </w:tcPr>
          <w:p w14:paraId="3C08159D">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Coef.</w:t>
            </w:r>
          </w:p>
        </w:tc>
        <w:tc>
          <w:tcPr>
            <w:tcW w:w="1134" w:type="dxa"/>
            <w:tcBorders>
              <w:top w:val="nil"/>
              <w:left w:val="nil"/>
              <w:bottom w:val="single" w:color="auto" w:sz="4" w:space="0"/>
              <w:right w:val="nil"/>
            </w:tcBorders>
            <w:noWrap/>
            <w:vAlign w:val="center"/>
          </w:tcPr>
          <w:p w14:paraId="1BAF19D0">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Std. Err.</w:t>
            </w:r>
          </w:p>
        </w:tc>
        <w:tc>
          <w:tcPr>
            <w:tcW w:w="1276" w:type="dxa"/>
            <w:tcBorders>
              <w:top w:val="nil"/>
              <w:left w:val="nil"/>
              <w:bottom w:val="single" w:color="auto" w:sz="4" w:space="0"/>
              <w:right w:val="nil"/>
            </w:tcBorders>
            <w:noWrap/>
            <w:vAlign w:val="center"/>
          </w:tcPr>
          <w:p w14:paraId="3DDC9000">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Coef.</w:t>
            </w:r>
          </w:p>
        </w:tc>
        <w:tc>
          <w:tcPr>
            <w:tcW w:w="1134" w:type="dxa"/>
            <w:tcBorders>
              <w:top w:val="nil"/>
              <w:left w:val="nil"/>
              <w:bottom w:val="single" w:color="auto" w:sz="4" w:space="0"/>
              <w:right w:val="nil"/>
            </w:tcBorders>
            <w:noWrap/>
            <w:vAlign w:val="center"/>
          </w:tcPr>
          <w:p w14:paraId="212BF78D">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Std. Err.</w:t>
            </w:r>
          </w:p>
        </w:tc>
        <w:tc>
          <w:tcPr>
            <w:tcW w:w="851" w:type="dxa"/>
            <w:tcBorders>
              <w:top w:val="nil"/>
              <w:left w:val="nil"/>
              <w:bottom w:val="single" w:color="auto" w:sz="4" w:space="0"/>
              <w:right w:val="nil"/>
            </w:tcBorders>
            <w:noWrap/>
            <w:vAlign w:val="center"/>
          </w:tcPr>
          <w:p w14:paraId="305C2F70">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P&gt;|z|</w:t>
            </w:r>
          </w:p>
        </w:tc>
        <w:tc>
          <w:tcPr>
            <w:tcW w:w="1275" w:type="dxa"/>
            <w:tcBorders>
              <w:top w:val="nil"/>
              <w:left w:val="nil"/>
              <w:bottom w:val="single" w:color="auto" w:sz="4" w:space="0"/>
              <w:right w:val="nil"/>
            </w:tcBorders>
            <w:noWrap/>
            <w:vAlign w:val="center"/>
          </w:tcPr>
          <w:p w14:paraId="08D3CA84">
            <w:pPr>
              <w:snapToGrid w:val="0"/>
              <w:jc w:val="center"/>
              <w:rPr>
                <w:rFonts w:ascii="Times New Roman" w:hAnsi="Times New Roman" w:cs="Times New Roman"/>
                <w:b/>
                <w:color w:val="auto"/>
                <w:sz w:val="22"/>
                <w:szCs w:val="22"/>
              </w:rPr>
            </w:pPr>
          </w:p>
        </w:tc>
      </w:tr>
      <w:tr w14:paraId="3701DA10">
        <w:tblPrEx>
          <w:tblCellMar>
            <w:top w:w="0" w:type="dxa"/>
            <w:left w:w="108" w:type="dxa"/>
            <w:bottom w:w="0" w:type="dxa"/>
            <w:right w:w="108" w:type="dxa"/>
          </w:tblCellMar>
        </w:tblPrEx>
        <w:trPr>
          <w:jc w:val="center"/>
        </w:trPr>
        <w:tc>
          <w:tcPr>
            <w:tcW w:w="993" w:type="dxa"/>
            <w:tcBorders>
              <w:top w:val="single" w:color="auto" w:sz="4" w:space="0"/>
              <w:left w:val="nil"/>
              <w:bottom w:val="nil"/>
              <w:right w:val="nil"/>
            </w:tcBorders>
            <w:noWrap/>
            <w:vAlign w:val="center"/>
          </w:tcPr>
          <w:p w14:paraId="00E4F4AD">
            <w:pPr>
              <w:snapToGrid w:val="0"/>
              <w:jc w:val="center"/>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A C *</w:t>
            </w:r>
          </w:p>
        </w:tc>
        <w:tc>
          <w:tcPr>
            <w:tcW w:w="1257" w:type="dxa"/>
            <w:tcBorders>
              <w:top w:val="single" w:color="auto" w:sz="4" w:space="0"/>
              <w:left w:val="nil"/>
              <w:bottom w:val="nil"/>
              <w:right w:val="nil"/>
            </w:tcBorders>
            <w:noWrap/>
            <w:vAlign w:val="center"/>
          </w:tcPr>
          <w:p w14:paraId="75CF04D9">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-0.8055879</w:t>
            </w:r>
          </w:p>
        </w:tc>
        <w:tc>
          <w:tcPr>
            <w:tcW w:w="1295" w:type="dxa"/>
            <w:tcBorders>
              <w:top w:val="single" w:color="auto" w:sz="4" w:space="0"/>
              <w:left w:val="nil"/>
              <w:bottom w:val="nil"/>
              <w:right w:val="nil"/>
            </w:tcBorders>
            <w:noWrap/>
            <w:vAlign w:val="center"/>
          </w:tcPr>
          <w:p w14:paraId="73B7FD4A">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0.5438037</w:t>
            </w:r>
          </w:p>
        </w:tc>
        <w:tc>
          <w:tcPr>
            <w:tcW w:w="1275" w:type="dxa"/>
            <w:tcBorders>
              <w:top w:val="single" w:color="auto" w:sz="4" w:space="0"/>
              <w:left w:val="nil"/>
              <w:bottom w:val="nil"/>
              <w:right w:val="nil"/>
            </w:tcBorders>
            <w:noWrap/>
            <w:vAlign w:val="center"/>
          </w:tcPr>
          <w:p w14:paraId="339A745C">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-0.6791148</w:t>
            </w:r>
          </w:p>
        </w:tc>
        <w:tc>
          <w:tcPr>
            <w:tcW w:w="1134" w:type="dxa"/>
            <w:tcBorders>
              <w:top w:val="single" w:color="auto" w:sz="4" w:space="0"/>
              <w:left w:val="nil"/>
              <w:bottom w:val="nil"/>
              <w:right w:val="nil"/>
            </w:tcBorders>
            <w:noWrap/>
            <w:vAlign w:val="center"/>
          </w:tcPr>
          <w:p w14:paraId="21FCA2CC">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6.599522</w:t>
            </w:r>
          </w:p>
        </w:tc>
        <w:tc>
          <w:tcPr>
            <w:tcW w:w="1276" w:type="dxa"/>
            <w:tcBorders>
              <w:top w:val="single" w:color="auto" w:sz="4" w:space="0"/>
              <w:left w:val="nil"/>
              <w:bottom w:val="nil"/>
              <w:right w:val="nil"/>
            </w:tcBorders>
            <w:noWrap/>
            <w:vAlign w:val="center"/>
          </w:tcPr>
          <w:p w14:paraId="0606BD9F">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-0.1264731</w:t>
            </w:r>
          </w:p>
        </w:tc>
        <w:tc>
          <w:tcPr>
            <w:tcW w:w="1134" w:type="dxa"/>
            <w:tcBorders>
              <w:top w:val="single" w:color="auto" w:sz="4" w:space="0"/>
              <w:left w:val="nil"/>
              <w:bottom w:val="nil"/>
              <w:right w:val="nil"/>
            </w:tcBorders>
            <w:noWrap/>
            <w:vAlign w:val="center"/>
          </w:tcPr>
          <w:p w14:paraId="7E1AD8AD">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6.621887</w:t>
            </w:r>
          </w:p>
        </w:tc>
        <w:tc>
          <w:tcPr>
            <w:tcW w:w="851" w:type="dxa"/>
            <w:tcBorders>
              <w:top w:val="single" w:color="auto" w:sz="4" w:space="0"/>
              <w:left w:val="nil"/>
              <w:bottom w:val="nil"/>
              <w:right w:val="nil"/>
            </w:tcBorders>
            <w:noWrap/>
            <w:vAlign w:val="center"/>
          </w:tcPr>
          <w:p w14:paraId="56C8E5E2">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0.985</w:t>
            </w:r>
          </w:p>
        </w:tc>
        <w:tc>
          <w:tcPr>
            <w:tcW w:w="1275" w:type="dxa"/>
            <w:tcBorders>
              <w:top w:val="single" w:color="auto" w:sz="4" w:space="0"/>
              <w:left w:val="nil"/>
              <w:bottom w:val="nil"/>
              <w:right w:val="nil"/>
            </w:tcBorders>
            <w:noWrap/>
            <w:vAlign w:val="center"/>
          </w:tcPr>
          <w:p w14:paraId="673D660F">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1.30254</w:t>
            </w:r>
          </w:p>
        </w:tc>
      </w:tr>
      <w:tr w14:paraId="5D213FDE">
        <w:tblPrEx>
          <w:tblCellMar>
            <w:top w:w="0" w:type="dxa"/>
            <w:left w:w="108" w:type="dxa"/>
            <w:bottom w:w="0" w:type="dxa"/>
            <w:right w:w="108" w:type="dxa"/>
          </w:tblCellMar>
        </w:tblPrEx>
        <w:trPr>
          <w:jc w:val="center"/>
        </w:trPr>
        <w:tc>
          <w:tcPr>
            <w:tcW w:w="993" w:type="dxa"/>
            <w:tcBorders>
              <w:top w:val="nil"/>
              <w:left w:val="nil"/>
              <w:bottom w:val="nil"/>
              <w:right w:val="nil"/>
            </w:tcBorders>
            <w:noWrap/>
            <w:vAlign w:val="center"/>
          </w:tcPr>
          <w:p w14:paraId="2816912B">
            <w:pPr>
              <w:snapToGrid w:val="0"/>
              <w:jc w:val="center"/>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B C *</w:t>
            </w:r>
          </w:p>
        </w:tc>
        <w:tc>
          <w:tcPr>
            <w:tcW w:w="1257" w:type="dxa"/>
            <w:tcBorders>
              <w:top w:val="nil"/>
              <w:left w:val="nil"/>
              <w:bottom w:val="nil"/>
              <w:right w:val="nil"/>
            </w:tcBorders>
            <w:noWrap/>
            <w:vAlign w:val="center"/>
          </w:tcPr>
          <w:p w14:paraId="70552B03">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-0.7524973</w:t>
            </w:r>
          </w:p>
        </w:tc>
        <w:tc>
          <w:tcPr>
            <w:tcW w:w="1295" w:type="dxa"/>
            <w:tcBorders>
              <w:top w:val="nil"/>
              <w:left w:val="nil"/>
              <w:bottom w:val="nil"/>
              <w:right w:val="nil"/>
            </w:tcBorders>
            <w:noWrap/>
            <w:vAlign w:val="center"/>
          </w:tcPr>
          <w:p w14:paraId="5F6A1A95">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0.6666636</w:t>
            </w:r>
          </w:p>
        </w:tc>
        <w:tc>
          <w:tcPr>
            <w:tcW w:w="1275" w:type="dxa"/>
            <w:tcBorders>
              <w:top w:val="nil"/>
              <w:left w:val="nil"/>
              <w:bottom w:val="nil"/>
              <w:right w:val="nil"/>
            </w:tcBorders>
            <w:noWrap/>
            <w:vAlign w:val="center"/>
          </w:tcPr>
          <w:p w14:paraId="66D4789D">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-1.613698</w:t>
            </w:r>
          </w:p>
        </w:tc>
        <w:tc>
          <w:tcPr>
            <w:tcW w:w="1134" w:type="dxa"/>
            <w:tcBorders>
              <w:top w:val="nil"/>
              <w:left w:val="nil"/>
              <w:bottom w:val="nil"/>
              <w:right w:val="nil"/>
            </w:tcBorders>
            <w:noWrap/>
            <w:vAlign w:val="center"/>
          </w:tcPr>
          <w:p w14:paraId="589BB464">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31.66165</w:t>
            </w:r>
          </w:p>
        </w:tc>
        <w:tc>
          <w:tcPr>
            <w:tcW w:w="1276" w:type="dxa"/>
            <w:tcBorders>
              <w:top w:val="nil"/>
              <w:left w:val="nil"/>
              <w:bottom w:val="nil"/>
              <w:right w:val="nil"/>
            </w:tcBorders>
            <w:noWrap/>
            <w:vAlign w:val="center"/>
          </w:tcPr>
          <w:p w14:paraId="146849DC">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0.8612008</w:t>
            </w:r>
          </w:p>
        </w:tc>
        <w:tc>
          <w:tcPr>
            <w:tcW w:w="1134" w:type="dxa"/>
            <w:tcBorders>
              <w:top w:val="nil"/>
              <w:left w:val="nil"/>
              <w:bottom w:val="nil"/>
              <w:right w:val="nil"/>
            </w:tcBorders>
            <w:noWrap/>
            <w:vAlign w:val="center"/>
          </w:tcPr>
          <w:p w14:paraId="72C94CAA">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31.66866</w:t>
            </w:r>
          </w:p>
        </w:tc>
        <w:tc>
          <w:tcPr>
            <w:tcW w:w="851" w:type="dxa"/>
            <w:tcBorders>
              <w:top w:val="nil"/>
              <w:left w:val="nil"/>
              <w:bottom w:val="nil"/>
              <w:right w:val="nil"/>
            </w:tcBorders>
            <w:noWrap/>
            <w:vAlign w:val="center"/>
          </w:tcPr>
          <w:p w14:paraId="41F40274">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0.978</w:t>
            </w:r>
          </w:p>
        </w:tc>
        <w:tc>
          <w:tcPr>
            <w:tcW w:w="1275" w:type="dxa"/>
            <w:tcBorders>
              <w:top w:val="nil"/>
              <w:left w:val="nil"/>
              <w:bottom w:val="nil"/>
              <w:right w:val="nil"/>
            </w:tcBorders>
            <w:noWrap/>
            <w:vAlign w:val="center"/>
          </w:tcPr>
          <w:p w14:paraId="2AD272FF">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1.302373</w:t>
            </w:r>
          </w:p>
        </w:tc>
      </w:tr>
      <w:tr w14:paraId="27F2875D">
        <w:tblPrEx>
          <w:tblCellMar>
            <w:top w:w="0" w:type="dxa"/>
            <w:left w:w="108" w:type="dxa"/>
            <w:bottom w:w="0" w:type="dxa"/>
            <w:right w:w="108" w:type="dxa"/>
          </w:tblCellMar>
        </w:tblPrEx>
        <w:trPr>
          <w:jc w:val="center"/>
        </w:trPr>
        <w:tc>
          <w:tcPr>
            <w:tcW w:w="993" w:type="dxa"/>
            <w:tcBorders>
              <w:top w:val="nil"/>
              <w:left w:val="nil"/>
              <w:bottom w:val="nil"/>
              <w:right w:val="nil"/>
            </w:tcBorders>
            <w:noWrap/>
            <w:vAlign w:val="center"/>
          </w:tcPr>
          <w:p w14:paraId="702A6524">
            <w:pPr>
              <w:snapToGrid w:val="0"/>
              <w:jc w:val="center"/>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C D *</w:t>
            </w:r>
          </w:p>
        </w:tc>
        <w:tc>
          <w:tcPr>
            <w:tcW w:w="1257" w:type="dxa"/>
            <w:tcBorders>
              <w:top w:val="nil"/>
              <w:left w:val="nil"/>
              <w:bottom w:val="nil"/>
              <w:right w:val="nil"/>
            </w:tcBorders>
            <w:noWrap/>
            <w:vAlign w:val="center"/>
          </w:tcPr>
          <w:p w14:paraId="5CAC92F1">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2.28794</w:t>
            </w:r>
          </w:p>
        </w:tc>
        <w:tc>
          <w:tcPr>
            <w:tcW w:w="1295" w:type="dxa"/>
            <w:tcBorders>
              <w:top w:val="nil"/>
              <w:left w:val="nil"/>
              <w:bottom w:val="nil"/>
              <w:right w:val="nil"/>
            </w:tcBorders>
            <w:noWrap/>
            <w:vAlign w:val="center"/>
          </w:tcPr>
          <w:p w14:paraId="421613F3">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0.6827149</w:t>
            </w:r>
          </w:p>
        </w:tc>
        <w:tc>
          <w:tcPr>
            <w:tcW w:w="1275" w:type="dxa"/>
            <w:tcBorders>
              <w:top w:val="nil"/>
              <w:left w:val="nil"/>
              <w:bottom w:val="nil"/>
              <w:right w:val="nil"/>
            </w:tcBorders>
            <w:noWrap/>
            <w:vAlign w:val="center"/>
          </w:tcPr>
          <w:p w14:paraId="6AF850C2">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1.605464</w:t>
            </w:r>
          </w:p>
        </w:tc>
        <w:tc>
          <w:tcPr>
            <w:tcW w:w="1134" w:type="dxa"/>
            <w:tcBorders>
              <w:top w:val="nil"/>
              <w:left w:val="nil"/>
              <w:bottom w:val="nil"/>
              <w:right w:val="nil"/>
            </w:tcBorders>
            <w:noWrap/>
            <w:vAlign w:val="center"/>
          </w:tcPr>
          <w:p w14:paraId="5F21C80F">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31.66212</w:t>
            </w:r>
          </w:p>
        </w:tc>
        <w:tc>
          <w:tcPr>
            <w:tcW w:w="1276" w:type="dxa"/>
            <w:tcBorders>
              <w:top w:val="nil"/>
              <w:left w:val="nil"/>
              <w:bottom w:val="nil"/>
              <w:right w:val="nil"/>
            </w:tcBorders>
            <w:noWrap/>
            <w:vAlign w:val="center"/>
          </w:tcPr>
          <w:p w14:paraId="2F6D60C4">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0.682476</w:t>
            </w:r>
          </w:p>
        </w:tc>
        <w:tc>
          <w:tcPr>
            <w:tcW w:w="1134" w:type="dxa"/>
            <w:tcBorders>
              <w:top w:val="nil"/>
              <w:left w:val="nil"/>
              <w:bottom w:val="nil"/>
              <w:right w:val="nil"/>
            </w:tcBorders>
            <w:noWrap/>
            <w:vAlign w:val="center"/>
          </w:tcPr>
          <w:p w14:paraId="3143172C">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31.66947</w:t>
            </w:r>
          </w:p>
        </w:tc>
        <w:tc>
          <w:tcPr>
            <w:tcW w:w="851" w:type="dxa"/>
            <w:tcBorders>
              <w:top w:val="nil"/>
              <w:left w:val="nil"/>
              <w:bottom w:val="nil"/>
              <w:right w:val="nil"/>
            </w:tcBorders>
            <w:noWrap/>
            <w:vAlign w:val="center"/>
          </w:tcPr>
          <w:p w14:paraId="00D5B28B">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0.983</w:t>
            </w:r>
          </w:p>
        </w:tc>
        <w:tc>
          <w:tcPr>
            <w:tcW w:w="1275" w:type="dxa"/>
            <w:tcBorders>
              <w:top w:val="nil"/>
              <w:left w:val="nil"/>
              <w:bottom w:val="nil"/>
              <w:right w:val="nil"/>
            </w:tcBorders>
            <w:noWrap/>
            <w:vAlign w:val="center"/>
          </w:tcPr>
          <w:p w14:paraId="29105ADB">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1.302378</w:t>
            </w:r>
          </w:p>
        </w:tc>
      </w:tr>
      <w:tr w14:paraId="5171ADB1">
        <w:tblPrEx>
          <w:tblCellMar>
            <w:top w:w="0" w:type="dxa"/>
            <w:left w:w="108" w:type="dxa"/>
            <w:bottom w:w="0" w:type="dxa"/>
            <w:right w:w="108" w:type="dxa"/>
          </w:tblCellMar>
        </w:tblPrEx>
        <w:trPr>
          <w:jc w:val="center"/>
        </w:trPr>
        <w:tc>
          <w:tcPr>
            <w:tcW w:w="993" w:type="dxa"/>
            <w:tcBorders>
              <w:top w:val="nil"/>
              <w:left w:val="nil"/>
              <w:bottom w:val="nil"/>
              <w:right w:val="nil"/>
            </w:tcBorders>
            <w:noWrap/>
            <w:vAlign w:val="center"/>
          </w:tcPr>
          <w:p w14:paraId="3B84CBD0">
            <w:pPr>
              <w:snapToGrid w:val="0"/>
              <w:jc w:val="center"/>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C E *</w:t>
            </w:r>
          </w:p>
        </w:tc>
        <w:tc>
          <w:tcPr>
            <w:tcW w:w="1257" w:type="dxa"/>
            <w:tcBorders>
              <w:top w:val="nil"/>
              <w:left w:val="nil"/>
              <w:bottom w:val="nil"/>
              <w:right w:val="nil"/>
            </w:tcBorders>
            <w:noWrap/>
            <w:vAlign w:val="center"/>
          </w:tcPr>
          <w:p w14:paraId="37619870">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1.288442</w:t>
            </w:r>
          </w:p>
        </w:tc>
        <w:tc>
          <w:tcPr>
            <w:tcW w:w="1295" w:type="dxa"/>
            <w:tcBorders>
              <w:top w:val="nil"/>
              <w:left w:val="nil"/>
              <w:bottom w:val="nil"/>
              <w:right w:val="nil"/>
            </w:tcBorders>
            <w:noWrap/>
            <w:vAlign w:val="center"/>
          </w:tcPr>
          <w:p w14:paraId="4F9CFF8F">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0.4199385</w:t>
            </w:r>
          </w:p>
        </w:tc>
        <w:tc>
          <w:tcPr>
            <w:tcW w:w="1275" w:type="dxa"/>
            <w:tcBorders>
              <w:top w:val="nil"/>
              <w:left w:val="nil"/>
              <w:bottom w:val="nil"/>
              <w:right w:val="nil"/>
            </w:tcBorders>
            <w:noWrap/>
            <w:vAlign w:val="center"/>
          </w:tcPr>
          <w:p w14:paraId="11976051">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1.607883</w:t>
            </w:r>
          </w:p>
        </w:tc>
        <w:tc>
          <w:tcPr>
            <w:tcW w:w="1134" w:type="dxa"/>
            <w:tcBorders>
              <w:top w:val="nil"/>
              <w:left w:val="nil"/>
              <w:bottom w:val="nil"/>
              <w:right w:val="nil"/>
            </w:tcBorders>
            <w:noWrap/>
            <w:vAlign w:val="center"/>
          </w:tcPr>
          <w:p w14:paraId="0D2DCDD4">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20.04151</w:t>
            </w:r>
          </w:p>
        </w:tc>
        <w:tc>
          <w:tcPr>
            <w:tcW w:w="1276" w:type="dxa"/>
            <w:tcBorders>
              <w:top w:val="nil"/>
              <w:left w:val="nil"/>
              <w:bottom w:val="nil"/>
              <w:right w:val="nil"/>
            </w:tcBorders>
            <w:noWrap/>
            <w:vAlign w:val="center"/>
          </w:tcPr>
          <w:p w14:paraId="111205D8">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-0.3194409</w:t>
            </w:r>
          </w:p>
        </w:tc>
        <w:tc>
          <w:tcPr>
            <w:tcW w:w="1134" w:type="dxa"/>
            <w:tcBorders>
              <w:top w:val="nil"/>
              <w:left w:val="nil"/>
              <w:bottom w:val="nil"/>
              <w:right w:val="nil"/>
            </w:tcBorders>
            <w:noWrap/>
            <w:vAlign w:val="center"/>
          </w:tcPr>
          <w:p w14:paraId="7F2A1640">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20.04591</w:t>
            </w:r>
          </w:p>
        </w:tc>
        <w:tc>
          <w:tcPr>
            <w:tcW w:w="851" w:type="dxa"/>
            <w:tcBorders>
              <w:top w:val="nil"/>
              <w:left w:val="nil"/>
              <w:bottom w:val="nil"/>
              <w:right w:val="nil"/>
            </w:tcBorders>
            <w:noWrap/>
            <w:vAlign w:val="center"/>
          </w:tcPr>
          <w:p w14:paraId="68E88BCE">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0.987</w:t>
            </w:r>
          </w:p>
        </w:tc>
        <w:tc>
          <w:tcPr>
            <w:tcW w:w="1275" w:type="dxa"/>
            <w:tcBorders>
              <w:top w:val="nil"/>
              <w:left w:val="nil"/>
              <w:bottom w:val="nil"/>
              <w:right w:val="nil"/>
            </w:tcBorders>
            <w:noWrap/>
            <w:vAlign w:val="center"/>
          </w:tcPr>
          <w:p w14:paraId="314BB27C">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1.302426</w:t>
            </w:r>
          </w:p>
        </w:tc>
      </w:tr>
      <w:tr w14:paraId="40823878">
        <w:tblPrEx>
          <w:tblCellMar>
            <w:top w:w="0" w:type="dxa"/>
            <w:left w:w="108" w:type="dxa"/>
            <w:bottom w:w="0" w:type="dxa"/>
            <w:right w:w="108" w:type="dxa"/>
          </w:tblCellMar>
        </w:tblPrEx>
        <w:trPr>
          <w:jc w:val="center"/>
        </w:trPr>
        <w:tc>
          <w:tcPr>
            <w:tcW w:w="993" w:type="dxa"/>
            <w:tcBorders>
              <w:top w:val="nil"/>
              <w:left w:val="nil"/>
              <w:bottom w:val="single" w:color="auto" w:sz="12" w:space="0"/>
              <w:right w:val="nil"/>
            </w:tcBorders>
            <w:noWrap/>
            <w:vAlign w:val="center"/>
          </w:tcPr>
          <w:p w14:paraId="077F8FD7">
            <w:pPr>
              <w:snapToGrid w:val="0"/>
              <w:jc w:val="center"/>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C F *</w:t>
            </w:r>
          </w:p>
        </w:tc>
        <w:tc>
          <w:tcPr>
            <w:tcW w:w="1257" w:type="dxa"/>
            <w:tcBorders>
              <w:top w:val="nil"/>
              <w:left w:val="nil"/>
              <w:bottom w:val="single" w:color="auto" w:sz="12" w:space="0"/>
              <w:right w:val="nil"/>
            </w:tcBorders>
            <w:noWrap/>
            <w:vAlign w:val="center"/>
          </w:tcPr>
          <w:p w14:paraId="23414030">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1.232195</w:t>
            </w:r>
          </w:p>
        </w:tc>
        <w:tc>
          <w:tcPr>
            <w:tcW w:w="1295" w:type="dxa"/>
            <w:tcBorders>
              <w:top w:val="nil"/>
              <w:left w:val="nil"/>
              <w:bottom w:val="single" w:color="auto" w:sz="12" w:space="0"/>
              <w:right w:val="nil"/>
            </w:tcBorders>
            <w:noWrap/>
            <w:vAlign w:val="center"/>
          </w:tcPr>
          <w:p w14:paraId="7F0834D9">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0.5947897</w:t>
            </w:r>
          </w:p>
        </w:tc>
        <w:tc>
          <w:tcPr>
            <w:tcW w:w="1275" w:type="dxa"/>
            <w:tcBorders>
              <w:top w:val="nil"/>
              <w:left w:val="nil"/>
              <w:bottom w:val="single" w:color="auto" w:sz="12" w:space="0"/>
              <w:right w:val="nil"/>
            </w:tcBorders>
            <w:noWrap/>
            <w:vAlign w:val="center"/>
          </w:tcPr>
          <w:p w14:paraId="500C1A58">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1.608632</w:t>
            </w:r>
          </w:p>
        </w:tc>
        <w:tc>
          <w:tcPr>
            <w:tcW w:w="1134" w:type="dxa"/>
            <w:tcBorders>
              <w:top w:val="nil"/>
              <w:left w:val="nil"/>
              <w:bottom w:val="single" w:color="auto" w:sz="12" w:space="0"/>
              <w:right w:val="nil"/>
            </w:tcBorders>
            <w:noWrap/>
            <w:vAlign w:val="center"/>
          </w:tcPr>
          <w:p w14:paraId="7A748421">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28.3232</w:t>
            </w:r>
          </w:p>
        </w:tc>
        <w:tc>
          <w:tcPr>
            <w:tcW w:w="1276" w:type="dxa"/>
            <w:tcBorders>
              <w:top w:val="nil"/>
              <w:left w:val="nil"/>
              <w:bottom w:val="single" w:color="auto" w:sz="12" w:space="0"/>
              <w:right w:val="nil"/>
            </w:tcBorders>
            <w:noWrap/>
            <w:vAlign w:val="center"/>
          </w:tcPr>
          <w:p w14:paraId="70E45F3C">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-0.376437</w:t>
            </w:r>
          </w:p>
        </w:tc>
        <w:tc>
          <w:tcPr>
            <w:tcW w:w="1134" w:type="dxa"/>
            <w:tcBorders>
              <w:top w:val="nil"/>
              <w:left w:val="nil"/>
              <w:bottom w:val="single" w:color="auto" w:sz="12" w:space="0"/>
              <w:right w:val="nil"/>
            </w:tcBorders>
            <w:noWrap/>
            <w:vAlign w:val="center"/>
          </w:tcPr>
          <w:p w14:paraId="5C5EA393">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28.32945</w:t>
            </w:r>
          </w:p>
        </w:tc>
        <w:tc>
          <w:tcPr>
            <w:tcW w:w="851" w:type="dxa"/>
            <w:tcBorders>
              <w:top w:val="nil"/>
              <w:left w:val="nil"/>
              <w:bottom w:val="single" w:color="auto" w:sz="12" w:space="0"/>
              <w:right w:val="nil"/>
            </w:tcBorders>
            <w:noWrap/>
            <w:vAlign w:val="center"/>
          </w:tcPr>
          <w:p w14:paraId="68F0BB32">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0.989</w:t>
            </w:r>
          </w:p>
        </w:tc>
        <w:tc>
          <w:tcPr>
            <w:tcW w:w="1275" w:type="dxa"/>
            <w:tcBorders>
              <w:top w:val="nil"/>
              <w:left w:val="nil"/>
              <w:bottom w:val="single" w:color="auto" w:sz="12" w:space="0"/>
              <w:right w:val="nil"/>
            </w:tcBorders>
            <w:noWrap/>
            <w:vAlign w:val="center"/>
          </w:tcPr>
          <w:p w14:paraId="4566A4E5">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1.302382</w:t>
            </w:r>
          </w:p>
        </w:tc>
      </w:tr>
    </w:tbl>
    <w:p w14:paraId="4F7922DB">
      <w:pPr>
        <w:rPr>
          <w:rFonts w:ascii="Times New Roman" w:hAnsi="Times New Roman" w:cs="Times New Roman"/>
          <w:color w:val="auto"/>
          <w:sz w:val="20"/>
          <w:szCs w:val="20"/>
          <w:lang w:eastAsia="zh-TW"/>
        </w:rPr>
      </w:pPr>
    </w:p>
    <w:p w14:paraId="4E1DFEE3">
      <w:pPr>
        <w:rPr>
          <w:rFonts w:ascii="Times New Roman" w:hAnsi="Times New Roman" w:cs="Times New Roman"/>
          <w:color w:val="auto"/>
          <w:sz w:val="20"/>
          <w:szCs w:val="20"/>
          <w:lang w:eastAsia="zh-TW"/>
        </w:rPr>
      </w:pPr>
    </w:p>
    <w:p w14:paraId="23C1E31F">
      <w:pPr>
        <w:rPr>
          <w:rFonts w:ascii="Times New Roman" w:hAnsi="Times New Roman" w:cs="Times New Roman"/>
          <w:color w:val="auto"/>
          <w:szCs w:val="20"/>
        </w:rPr>
      </w:pPr>
      <w:r>
        <w:rPr>
          <w:rFonts w:hint="eastAsia" w:ascii="Times New Roman" w:hAnsi="Times New Roman" w:cs="Times New Roman"/>
          <w:color w:val="auto"/>
          <w:szCs w:val="20"/>
        </w:rPr>
        <w:t>Table 5.2 Results of the nodal splitting method for depression</w:t>
      </w:r>
    </w:p>
    <w:p w14:paraId="33FE6DE8">
      <w:pPr>
        <w:rPr>
          <w:rFonts w:ascii="Times New Roman" w:hAnsi="Times New Roman" w:cs="Times New Roman"/>
          <w:color w:val="auto"/>
          <w:szCs w:val="20"/>
        </w:rPr>
      </w:pPr>
    </w:p>
    <w:tbl>
      <w:tblPr>
        <w:tblStyle w:val="22"/>
        <w:tblW w:w="10065" w:type="dxa"/>
        <w:jc w:val="center"/>
        <w:tblLayout w:type="fixed"/>
        <w:tblCellMar>
          <w:top w:w="0" w:type="dxa"/>
          <w:left w:w="108" w:type="dxa"/>
          <w:bottom w:w="0" w:type="dxa"/>
          <w:right w:w="108" w:type="dxa"/>
        </w:tblCellMar>
      </w:tblPr>
      <w:tblGrid>
        <w:gridCol w:w="851"/>
        <w:gridCol w:w="1276"/>
        <w:gridCol w:w="1172"/>
        <w:gridCol w:w="1237"/>
        <w:gridCol w:w="1134"/>
        <w:gridCol w:w="1276"/>
        <w:gridCol w:w="1134"/>
        <w:gridCol w:w="720"/>
        <w:gridCol w:w="1265"/>
      </w:tblGrid>
      <w:tr w14:paraId="00F09EA1">
        <w:tblPrEx>
          <w:tblCellMar>
            <w:top w:w="0" w:type="dxa"/>
            <w:left w:w="108" w:type="dxa"/>
            <w:bottom w:w="0" w:type="dxa"/>
            <w:right w:w="108" w:type="dxa"/>
          </w:tblCellMar>
        </w:tblPrEx>
        <w:trPr>
          <w:tblHeader/>
          <w:jc w:val="center"/>
        </w:trPr>
        <w:tc>
          <w:tcPr>
            <w:tcW w:w="851" w:type="dxa"/>
            <w:tcBorders>
              <w:top w:val="single" w:color="auto" w:sz="12" w:space="0"/>
              <w:left w:val="nil"/>
              <w:bottom w:val="nil"/>
              <w:right w:val="nil"/>
            </w:tcBorders>
            <w:noWrap/>
            <w:vAlign w:val="center"/>
          </w:tcPr>
          <w:p w14:paraId="279D2421">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Side</w:t>
            </w:r>
          </w:p>
        </w:tc>
        <w:tc>
          <w:tcPr>
            <w:tcW w:w="1276" w:type="dxa"/>
            <w:tcBorders>
              <w:top w:val="single" w:color="auto" w:sz="12" w:space="0"/>
              <w:left w:val="nil"/>
              <w:bottom w:val="nil"/>
              <w:right w:val="nil"/>
            </w:tcBorders>
            <w:noWrap/>
            <w:vAlign w:val="center"/>
          </w:tcPr>
          <w:p w14:paraId="3088D9B9">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Direct</w:t>
            </w:r>
          </w:p>
        </w:tc>
        <w:tc>
          <w:tcPr>
            <w:tcW w:w="1172" w:type="dxa"/>
            <w:tcBorders>
              <w:top w:val="single" w:color="auto" w:sz="12" w:space="0"/>
              <w:left w:val="nil"/>
              <w:bottom w:val="nil"/>
              <w:right w:val="nil"/>
            </w:tcBorders>
            <w:noWrap/>
            <w:vAlign w:val="center"/>
          </w:tcPr>
          <w:p w14:paraId="125E1B43">
            <w:pPr>
              <w:snapToGrid w:val="0"/>
              <w:jc w:val="center"/>
              <w:rPr>
                <w:rFonts w:ascii="Times New Roman" w:hAnsi="Times New Roman" w:cs="Times New Roman"/>
                <w:b/>
                <w:color w:val="auto"/>
                <w:sz w:val="22"/>
                <w:szCs w:val="22"/>
              </w:rPr>
            </w:pPr>
          </w:p>
        </w:tc>
        <w:tc>
          <w:tcPr>
            <w:tcW w:w="1237" w:type="dxa"/>
            <w:tcBorders>
              <w:top w:val="single" w:color="auto" w:sz="12" w:space="0"/>
              <w:left w:val="nil"/>
              <w:bottom w:val="nil"/>
              <w:right w:val="nil"/>
            </w:tcBorders>
            <w:noWrap/>
            <w:vAlign w:val="center"/>
          </w:tcPr>
          <w:p w14:paraId="38346D0C">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Indirect</w:t>
            </w:r>
          </w:p>
        </w:tc>
        <w:tc>
          <w:tcPr>
            <w:tcW w:w="1134" w:type="dxa"/>
            <w:tcBorders>
              <w:top w:val="single" w:color="auto" w:sz="12" w:space="0"/>
              <w:left w:val="nil"/>
              <w:bottom w:val="nil"/>
              <w:right w:val="nil"/>
            </w:tcBorders>
            <w:noWrap/>
            <w:vAlign w:val="center"/>
          </w:tcPr>
          <w:p w14:paraId="5E5E4AFA">
            <w:pPr>
              <w:snapToGrid w:val="0"/>
              <w:jc w:val="center"/>
              <w:rPr>
                <w:rFonts w:ascii="Times New Roman" w:hAnsi="Times New Roman" w:cs="Times New Roman"/>
                <w:b/>
                <w:color w:val="auto"/>
                <w:sz w:val="22"/>
                <w:szCs w:val="22"/>
              </w:rPr>
            </w:pPr>
          </w:p>
        </w:tc>
        <w:tc>
          <w:tcPr>
            <w:tcW w:w="1276" w:type="dxa"/>
            <w:tcBorders>
              <w:top w:val="single" w:color="auto" w:sz="12" w:space="0"/>
              <w:left w:val="nil"/>
              <w:bottom w:val="nil"/>
              <w:right w:val="nil"/>
            </w:tcBorders>
            <w:noWrap/>
            <w:vAlign w:val="center"/>
          </w:tcPr>
          <w:p w14:paraId="3790BC6A">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Difference</w:t>
            </w:r>
          </w:p>
        </w:tc>
        <w:tc>
          <w:tcPr>
            <w:tcW w:w="1134" w:type="dxa"/>
            <w:tcBorders>
              <w:top w:val="single" w:color="auto" w:sz="12" w:space="0"/>
              <w:left w:val="nil"/>
              <w:bottom w:val="nil"/>
              <w:right w:val="nil"/>
            </w:tcBorders>
            <w:noWrap/>
            <w:vAlign w:val="center"/>
          </w:tcPr>
          <w:p w14:paraId="41D52277">
            <w:pPr>
              <w:snapToGrid w:val="0"/>
              <w:jc w:val="center"/>
              <w:rPr>
                <w:rFonts w:ascii="Times New Roman" w:hAnsi="Times New Roman" w:cs="Times New Roman"/>
                <w:b/>
                <w:color w:val="auto"/>
                <w:sz w:val="22"/>
                <w:szCs w:val="22"/>
              </w:rPr>
            </w:pPr>
          </w:p>
        </w:tc>
        <w:tc>
          <w:tcPr>
            <w:tcW w:w="720" w:type="dxa"/>
            <w:tcBorders>
              <w:top w:val="single" w:color="auto" w:sz="12" w:space="0"/>
              <w:left w:val="nil"/>
              <w:bottom w:val="nil"/>
              <w:right w:val="nil"/>
            </w:tcBorders>
            <w:noWrap/>
            <w:vAlign w:val="center"/>
          </w:tcPr>
          <w:p w14:paraId="7A5BDB13">
            <w:pPr>
              <w:snapToGrid w:val="0"/>
              <w:jc w:val="center"/>
              <w:rPr>
                <w:rFonts w:ascii="Times New Roman" w:hAnsi="Times New Roman" w:cs="Times New Roman"/>
                <w:b/>
                <w:color w:val="auto"/>
                <w:sz w:val="22"/>
                <w:szCs w:val="22"/>
              </w:rPr>
            </w:pPr>
          </w:p>
        </w:tc>
        <w:tc>
          <w:tcPr>
            <w:tcW w:w="1265" w:type="dxa"/>
            <w:tcBorders>
              <w:top w:val="single" w:color="auto" w:sz="12" w:space="0"/>
              <w:left w:val="nil"/>
              <w:bottom w:val="nil"/>
              <w:right w:val="nil"/>
            </w:tcBorders>
            <w:noWrap/>
            <w:vAlign w:val="center"/>
          </w:tcPr>
          <w:p w14:paraId="00DC846F">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tau</w:t>
            </w:r>
          </w:p>
        </w:tc>
      </w:tr>
      <w:tr w14:paraId="55D4EE25">
        <w:tblPrEx>
          <w:tblCellMar>
            <w:top w:w="0" w:type="dxa"/>
            <w:left w:w="108" w:type="dxa"/>
            <w:bottom w:w="0" w:type="dxa"/>
            <w:right w:w="108" w:type="dxa"/>
          </w:tblCellMar>
        </w:tblPrEx>
        <w:trPr>
          <w:tblHeader/>
          <w:jc w:val="center"/>
        </w:trPr>
        <w:tc>
          <w:tcPr>
            <w:tcW w:w="851" w:type="dxa"/>
            <w:tcBorders>
              <w:top w:val="nil"/>
              <w:left w:val="nil"/>
              <w:bottom w:val="single" w:color="auto" w:sz="4" w:space="0"/>
              <w:right w:val="nil"/>
            </w:tcBorders>
            <w:noWrap/>
            <w:vAlign w:val="center"/>
          </w:tcPr>
          <w:p w14:paraId="0709F482">
            <w:pPr>
              <w:snapToGrid w:val="0"/>
              <w:jc w:val="center"/>
              <w:rPr>
                <w:rFonts w:ascii="Times New Roman" w:hAnsi="Times New Roman" w:cs="Times New Roman"/>
                <w:b/>
                <w:color w:val="auto"/>
                <w:sz w:val="22"/>
                <w:szCs w:val="22"/>
              </w:rPr>
            </w:pPr>
          </w:p>
        </w:tc>
        <w:tc>
          <w:tcPr>
            <w:tcW w:w="1276" w:type="dxa"/>
            <w:tcBorders>
              <w:top w:val="nil"/>
              <w:left w:val="nil"/>
              <w:bottom w:val="single" w:color="auto" w:sz="4" w:space="0"/>
              <w:right w:val="nil"/>
            </w:tcBorders>
            <w:noWrap/>
            <w:vAlign w:val="center"/>
          </w:tcPr>
          <w:p w14:paraId="69ED2252">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Coef.</w:t>
            </w:r>
          </w:p>
        </w:tc>
        <w:tc>
          <w:tcPr>
            <w:tcW w:w="1172" w:type="dxa"/>
            <w:tcBorders>
              <w:top w:val="nil"/>
              <w:left w:val="nil"/>
              <w:bottom w:val="single" w:color="auto" w:sz="4" w:space="0"/>
              <w:right w:val="nil"/>
            </w:tcBorders>
            <w:noWrap/>
            <w:vAlign w:val="center"/>
          </w:tcPr>
          <w:p w14:paraId="02272B17">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Std. Err.</w:t>
            </w:r>
          </w:p>
        </w:tc>
        <w:tc>
          <w:tcPr>
            <w:tcW w:w="1237" w:type="dxa"/>
            <w:tcBorders>
              <w:top w:val="nil"/>
              <w:left w:val="nil"/>
              <w:bottom w:val="single" w:color="auto" w:sz="4" w:space="0"/>
              <w:right w:val="nil"/>
            </w:tcBorders>
            <w:noWrap/>
            <w:vAlign w:val="center"/>
          </w:tcPr>
          <w:p w14:paraId="13465A52">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Coef.</w:t>
            </w:r>
          </w:p>
        </w:tc>
        <w:tc>
          <w:tcPr>
            <w:tcW w:w="1134" w:type="dxa"/>
            <w:tcBorders>
              <w:top w:val="nil"/>
              <w:left w:val="nil"/>
              <w:bottom w:val="single" w:color="auto" w:sz="4" w:space="0"/>
              <w:right w:val="nil"/>
            </w:tcBorders>
            <w:noWrap/>
            <w:vAlign w:val="center"/>
          </w:tcPr>
          <w:p w14:paraId="21C33A7C">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Std. Err.</w:t>
            </w:r>
          </w:p>
        </w:tc>
        <w:tc>
          <w:tcPr>
            <w:tcW w:w="1276" w:type="dxa"/>
            <w:tcBorders>
              <w:top w:val="nil"/>
              <w:left w:val="nil"/>
              <w:bottom w:val="single" w:color="auto" w:sz="4" w:space="0"/>
              <w:right w:val="nil"/>
            </w:tcBorders>
            <w:noWrap/>
            <w:vAlign w:val="center"/>
          </w:tcPr>
          <w:p w14:paraId="66D44A1A">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Coef.</w:t>
            </w:r>
          </w:p>
        </w:tc>
        <w:tc>
          <w:tcPr>
            <w:tcW w:w="1134" w:type="dxa"/>
            <w:tcBorders>
              <w:top w:val="nil"/>
              <w:left w:val="nil"/>
              <w:bottom w:val="single" w:color="auto" w:sz="4" w:space="0"/>
              <w:right w:val="nil"/>
            </w:tcBorders>
            <w:noWrap/>
            <w:vAlign w:val="center"/>
          </w:tcPr>
          <w:p w14:paraId="6EDA9E26">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Std. Err.</w:t>
            </w:r>
          </w:p>
        </w:tc>
        <w:tc>
          <w:tcPr>
            <w:tcW w:w="720" w:type="dxa"/>
            <w:tcBorders>
              <w:top w:val="nil"/>
              <w:left w:val="nil"/>
              <w:bottom w:val="single" w:color="auto" w:sz="4" w:space="0"/>
              <w:right w:val="nil"/>
            </w:tcBorders>
            <w:noWrap/>
            <w:vAlign w:val="center"/>
          </w:tcPr>
          <w:p w14:paraId="1EB09096">
            <w:pPr>
              <w:snapToGrid w:val="0"/>
              <w:jc w:val="center"/>
              <w:textAlignment w:val="center"/>
              <w:rPr>
                <w:rFonts w:ascii="Times New Roman" w:hAnsi="Times New Roman" w:cs="Times New Roman"/>
                <w:b/>
                <w:color w:val="auto"/>
                <w:sz w:val="22"/>
                <w:szCs w:val="22"/>
              </w:rPr>
            </w:pPr>
            <w:r>
              <w:rPr>
                <w:rFonts w:ascii="Times New Roman" w:hAnsi="Times New Roman" w:cs="Times New Roman"/>
                <w:b/>
                <w:color w:val="auto"/>
                <w:sz w:val="22"/>
                <w:szCs w:val="22"/>
                <w:lang w:bidi="ar"/>
              </w:rPr>
              <w:t>P&gt;|z|</w:t>
            </w:r>
          </w:p>
        </w:tc>
        <w:tc>
          <w:tcPr>
            <w:tcW w:w="1265" w:type="dxa"/>
            <w:tcBorders>
              <w:top w:val="nil"/>
              <w:left w:val="nil"/>
              <w:bottom w:val="single" w:color="auto" w:sz="4" w:space="0"/>
              <w:right w:val="nil"/>
            </w:tcBorders>
            <w:noWrap/>
            <w:vAlign w:val="center"/>
          </w:tcPr>
          <w:p w14:paraId="004DE013">
            <w:pPr>
              <w:snapToGrid w:val="0"/>
              <w:jc w:val="center"/>
              <w:rPr>
                <w:rFonts w:ascii="Times New Roman" w:hAnsi="Times New Roman" w:cs="Times New Roman"/>
                <w:b/>
                <w:color w:val="auto"/>
                <w:sz w:val="22"/>
                <w:szCs w:val="22"/>
              </w:rPr>
            </w:pPr>
          </w:p>
        </w:tc>
      </w:tr>
      <w:tr w14:paraId="35F484C7">
        <w:tblPrEx>
          <w:tblCellMar>
            <w:top w:w="0" w:type="dxa"/>
            <w:left w:w="108" w:type="dxa"/>
            <w:bottom w:w="0" w:type="dxa"/>
            <w:right w:w="108" w:type="dxa"/>
          </w:tblCellMar>
        </w:tblPrEx>
        <w:trPr>
          <w:jc w:val="center"/>
        </w:trPr>
        <w:tc>
          <w:tcPr>
            <w:tcW w:w="851" w:type="dxa"/>
            <w:tcBorders>
              <w:top w:val="single" w:color="auto" w:sz="4" w:space="0"/>
              <w:left w:val="nil"/>
              <w:bottom w:val="nil"/>
              <w:right w:val="nil"/>
            </w:tcBorders>
            <w:noWrap/>
            <w:vAlign w:val="center"/>
          </w:tcPr>
          <w:p w14:paraId="3B7665AF">
            <w:pPr>
              <w:snapToGrid w:val="0"/>
              <w:jc w:val="center"/>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A B *</w:t>
            </w:r>
          </w:p>
        </w:tc>
        <w:tc>
          <w:tcPr>
            <w:tcW w:w="1276" w:type="dxa"/>
            <w:tcBorders>
              <w:top w:val="single" w:color="auto" w:sz="4" w:space="0"/>
              <w:left w:val="nil"/>
              <w:bottom w:val="nil"/>
              <w:right w:val="nil"/>
            </w:tcBorders>
            <w:noWrap/>
            <w:vAlign w:val="center"/>
          </w:tcPr>
          <w:p w14:paraId="5B4C5E82">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0.761491</w:t>
            </w:r>
          </w:p>
        </w:tc>
        <w:tc>
          <w:tcPr>
            <w:tcW w:w="1172" w:type="dxa"/>
            <w:tcBorders>
              <w:top w:val="single" w:color="auto" w:sz="4" w:space="0"/>
              <w:left w:val="nil"/>
              <w:bottom w:val="nil"/>
              <w:right w:val="nil"/>
            </w:tcBorders>
            <w:noWrap/>
            <w:vAlign w:val="center"/>
          </w:tcPr>
          <w:p w14:paraId="124B1612">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0.5561822</w:t>
            </w:r>
          </w:p>
        </w:tc>
        <w:tc>
          <w:tcPr>
            <w:tcW w:w="1237" w:type="dxa"/>
            <w:tcBorders>
              <w:top w:val="single" w:color="auto" w:sz="4" w:space="0"/>
              <w:left w:val="nil"/>
              <w:bottom w:val="nil"/>
              <w:right w:val="nil"/>
            </w:tcBorders>
            <w:noWrap/>
            <w:vAlign w:val="center"/>
          </w:tcPr>
          <w:p w14:paraId="61AD560B">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0.4490018</w:t>
            </w:r>
          </w:p>
        </w:tc>
        <w:tc>
          <w:tcPr>
            <w:tcW w:w="1134" w:type="dxa"/>
            <w:tcBorders>
              <w:top w:val="single" w:color="auto" w:sz="4" w:space="0"/>
              <w:left w:val="nil"/>
              <w:bottom w:val="nil"/>
              <w:right w:val="nil"/>
            </w:tcBorders>
            <w:noWrap/>
            <w:vAlign w:val="center"/>
          </w:tcPr>
          <w:p w14:paraId="4F435FC8">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11.18356</w:t>
            </w:r>
          </w:p>
        </w:tc>
        <w:tc>
          <w:tcPr>
            <w:tcW w:w="1276" w:type="dxa"/>
            <w:tcBorders>
              <w:top w:val="single" w:color="auto" w:sz="4" w:space="0"/>
              <w:left w:val="nil"/>
              <w:bottom w:val="nil"/>
              <w:right w:val="nil"/>
            </w:tcBorders>
            <w:noWrap/>
            <w:vAlign w:val="center"/>
          </w:tcPr>
          <w:p w14:paraId="1C814F92">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0.3124892</w:t>
            </w:r>
          </w:p>
        </w:tc>
        <w:tc>
          <w:tcPr>
            <w:tcW w:w="1134" w:type="dxa"/>
            <w:tcBorders>
              <w:top w:val="single" w:color="auto" w:sz="4" w:space="0"/>
              <w:left w:val="nil"/>
              <w:bottom w:val="nil"/>
              <w:right w:val="nil"/>
            </w:tcBorders>
            <w:noWrap/>
            <w:vAlign w:val="center"/>
          </w:tcPr>
          <w:p w14:paraId="12F1772D">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11.19739</w:t>
            </w:r>
          </w:p>
        </w:tc>
        <w:tc>
          <w:tcPr>
            <w:tcW w:w="720" w:type="dxa"/>
            <w:tcBorders>
              <w:top w:val="single" w:color="auto" w:sz="4" w:space="0"/>
              <w:left w:val="nil"/>
              <w:bottom w:val="nil"/>
              <w:right w:val="nil"/>
            </w:tcBorders>
            <w:noWrap/>
            <w:vAlign w:val="center"/>
          </w:tcPr>
          <w:p w14:paraId="12F60872">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0.978</w:t>
            </w:r>
          </w:p>
        </w:tc>
        <w:tc>
          <w:tcPr>
            <w:tcW w:w="1265" w:type="dxa"/>
            <w:tcBorders>
              <w:top w:val="single" w:color="auto" w:sz="4" w:space="0"/>
              <w:left w:val="nil"/>
              <w:bottom w:val="nil"/>
              <w:right w:val="nil"/>
            </w:tcBorders>
            <w:noWrap/>
            <w:vAlign w:val="center"/>
          </w:tcPr>
          <w:p w14:paraId="06F01B1D">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0.7288735</w:t>
            </w:r>
          </w:p>
        </w:tc>
      </w:tr>
      <w:tr w14:paraId="447A8435">
        <w:tblPrEx>
          <w:tblCellMar>
            <w:top w:w="0" w:type="dxa"/>
            <w:left w:w="108" w:type="dxa"/>
            <w:bottom w:w="0" w:type="dxa"/>
            <w:right w:w="108" w:type="dxa"/>
          </w:tblCellMar>
        </w:tblPrEx>
        <w:trPr>
          <w:jc w:val="center"/>
        </w:trPr>
        <w:tc>
          <w:tcPr>
            <w:tcW w:w="851" w:type="dxa"/>
            <w:tcBorders>
              <w:top w:val="nil"/>
              <w:left w:val="nil"/>
              <w:bottom w:val="nil"/>
              <w:right w:val="nil"/>
            </w:tcBorders>
            <w:noWrap/>
            <w:vAlign w:val="center"/>
          </w:tcPr>
          <w:p w14:paraId="25AD8502">
            <w:pPr>
              <w:snapToGrid w:val="0"/>
              <w:jc w:val="center"/>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B C *</w:t>
            </w:r>
          </w:p>
        </w:tc>
        <w:tc>
          <w:tcPr>
            <w:tcW w:w="1276" w:type="dxa"/>
            <w:tcBorders>
              <w:top w:val="nil"/>
              <w:left w:val="nil"/>
              <w:bottom w:val="nil"/>
              <w:right w:val="nil"/>
            </w:tcBorders>
            <w:noWrap/>
            <w:vAlign w:val="center"/>
          </w:tcPr>
          <w:p w14:paraId="67C5BF3D">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-0.8714363</w:t>
            </w:r>
          </w:p>
        </w:tc>
        <w:tc>
          <w:tcPr>
            <w:tcW w:w="1172" w:type="dxa"/>
            <w:tcBorders>
              <w:top w:val="nil"/>
              <w:left w:val="nil"/>
              <w:bottom w:val="nil"/>
              <w:right w:val="nil"/>
            </w:tcBorders>
            <w:noWrap/>
            <w:vAlign w:val="center"/>
          </w:tcPr>
          <w:p w14:paraId="46582790">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0.3504629</w:t>
            </w:r>
          </w:p>
        </w:tc>
        <w:tc>
          <w:tcPr>
            <w:tcW w:w="1237" w:type="dxa"/>
            <w:tcBorders>
              <w:top w:val="nil"/>
              <w:left w:val="nil"/>
              <w:bottom w:val="nil"/>
              <w:right w:val="nil"/>
            </w:tcBorders>
            <w:noWrap/>
            <w:vAlign w:val="center"/>
          </w:tcPr>
          <w:p w14:paraId="7AD32E69">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-1.514192</w:t>
            </w:r>
          </w:p>
        </w:tc>
        <w:tc>
          <w:tcPr>
            <w:tcW w:w="1134" w:type="dxa"/>
            <w:tcBorders>
              <w:top w:val="nil"/>
              <w:left w:val="nil"/>
              <w:bottom w:val="nil"/>
              <w:right w:val="nil"/>
            </w:tcBorders>
            <w:noWrap/>
            <w:vAlign w:val="center"/>
          </w:tcPr>
          <w:p w14:paraId="2F2FC5ED">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28.31301</w:t>
            </w:r>
          </w:p>
        </w:tc>
        <w:tc>
          <w:tcPr>
            <w:tcW w:w="1276" w:type="dxa"/>
            <w:tcBorders>
              <w:top w:val="nil"/>
              <w:left w:val="nil"/>
              <w:bottom w:val="nil"/>
              <w:right w:val="nil"/>
            </w:tcBorders>
            <w:noWrap/>
            <w:vAlign w:val="center"/>
          </w:tcPr>
          <w:p w14:paraId="2F1CE8EA">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0.6427553</w:t>
            </w:r>
          </w:p>
        </w:tc>
        <w:tc>
          <w:tcPr>
            <w:tcW w:w="1134" w:type="dxa"/>
            <w:tcBorders>
              <w:top w:val="nil"/>
              <w:left w:val="nil"/>
              <w:bottom w:val="nil"/>
              <w:right w:val="nil"/>
            </w:tcBorders>
            <w:noWrap/>
            <w:vAlign w:val="center"/>
          </w:tcPr>
          <w:p w14:paraId="6FF1176E">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28.3152</w:t>
            </w:r>
          </w:p>
        </w:tc>
        <w:tc>
          <w:tcPr>
            <w:tcW w:w="720" w:type="dxa"/>
            <w:tcBorders>
              <w:top w:val="nil"/>
              <w:left w:val="nil"/>
              <w:bottom w:val="nil"/>
              <w:right w:val="nil"/>
            </w:tcBorders>
            <w:noWrap/>
            <w:vAlign w:val="center"/>
          </w:tcPr>
          <w:p w14:paraId="10F2755D">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0.982</w:t>
            </w:r>
          </w:p>
        </w:tc>
        <w:tc>
          <w:tcPr>
            <w:tcW w:w="1265" w:type="dxa"/>
            <w:tcBorders>
              <w:top w:val="nil"/>
              <w:left w:val="nil"/>
              <w:bottom w:val="nil"/>
              <w:right w:val="nil"/>
            </w:tcBorders>
            <w:noWrap/>
            <w:vAlign w:val="center"/>
          </w:tcPr>
          <w:p w14:paraId="118B0411">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0.7288129</w:t>
            </w:r>
          </w:p>
        </w:tc>
      </w:tr>
      <w:tr w14:paraId="74D962AB">
        <w:tblPrEx>
          <w:tblCellMar>
            <w:top w:w="0" w:type="dxa"/>
            <w:left w:w="108" w:type="dxa"/>
            <w:bottom w:w="0" w:type="dxa"/>
            <w:right w:w="108" w:type="dxa"/>
          </w:tblCellMar>
        </w:tblPrEx>
        <w:trPr>
          <w:jc w:val="center"/>
        </w:trPr>
        <w:tc>
          <w:tcPr>
            <w:tcW w:w="851" w:type="dxa"/>
            <w:tcBorders>
              <w:top w:val="nil"/>
              <w:left w:val="nil"/>
              <w:bottom w:val="single" w:color="auto" w:sz="12" w:space="0"/>
              <w:right w:val="nil"/>
            </w:tcBorders>
            <w:noWrap/>
            <w:vAlign w:val="center"/>
          </w:tcPr>
          <w:p w14:paraId="45B0C29E">
            <w:pPr>
              <w:snapToGrid w:val="0"/>
              <w:jc w:val="center"/>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B D *</w:t>
            </w:r>
          </w:p>
        </w:tc>
        <w:tc>
          <w:tcPr>
            <w:tcW w:w="1276" w:type="dxa"/>
            <w:tcBorders>
              <w:top w:val="nil"/>
              <w:left w:val="nil"/>
              <w:bottom w:val="single" w:color="auto" w:sz="12" w:space="0"/>
              <w:right w:val="nil"/>
            </w:tcBorders>
            <w:noWrap/>
            <w:vAlign w:val="center"/>
          </w:tcPr>
          <w:p w14:paraId="52F7A618">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-0.9222632</w:t>
            </w:r>
          </w:p>
        </w:tc>
        <w:tc>
          <w:tcPr>
            <w:tcW w:w="1172" w:type="dxa"/>
            <w:tcBorders>
              <w:top w:val="nil"/>
              <w:left w:val="nil"/>
              <w:bottom w:val="single" w:color="auto" w:sz="12" w:space="0"/>
              <w:right w:val="nil"/>
            </w:tcBorders>
            <w:noWrap/>
            <w:vAlign w:val="center"/>
          </w:tcPr>
          <w:p w14:paraId="2D93BD4A">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0.4435788</w:t>
            </w:r>
          </w:p>
        </w:tc>
        <w:tc>
          <w:tcPr>
            <w:tcW w:w="1237" w:type="dxa"/>
            <w:tcBorders>
              <w:top w:val="nil"/>
              <w:left w:val="nil"/>
              <w:bottom w:val="single" w:color="auto" w:sz="12" w:space="0"/>
              <w:right w:val="nil"/>
            </w:tcBorders>
            <w:noWrap/>
            <w:vAlign w:val="center"/>
          </w:tcPr>
          <w:p w14:paraId="05910177">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-1.515684</w:t>
            </w:r>
          </w:p>
        </w:tc>
        <w:tc>
          <w:tcPr>
            <w:tcW w:w="1134" w:type="dxa"/>
            <w:tcBorders>
              <w:top w:val="nil"/>
              <w:left w:val="nil"/>
              <w:bottom w:val="single" w:color="auto" w:sz="12" w:space="0"/>
              <w:right w:val="nil"/>
            </w:tcBorders>
            <w:noWrap/>
            <w:vAlign w:val="center"/>
          </w:tcPr>
          <w:p w14:paraId="25FD3961">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36.54203</w:t>
            </w:r>
          </w:p>
        </w:tc>
        <w:tc>
          <w:tcPr>
            <w:tcW w:w="1276" w:type="dxa"/>
            <w:tcBorders>
              <w:top w:val="nil"/>
              <w:left w:val="nil"/>
              <w:bottom w:val="single" w:color="auto" w:sz="12" w:space="0"/>
              <w:right w:val="nil"/>
            </w:tcBorders>
            <w:noWrap/>
            <w:vAlign w:val="center"/>
          </w:tcPr>
          <w:p w14:paraId="2A9D996E">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0.5934208</w:t>
            </w:r>
          </w:p>
        </w:tc>
        <w:tc>
          <w:tcPr>
            <w:tcW w:w="1134" w:type="dxa"/>
            <w:tcBorders>
              <w:top w:val="nil"/>
              <w:left w:val="nil"/>
              <w:bottom w:val="single" w:color="auto" w:sz="12" w:space="0"/>
              <w:right w:val="nil"/>
            </w:tcBorders>
            <w:noWrap/>
            <w:vAlign w:val="center"/>
          </w:tcPr>
          <w:p w14:paraId="7DB4AB58">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36.54472</w:t>
            </w:r>
          </w:p>
        </w:tc>
        <w:tc>
          <w:tcPr>
            <w:tcW w:w="720" w:type="dxa"/>
            <w:tcBorders>
              <w:top w:val="nil"/>
              <w:left w:val="nil"/>
              <w:bottom w:val="single" w:color="auto" w:sz="12" w:space="0"/>
              <w:right w:val="nil"/>
            </w:tcBorders>
            <w:noWrap/>
            <w:vAlign w:val="center"/>
          </w:tcPr>
          <w:p w14:paraId="1D72FF06">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0.987</w:t>
            </w:r>
          </w:p>
        </w:tc>
        <w:tc>
          <w:tcPr>
            <w:tcW w:w="1265" w:type="dxa"/>
            <w:tcBorders>
              <w:top w:val="nil"/>
              <w:left w:val="nil"/>
              <w:bottom w:val="single" w:color="auto" w:sz="12" w:space="0"/>
              <w:right w:val="nil"/>
            </w:tcBorders>
            <w:noWrap/>
            <w:vAlign w:val="center"/>
          </w:tcPr>
          <w:p w14:paraId="29E37CA7">
            <w:pPr>
              <w:snapToGrid w:val="0"/>
              <w:jc w:val="right"/>
              <w:textAlignment w:val="center"/>
              <w:rPr>
                <w:rFonts w:ascii="Times New Roman" w:hAnsi="Times New Roman" w:cs="Times New Roman"/>
                <w:color w:val="auto"/>
                <w:sz w:val="22"/>
                <w:szCs w:val="22"/>
              </w:rPr>
            </w:pPr>
            <w:r>
              <w:rPr>
                <w:rFonts w:ascii="Times New Roman" w:hAnsi="Times New Roman" w:cs="Times New Roman"/>
                <w:color w:val="auto"/>
                <w:sz w:val="22"/>
                <w:szCs w:val="22"/>
                <w:lang w:bidi="ar"/>
              </w:rPr>
              <w:t>0.7287731</w:t>
            </w:r>
          </w:p>
        </w:tc>
      </w:tr>
    </w:tbl>
    <w:p w14:paraId="4A176C87">
      <w:pPr>
        <w:rPr>
          <w:rFonts w:ascii="Times New Roman" w:hAnsi="Times New Roman" w:cs="Times New Roman"/>
          <w:color w:val="auto"/>
          <w:sz w:val="20"/>
          <w:szCs w:val="20"/>
        </w:rPr>
      </w:pPr>
    </w:p>
    <w:p w14:paraId="11BC4CC8">
      <w:pPr>
        <w:textAlignment w:val="top"/>
        <w:rPr>
          <w:rFonts w:ascii="Times New Roman" w:hAnsi="Times New Roman" w:cs="Times New Roman"/>
          <w:color w:val="auto"/>
          <w:sz w:val="20"/>
          <w:szCs w:val="20"/>
          <w:lang w:eastAsia="zh-TW" w:bidi="ar"/>
        </w:rPr>
      </w:pPr>
    </w:p>
    <w:p w14:paraId="6F81106D">
      <w:pPr>
        <w:rPr>
          <w:rStyle w:val="28"/>
          <w:rFonts w:ascii="Times New Roman" w:hAnsi="Times New Roman" w:cs="Times New Roman"/>
          <w:color w:val="auto"/>
          <w:u w:val="none"/>
          <w:lang w:eastAsia="zh-TW"/>
        </w:rPr>
        <w:sectPr>
          <w:footerReference r:id="rId10" w:type="default"/>
          <w:pgSz w:w="11906" w:h="16838"/>
          <w:pgMar w:top="1440" w:right="1797" w:bottom="1440" w:left="1797" w:header="851" w:footer="992" w:gutter="0"/>
          <w:cols w:space="425" w:num="1"/>
          <w:docGrid w:type="lines" w:linePitch="326" w:charSpace="0"/>
        </w:sectPr>
      </w:pPr>
    </w:p>
    <w:p w14:paraId="56DE0BED">
      <w:pPr>
        <w:pStyle w:val="2"/>
        <w:spacing w:line="360" w:lineRule="auto"/>
        <w:rPr>
          <w:rFonts w:ascii="Times New Roman" w:hAnsi="Times New Roman" w:cs="Times New Roman"/>
          <w:color w:val="auto"/>
        </w:rPr>
      </w:pPr>
      <w:r>
        <w:rPr>
          <w:rFonts w:ascii="Times New Roman" w:hAnsi="Times New Roman" w:cs="Times New Roman"/>
          <w:color w:val="auto"/>
        </w:rPr>
        <w:t xml:space="preserve">Supplementary </w:t>
      </w:r>
      <w:r>
        <w:rPr>
          <w:rFonts w:hint="eastAsia" w:ascii="Times New Roman" w:hAnsi="Times New Roman" w:eastAsia="宋体" w:cs="Times New Roman"/>
          <w:color w:val="auto"/>
        </w:rPr>
        <w:t>6</w:t>
      </w:r>
      <w:r>
        <w:rPr>
          <w:rFonts w:ascii="Times New Roman" w:hAnsi="Times New Roman" w:cs="Times New Roman"/>
          <w:color w:val="auto"/>
        </w:rPr>
        <w:t>: Characteristics of studies and subjects included in the review</w:t>
      </w:r>
    </w:p>
    <w:p w14:paraId="179FDB80">
      <w:r>
        <w:rPr>
          <w:rFonts w:ascii="Times New Roman" w:hAnsi="Times New Roman" w:cs="Times New Roman"/>
          <w:color w:val="auto"/>
        </w:rPr>
        <w:t xml:space="preserve">Supplementary </w:t>
      </w:r>
      <w:r>
        <w:rPr>
          <w:rFonts w:hint="eastAsia" w:ascii="Times New Roman" w:hAnsi="Times New Roman" w:cs="Times New Roman"/>
          <w:color w:val="auto"/>
          <w:lang w:val="en-US" w:eastAsia="zh-CN"/>
        </w:rPr>
        <w:t xml:space="preserve">Table </w:t>
      </w:r>
      <w:r>
        <w:rPr>
          <w:rFonts w:hint="eastAsia" w:ascii="Times New Roman" w:hAnsi="Times New Roman" w:eastAsia="宋体" w:cs="Times New Roman"/>
          <w:color w:val="auto"/>
        </w:rPr>
        <w:t>6</w:t>
      </w:r>
      <w:r>
        <w:rPr>
          <w:rFonts w:hint="eastAsia" w:ascii="Times New Roman" w:hAnsi="Times New Roman" w:cs="Times New Roman"/>
          <w:color w:val="auto"/>
          <w:lang w:val="en-US" w:eastAsia="zh-CN"/>
        </w:rPr>
        <w:t>.1</w:t>
      </w:r>
      <w:r>
        <w:rPr>
          <w:rFonts w:ascii="Times New Roman" w:hAnsi="Times New Roman" w:cs="Times New Roman"/>
          <w:color w:val="auto"/>
        </w:rPr>
        <w:t>:</w:t>
      </w:r>
      <w:r>
        <w:rPr>
          <w:rFonts w:hint="eastAsia" w:ascii="Times New Roman" w:hAnsi="Times New Roman" w:cs="Times New Roman"/>
          <w:color w:val="auto"/>
          <w:lang w:val="en-US" w:eastAsia="zh-CN"/>
        </w:rPr>
        <w:t xml:space="preserve"> </w:t>
      </w:r>
      <w:r>
        <w:rPr>
          <w:rFonts w:hint="eastAsia" w:ascii="Times New Roman" w:hAnsi="Times New Roman" w:cs="Times New Roman"/>
          <w:color w:val="auto"/>
        </w:rPr>
        <w:t>Characteristics of included studies and participants</w:t>
      </w:r>
    </w:p>
    <w:tbl>
      <w:tblPr>
        <w:tblStyle w:val="22"/>
        <w:tblW w:w="5000" w:type="pct"/>
        <w:jc w:val="center"/>
        <w:tblLayout w:type="fixed"/>
        <w:tblCellMar>
          <w:top w:w="0" w:type="dxa"/>
          <w:left w:w="108" w:type="dxa"/>
          <w:bottom w:w="0" w:type="dxa"/>
          <w:right w:w="108" w:type="dxa"/>
        </w:tblCellMar>
      </w:tblPr>
      <w:tblGrid>
        <w:gridCol w:w="928"/>
        <w:gridCol w:w="1279"/>
        <w:gridCol w:w="1115"/>
        <w:gridCol w:w="1115"/>
        <w:gridCol w:w="1115"/>
        <w:gridCol w:w="1217"/>
        <w:gridCol w:w="1416"/>
        <w:gridCol w:w="3950"/>
        <w:gridCol w:w="1089"/>
        <w:gridCol w:w="950"/>
      </w:tblGrid>
      <w:tr w14:paraId="3DAD7C08">
        <w:tblPrEx>
          <w:tblCellMar>
            <w:top w:w="0" w:type="dxa"/>
            <w:left w:w="108" w:type="dxa"/>
            <w:bottom w:w="0" w:type="dxa"/>
            <w:right w:w="108" w:type="dxa"/>
          </w:tblCellMar>
        </w:tblPrEx>
        <w:trPr>
          <w:jc w:val="center"/>
        </w:trPr>
        <w:tc>
          <w:tcPr>
            <w:tcW w:w="327" w:type="pct"/>
            <w:vMerge w:val="restart"/>
            <w:tcBorders>
              <w:top w:val="single" w:color="000000" w:sz="4" w:space="0"/>
              <w:left w:val="single" w:color="000000" w:sz="4" w:space="0"/>
              <w:bottom w:val="single" w:color="000000" w:sz="4" w:space="0"/>
              <w:right w:val="single" w:color="000000" w:sz="4" w:space="0"/>
            </w:tcBorders>
            <w:vAlign w:val="center"/>
          </w:tcPr>
          <w:p w14:paraId="6EB7258D">
            <w:pPr>
              <w:jc w:val="center"/>
              <w:textAlignment w:val="center"/>
              <w:rPr>
                <w:rFonts w:ascii="Times New Roman" w:hAnsi="Times New Roman" w:eastAsia="微软雅黑" w:cs="Times New Roman"/>
                <w:b/>
                <w:bCs/>
                <w:color w:val="auto"/>
                <w:sz w:val="16"/>
                <w:szCs w:val="16"/>
              </w:rPr>
            </w:pPr>
            <w:r>
              <w:rPr>
                <w:rFonts w:ascii="Times New Roman" w:hAnsi="Times New Roman" w:eastAsia="微软雅黑" w:cs="Times New Roman"/>
                <w:b/>
                <w:bCs/>
                <w:color w:val="auto"/>
                <w:sz w:val="16"/>
                <w:szCs w:val="16"/>
                <w:lang w:bidi="ar"/>
              </w:rPr>
              <w:t>Study</w:t>
            </w:r>
          </w:p>
        </w:tc>
        <w:tc>
          <w:tcPr>
            <w:tcW w:w="451" w:type="pct"/>
            <w:vMerge w:val="restart"/>
            <w:tcBorders>
              <w:top w:val="single" w:color="000000" w:sz="4" w:space="0"/>
              <w:left w:val="single" w:color="000000" w:sz="4" w:space="0"/>
              <w:bottom w:val="single" w:color="000000" w:sz="4" w:space="0"/>
              <w:right w:val="single" w:color="000000" w:sz="4" w:space="0"/>
            </w:tcBorders>
            <w:vAlign w:val="center"/>
          </w:tcPr>
          <w:p w14:paraId="112BFF7F">
            <w:pPr>
              <w:jc w:val="center"/>
              <w:textAlignment w:val="center"/>
              <w:rPr>
                <w:rFonts w:ascii="Times New Roman" w:hAnsi="Times New Roman" w:eastAsia="微软雅黑" w:cs="Times New Roman"/>
                <w:b/>
                <w:bCs/>
                <w:color w:val="auto"/>
                <w:sz w:val="16"/>
                <w:szCs w:val="16"/>
              </w:rPr>
            </w:pPr>
            <w:r>
              <w:rPr>
                <w:rFonts w:ascii="Times New Roman" w:hAnsi="Times New Roman" w:eastAsia="微软雅黑" w:cs="Times New Roman"/>
                <w:b/>
                <w:bCs/>
                <w:color w:val="auto"/>
                <w:sz w:val="16"/>
                <w:szCs w:val="16"/>
                <w:lang w:bidi="ar"/>
              </w:rPr>
              <w:t>Country/Region</w:t>
            </w:r>
          </w:p>
        </w:tc>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43EC71E5">
            <w:pPr>
              <w:jc w:val="center"/>
              <w:textAlignment w:val="center"/>
              <w:rPr>
                <w:rFonts w:ascii="Times New Roman" w:hAnsi="Times New Roman" w:eastAsia="微软雅黑" w:cs="Times New Roman"/>
                <w:b/>
                <w:bCs/>
                <w:color w:val="auto"/>
                <w:sz w:val="16"/>
                <w:szCs w:val="16"/>
              </w:rPr>
            </w:pPr>
            <w:r>
              <w:rPr>
                <w:rFonts w:ascii="Times New Roman" w:hAnsi="Times New Roman" w:eastAsia="微软雅黑" w:cs="Times New Roman"/>
                <w:b/>
                <w:bCs/>
                <w:color w:val="auto"/>
                <w:sz w:val="16"/>
                <w:szCs w:val="16"/>
                <w:lang w:bidi="ar"/>
              </w:rPr>
              <w:t xml:space="preserve">Subjects </w:t>
            </w:r>
            <w:r>
              <w:rPr>
                <w:rFonts w:ascii="Times New Roman" w:hAnsi="Times New Roman" w:eastAsia="微软雅黑" w:cs="Times New Roman"/>
                <w:b/>
                <w:bCs/>
                <w:color w:val="auto"/>
                <w:sz w:val="16"/>
                <w:szCs w:val="16"/>
                <w:lang w:bidi="ar"/>
              </w:rPr>
              <w:br w:type="textWrapping"/>
            </w:r>
            <w:r>
              <w:rPr>
                <w:rFonts w:ascii="Times New Roman" w:hAnsi="Times New Roman" w:eastAsia="微软雅黑" w:cs="Times New Roman"/>
                <w:b/>
                <w:bCs/>
                <w:color w:val="auto"/>
                <w:sz w:val="16"/>
                <w:szCs w:val="16"/>
                <w:lang w:bidi="ar"/>
              </w:rPr>
              <w:t>(intervention/ control)</w:t>
            </w:r>
          </w:p>
        </w:tc>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2A096549">
            <w:pPr>
              <w:jc w:val="center"/>
              <w:textAlignment w:val="center"/>
              <w:rPr>
                <w:rFonts w:ascii="Times New Roman" w:hAnsi="Times New Roman" w:eastAsia="微软雅黑" w:cs="Times New Roman"/>
                <w:b/>
                <w:bCs/>
                <w:color w:val="auto"/>
                <w:sz w:val="16"/>
                <w:szCs w:val="16"/>
              </w:rPr>
            </w:pPr>
            <w:r>
              <w:rPr>
                <w:rFonts w:ascii="Times New Roman" w:hAnsi="Times New Roman" w:eastAsia="微软雅黑" w:cs="Times New Roman"/>
                <w:b/>
                <w:bCs/>
                <w:color w:val="auto"/>
                <w:sz w:val="16"/>
                <w:szCs w:val="16"/>
                <w:lang w:bidi="ar"/>
              </w:rPr>
              <w:t>Sex (male/female)</w:t>
            </w:r>
            <w:r>
              <w:rPr>
                <w:rFonts w:ascii="Times New Roman" w:hAnsi="Times New Roman" w:eastAsia="微软雅黑" w:cs="Times New Roman"/>
                <w:b/>
                <w:bCs/>
                <w:color w:val="auto"/>
                <w:sz w:val="16"/>
                <w:szCs w:val="16"/>
                <w:lang w:bidi="ar"/>
              </w:rPr>
              <w:br w:type="textWrapping"/>
            </w:r>
            <w:r>
              <w:rPr>
                <w:rFonts w:ascii="Times New Roman" w:hAnsi="Times New Roman" w:eastAsia="微软雅黑" w:cs="Times New Roman"/>
                <w:b/>
                <w:bCs/>
                <w:color w:val="auto"/>
                <w:sz w:val="16"/>
                <w:szCs w:val="16"/>
                <w:lang w:bidi="ar"/>
              </w:rPr>
              <w:t>(intervention/ control)</w:t>
            </w:r>
          </w:p>
        </w:tc>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7395747A">
            <w:pPr>
              <w:jc w:val="center"/>
              <w:textAlignment w:val="center"/>
              <w:rPr>
                <w:rFonts w:ascii="Times New Roman" w:hAnsi="Times New Roman" w:eastAsia="微软雅黑" w:cs="Times New Roman"/>
                <w:b/>
                <w:bCs/>
                <w:color w:val="auto"/>
                <w:sz w:val="16"/>
                <w:szCs w:val="16"/>
              </w:rPr>
            </w:pPr>
            <w:r>
              <w:rPr>
                <w:rFonts w:ascii="Times New Roman" w:hAnsi="Times New Roman" w:eastAsia="微软雅黑" w:cs="Times New Roman"/>
                <w:b/>
                <w:bCs/>
                <w:color w:val="auto"/>
                <w:sz w:val="16"/>
                <w:szCs w:val="16"/>
                <w:lang w:bidi="ar"/>
              </w:rPr>
              <w:t xml:space="preserve">Mean age </w:t>
            </w:r>
            <w:r>
              <w:rPr>
                <w:rFonts w:ascii="Times New Roman" w:hAnsi="Times New Roman" w:eastAsia="微软雅黑" w:cs="Times New Roman"/>
                <w:b/>
                <w:bCs/>
                <w:color w:val="auto"/>
                <w:sz w:val="16"/>
                <w:szCs w:val="16"/>
                <w:lang w:bidi="ar"/>
              </w:rPr>
              <w:br w:type="textWrapping"/>
            </w:r>
            <w:r>
              <w:rPr>
                <w:rFonts w:ascii="Times New Roman" w:hAnsi="Times New Roman" w:eastAsia="微软雅黑" w:cs="Times New Roman"/>
                <w:b/>
                <w:bCs/>
                <w:color w:val="auto"/>
                <w:sz w:val="16"/>
                <w:szCs w:val="16"/>
                <w:lang w:bidi="ar"/>
              </w:rPr>
              <w:t>(intervention/ control)</w:t>
            </w:r>
          </w:p>
        </w:tc>
        <w:tc>
          <w:tcPr>
            <w:tcW w:w="429" w:type="pct"/>
            <w:vMerge w:val="restart"/>
            <w:tcBorders>
              <w:top w:val="single" w:color="000000" w:sz="4" w:space="0"/>
              <w:left w:val="single" w:color="000000" w:sz="4" w:space="0"/>
              <w:bottom w:val="single" w:color="000000" w:sz="4" w:space="0"/>
              <w:right w:val="single" w:color="000000" w:sz="4" w:space="0"/>
            </w:tcBorders>
            <w:vAlign w:val="center"/>
          </w:tcPr>
          <w:p w14:paraId="331441BD">
            <w:pPr>
              <w:jc w:val="center"/>
              <w:textAlignment w:val="center"/>
              <w:rPr>
                <w:rFonts w:ascii="Times New Roman" w:hAnsi="Times New Roman" w:eastAsia="微软雅黑" w:cs="Times New Roman"/>
                <w:b/>
                <w:bCs/>
                <w:color w:val="auto"/>
                <w:sz w:val="16"/>
                <w:szCs w:val="16"/>
              </w:rPr>
            </w:pPr>
            <w:r>
              <w:rPr>
                <w:rFonts w:ascii="Times New Roman" w:hAnsi="Times New Roman" w:eastAsia="微软雅黑" w:cs="Times New Roman"/>
                <w:b/>
                <w:bCs/>
                <w:color w:val="auto"/>
                <w:sz w:val="16"/>
                <w:szCs w:val="16"/>
                <w:lang w:bidi="ar"/>
              </w:rPr>
              <w:t>Type of disease</w:t>
            </w:r>
          </w:p>
        </w:tc>
        <w:tc>
          <w:tcPr>
            <w:tcW w:w="1891" w:type="pct"/>
            <w:gridSpan w:val="2"/>
            <w:tcBorders>
              <w:top w:val="single" w:color="000000" w:sz="4" w:space="0"/>
              <w:left w:val="single" w:color="000000" w:sz="4" w:space="0"/>
              <w:bottom w:val="single" w:color="000000" w:sz="4" w:space="0"/>
              <w:right w:val="single" w:color="000000" w:sz="4" w:space="0"/>
            </w:tcBorders>
            <w:vAlign w:val="center"/>
          </w:tcPr>
          <w:p w14:paraId="0F3C1391">
            <w:pPr>
              <w:jc w:val="center"/>
              <w:textAlignment w:val="center"/>
              <w:rPr>
                <w:rFonts w:ascii="Times New Roman" w:hAnsi="Times New Roman" w:eastAsia="微软雅黑" w:cs="Times New Roman"/>
                <w:b/>
                <w:bCs/>
                <w:color w:val="auto"/>
                <w:sz w:val="16"/>
                <w:szCs w:val="16"/>
              </w:rPr>
            </w:pPr>
            <w:r>
              <w:rPr>
                <w:rFonts w:ascii="Times New Roman" w:hAnsi="Times New Roman" w:eastAsia="微软雅黑" w:cs="Times New Roman"/>
                <w:b/>
                <w:bCs/>
                <w:color w:val="auto"/>
                <w:sz w:val="16"/>
                <w:szCs w:val="16"/>
                <w:lang w:bidi="ar"/>
              </w:rPr>
              <w:t>Intervention detail</w:t>
            </w:r>
          </w:p>
        </w:tc>
        <w:tc>
          <w:tcPr>
            <w:tcW w:w="384" w:type="pct"/>
            <w:vMerge w:val="restart"/>
            <w:tcBorders>
              <w:top w:val="single" w:color="000000" w:sz="4" w:space="0"/>
              <w:left w:val="single" w:color="000000" w:sz="4" w:space="0"/>
              <w:bottom w:val="single" w:color="000000" w:sz="4" w:space="0"/>
              <w:right w:val="single" w:color="000000" w:sz="4" w:space="0"/>
            </w:tcBorders>
            <w:vAlign w:val="center"/>
          </w:tcPr>
          <w:p w14:paraId="739BFCD1">
            <w:pPr>
              <w:jc w:val="center"/>
              <w:textAlignment w:val="center"/>
              <w:rPr>
                <w:rFonts w:ascii="Times New Roman" w:hAnsi="Times New Roman" w:eastAsia="微软雅黑" w:cs="Times New Roman"/>
                <w:b/>
                <w:bCs/>
                <w:color w:val="auto"/>
                <w:sz w:val="16"/>
                <w:szCs w:val="16"/>
              </w:rPr>
            </w:pPr>
            <w:r>
              <w:rPr>
                <w:rFonts w:ascii="Times New Roman" w:hAnsi="Times New Roman" w:eastAsia="微软雅黑" w:cs="Times New Roman"/>
                <w:b/>
                <w:bCs/>
                <w:color w:val="auto"/>
                <w:sz w:val="16"/>
                <w:szCs w:val="16"/>
                <w:lang w:bidi="ar"/>
              </w:rPr>
              <w:t>Treatment Duration</w:t>
            </w:r>
          </w:p>
        </w:tc>
        <w:tc>
          <w:tcPr>
            <w:tcW w:w="335" w:type="pct"/>
            <w:vMerge w:val="restart"/>
            <w:tcBorders>
              <w:top w:val="single" w:color="000000" w:sz="4" w:space="0"/>
              <w:left w:val="single" w:color="000000" w:sz="4" w:space="0"/>
              <w:bottom w:val="single" w:color="000000" w:sz="4" w:space="0"/>
              <w:right w:val="single" w:color="000000" w:sz="4" w:space="0"/>
            </w:tcBorders>
            <w:vAlign w:val="center"/>
          </w:tcPr>
          <w:p w14:paraId="41538834">
            <w:pPr>
              <w:jc w:val="center"/>
              <w:textAlignment w:val="center"/>
              <w:rPr>
                <w:rFonts w:ascii="Times New Roman" w:hAnsi="Times New Roman" w:eastAsia="微软雅黑" w:cs="Times New Roman"/>
                <w:b/>
                <w:bCs/>
                <w:color w:val="auto"/>
                <w:sz w:val="16"/>
                <w:szCs w:val="16"/>
              </w:rPr>
            </w:pPr>
            <w:r>
              <w:rPr>
                <w:rFonts w:ascii="Times New Roman" w:hAnsi="Times New Roman" w:eastAsia="微软雅黑" w:cs="Times New Roman"/>
                <w:b/>
                <w:bCs/>
                <w:color w:val="auto"/>
                <w:sz w:val="16"/>
                <w:szCs w:val="16"/>
                <w:lang w:bidi="ar"/>
              </w:rPr>
              <w:t>Outcomes</w:t>
            </w:r>
          </w:p>
        </w:tc>
      </w:tr>
      <w:tr w14:paraId="42CB50C8">
        <w:tblPrEx>
          <w:tblCellMar>
            <w:top w:w="0" w:type="dxa"/>
            <w:left w:w="108" w:type="dxa"/>
            <w:bottom w:w="0" w:type="dxa"/>
            <w:right w:w="108" w:type="dxa"/>
          </w:tblCellMar>
        </w:tblPrEx>
        <w:trPr>
          <w:jc w:val="center"/>
        </w:trPr>
        <w:tc>
          <w:tcPr>
            <w:tcW w:w="327" w:type="pct"/>
            <w:vMerge w:val="continue"/>
            <w:tcBorders>
              <w:top w:val="single" w:color="000000" w:sz="4" w:space="0"/>
              <w:left w:val="single" w:color="000000" w:sz="4" w:space="0"/>
              <w:bottom w:val="single" w:color="000000" w:sz="4" w:space="0"/>
              <w:right w:val="single" w:color="000000" w:sz="4" w:space="0"/>
            </w:tcBorders>
            <w:vAlign w:val="center"/>
          </w:tcPr>
          <w:p w14:paraId="574CF874">
            <w:pPr>
              <w:jc w:val="center"/>
              <w:rPr>
                <w:rFonts w:ascii="Times New Roman" w:hAnsi="Times New Roman" w:eastAsia="微软雅黑" w:cs="Times New Roman"/>
                <w:b/>
                <w:bCs/>
                <w:color w:val="auto"/>
                <w:sz w:val="16"/>
                <w:szCs w:val="16"/>
              </w:rPr>
            </w:pPr>
          </w:p>
        </w:tc>
        <w:tc>
          <w:tcPr>
            <w:tcW w:w="451" w:type="pct"/>
            <w:vMerge w:val="continue"/>
            <w:tcBorders>
              <w:top w:val="single" w:color="000000" w:sz="4" w:space="0"/>
              <w:left w:val="single" w:color="000000" w:sz="4" w:space="0"/>
              <w:bottom w:val="single" w:color="000000" w:sz="4" w:space="0"/>
              <w:right w:val="single" w:color="000000" w:sz="4" w:space="0"/>
            </w:tcBorders>
            <w:vAlign w:val="center"/>
          </w:tcPr>
          <w:p w14:paraId="127818FA">
            <w:pPr>
              <w:jc w:val="center"/>
              <w:rPr>
                <w:rFonts w:ascii="Times New Roman" w:hAnsi="Times New Roman" w:eastAsia="微软雅黑" w:cs="Times New Roman"/>
                <w:b/>
                <w:bCs/>
                <w:color w:val="auto"/>
                <w:sz w:val="16"/>
                <w:szCs w:val="16"/>
              </w:rPr>
            </w:pPr>
          </w:p>
        </w:tc>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EECF120">
            <w:pPr>
              <w:jc w:val="center"/>
              <w:rPr>
                <w:rFonts w:ascii="Times New Roman" w:hAnsi="Times New Roman" w:eastAsia="微软雅黑" w:cs="Times New Roman"/>
                <w:b/>
                <w:bCs/>
                <w:color w:val="auto"/>
                <w:sz w:val="16"/>
                <w:szCs w:val="16"/>
              </w:rPr>
            </w:pPr>
          </w:p>
        </w:tc>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77B39FA">
            <w:pPr>
              <w:jc w:val="center"/>
              <w:rPr>
                <w:rFonts w:ascii="Times New Roman" w:hAnsi="Times New Roman" w:eastAsia="微软雅黑" w:cs="Times New Roman"/>
                <w:b/>
                <w:bCs/>
                <w:color w:val="auto"/>
                <w:sz w:val="16"/>
                <w:szCs w:val="16"/>
              </w:rPr>
            </w:pPr>
          </w:p>
        </w:tc>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B85CE9F">
            <w:pPr>
              <w:jc w:val="center"/>
              <w:rPr>
                <w:rFonts w:ascii="Times New Roman" w:hAnsi="Times New Roman" w:eastAsia="微软雅黑" w:cs="Times New Roman"/>
                <w:b/>
                <w:bCs/>
                <w:color w:val="auto"/>
                <w:sz w:val="16"/>
                <w:szCs w:val="16"/>
              </w:rPr>
            </w:pPr>
          </w:p>
        </w:tc>
        <w:tc>
          <w:tcPr>
            <w:tcW w:w="429" w:type="pct"/>
            <w:vMerge w:val="continue"/>
            <w:tcBorders>
              <w:top w:val="single" w:color="000000" w:sz="4" w:space="0"/>
              <w:left w:val="single" w:color="000000" w:sz="4" w:space="0"/>
              <w:bottom w:val="single" w:color="000000" w:sz="4" w:space="0"/>
              <w:right w:val="single" w:color="000000" w:sz="4" w:space="0"/>
            </w:tcBorders>
            <w:vAlign w:val="center"/>
          </w:tcPr>
          <w:p w14:paraId="7D83D408">
            <w:pPr>
              <w:jc w:val="center"/>
              <w:rPr>
                <w:rFonts w:ascii="Times New Roman" w:hAnsi="Times New Roman" w:eastAsia="微软雅黑" w:cs="Times New Roman"/>
                <w:b/>
                <w:bCs/>
                <w:color w:val="auto"/>
                <w:sz w:val="16"/>
                <w:szCs w:val="16"/>
              </w:rPr>
            </w:pPr>
          </w:p>
        </w:tc>
        <w:tc>
          <w:tcPr>
            <w:tcW w:w="499" w:type="pct"/>
            <w:tcBorders>
              <w:top w:val="single" w:color="000000" w:sz="4" w:space="0"/>
              <w:left w:val="single" w:color="000000" w:sz="4" w:space="0"/>
              <w:bottom w:val="single" w:color="000000" w:sz="4" w:space="0"/>
              <w:right w:val="single" w:color="000000" w:sz="4" w:space="0"/>
            </w:tcBorders>
            <w:vAlign w:val="center"/>
          </w:tcPr>
          <w:p w14:paraId="074E00DF">
            <w:pPr>
              <w:jc w:val="center"/>
              <w:textAlignment w:val="center"/>
              <w:rPr>
                <w:rFonts w:ascii="Times New Roman" w:hAnsi="Times New Roman" w:eastAsia="微软雅黑" w:cs="Times New Roman"/>
                <w:b/>
                <w:bCs/>
                <w:color w:val="auto"/>
                <w:sz w:val="16"/>
                <w:szCs w:val="16"/>
              </w:rPr>
            </w:pPr>
            <w:r>
              <w:rPr>
                <w:rFonts w:ascii="Times New Roman" w:hAnsi="Times New Roman" w:eastAsia="微软雅黑" w:cs="Times New Roman"/>
                <w:b/>
                <w:bCs/>
                <w:color w:val="auto"/>
                <w:sz w:val="16"/>
                <w:szCs w:val="16"/>
                <w:lang w:bidi="ar"/>
              </w:rPr>
              <w:t>Intervention group</w:t>
            </w:r>
          </w:p>
        </w:tc>
        <w:tc>
          <w:tcPr>
            <w:tcW w:w="1391" w:type="pct"/>
            <w:tcBorders>
              <w:top w:val="single" w:color="000000" w:sz="4" w:space="0"/>
              <w:left w:val="single" w:color="000000" w:sz="4" w:space="0"/>
              <w:bottom w:val="single" w:color="000000" w:sz="4" w:space="0"/>
              <w:right w:val="single" w:color="000000" w:sz="4" w:space="0"/>
            </w:tcBorders>
            <w:vAlign w:val="center"/>
          </w:tcPr>
          <w:p w14:paraId="5CF4389C">
            <w:pPr>
              <w:jc w:val="center"/>
              <w:textAlignment w:val="center"/>
              <w:rPr>
                <w:rFonts w:ascii="Times New Roman" w:hAnsi="Times New Roman" w:eastAsia="微软雅黑" w:cs="Times New Roman"/>
                <w:b/>
                <w:bCs/>
                <w:color w:val="auto"/>
                <w:sz w:val="16"/>
                <w:szCs w:val="16"/>
              </w:rPr>
            </w:pPr>
            <w:r>
              <w:rPr>
                <w:rFonts w:ascii="Times New Roman" w:hAnsi="Times New Roman" w:eastAsia="微软雅黑" w:cs="Times New Roman"/>
                <w:b/>
                <w:bCs/>
                <w:color w:val="auto"/>
                <w:sz w:val="16"/>
                <w:szCs w:val="16"/>
                <w:lang w:bidi="ar"/>
              </w:rPr>
              <w:t>Control group</w:t>
            </w:r>
          </w:p>
        </w:tc>
        <w:tc>
          <w:tcPr>
            <w:tcW w:w="384" w:type="pct"/>
            <w:vMerge w:val="continue"/>
            <w:tcBorders>
              <w:top w:val="single" w:color="000000" w:sz="4" w:space="0"/>
              <w:left w:val="single" w:color="000000" w:sz="4" w:space="0"/>
              <w:bottom w:val="single" w:color="000000" w:sz="4" w:space="0"/>
              <w:right w:val="single" w:color="000000" w:sz="4" w:space="0"/>
            </w:tcBorders>
            <w:vAlign w:val="center"/>
          </w:tcPr>
          <w:p w14:paraId="4C531E80">
            <w:pPr>
              <w:jc w:val="center"/>
              <w:rPr>
                <w:rFonts w:ascii="Times New Roman" w:hAnsi="Times New Roman" w:eastAsia="微软雅黑" w:cs="Times New Roman"/>
                <w:b/>
                <w:bCs/>
                <w:color w:val="auto"/>
                <w:sz w:val="16"/>
                <w:szCs w:val="16"/>
              </w:rPr>
            </w:pPr>
          </w:p>
        </w:tc>
        <w:tc>
          <w:tcPr>
            <w:tcW w:w="335" w:type="pct"/>
            <w:vMerge w:val="continue"/>
            <w:tcBorders>
              <w:top w:val="single" w:color="000000" w:sz="4" w:space="0"/>
              <w:left w:val="single" w:color="000000" w:sz="4" w:space="0"/>
              <w:bottom w:val="single" w:color="000000" w:sz="4" w:space="0"/>
              <w:right w:val="single" w:color="000000" w:sz="4" w:space="0"/>
            </w:tcBorders>
            <w:vAlign w:val="center"/>
          </w:tcPr>
          <w:p w14:paraId="7DF36DB5">
            <w:pPr>
              <w:jc w:val="center"/>
              <w:rPr>
                <w:rFonts w:ascii="Times New Roman" w:hAnsi="Times New Roman" w:eastAsia="微软雅黑" w:cs="Times New Roman"/>
                <w:b/>
                <w:bCs/>
                <w:color w:val="auto"/>
                <w:sz w:val="16"/>
                <w:szCs w:val="16"/>
              </w:rPr>
            </w:pPr>
          </w:p>
        </w:tc>
      </w:tr>
      <w:tr w14:paraId="0EE85F0D">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0C7FD7EE">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Qiao Xiao et al. (2025)</w:t>
            </w:r>
          </w:p>
        </w:tc>
        <w:tc>
          <w:tcPr>
            <w:tcW w:w="451" w:type="pct"/>
            <w:tcBorders>
              <w:top w:val="single" w:color="000000" w:sz="4" w:space="0"/>
              <w:left w:val="single" w:color="000000" w:sz="4" w:space="0"/>
              <w:bottom w:val="single" w:color="000000" w:sz="4" w:space="0"/>
              <w:right w:val="single" w:color="000000" w:sz="4" w:space="0"/>
            </w:tcBorders>
            <w:vAlign w:val="center"/>
          </w:tcPr>
          <w:p w14:paraId="208CBBD8">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440D8FAB">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96 (32/32/32)</w:t>
            </w:r>
          </w:p>
        </w:tc>
        <w:tc>
          <w:tcPr>
            <w:tcW w:w="393" w:type="pct"/>
            <w:tcBorders>
              <w:top w:val="single" w:color="000000" w:sz="4" w:space="0"/>
              <w:left w:val="single" w:color="000000" w:sz="4" w:space="0"/>
              <w:bottom w:val="single" w:color="000000" w:sz="4" w:space="0"/>
              <w:right w:val="single" w:color="000000" w:sz="4" w:space="0"/>
            </w:tcBorders>
            <w:vAlign w:val="center"/>
          </w:tcPr>
          <w:p w14:paraId="50149ED2">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23/9 vs. 22/10 vs. 19/13</w:t>
            </w:r>
          </w:p>
        </w:tc>
        <w:tc>
          <w:tcPr>
            <w:tcW w:w="393" w:type="pct"/>
            <w:tcBorders>
              <w:top w:val="single" w:color="000000" w:sz="4" w:space="0"/>
              <w:left w:val="single" w:color="000000" w:sz="4" w:space="0"/>
              <w:bottom w:val="single" w:color="000000" w:sz="4" w:space="0"/>
              <w:right w:val="single" w:color="000000" w:sz="4" w:space="0"/>
            </w:tcBorders>
            <w:vAlign w:val="center"/>
          </w:tcPr>
          <w:p w14:paraId="575D35ED">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64±9.1 vs. 59±10.2 vs. 64±13.3</w:t>
            </w:r>
          </w:p>
        </w:tc>
        <w:tc>
          <w:tcPr>
            <w:tcW w:w="429" w:type="pct"/>
            <w:tcBorders>
              <w:top w:val="single" w:color="000000" w:sz="4" w:space="0"/>
              <w:left w:val="single" w:color="000000" w:sz="4" w:space="0"/>
              <w:bottom w:val="single" w:color="000000" w:sz="4" w:space="0"/>
              <w:right w:val="single" w:color="000000" w:sz="4" w:space="0"/>
            </w:tcBorders>
            <w:vAlign w:val="center"/>
          </w:tcPr>
          <w:p w14:paraId="41B5EF31">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Gastric cancer, colon cancer, colorectal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4D1B14BE">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 Auricular point sticking</w:t>
            </w:r>
            <w:r>
              <w:rPr>
                <w:rFonts w:ascii="Times New Roman" w:hAnsi="Times New Roman" w:eastAsia="微软雅黑" w:cs="Times New Roman"/>
                <w:color w:val="auto"/>
                <w:sz w:val="16"/>
                <w:szCs w:val="16"/>
                <w:lang w:bidi="ar"/>
              </w:rPr>
              <w:br w:type="textWrapping"/>
            </w:r>
            <w:r>
              <w:rPr>
                <w:rFonts w:ascii="Times New Roman" w:hAnsi="Times New Roman" w:eastAsia="微软雅黑" w:cs="Times New Roman"/>
                <w:color w:val="auto"/>
                <w:sz w:val="16"/>
                <w:szCs w:val="16"/>
                <w:lang w:bidi="ar"/>
              </w:rPr>
              <w:t>(b) Ear scraping</w:t>
            </w:r>
          </w:p>
        </w:tc>
        <w:tc>
          <w:tcPr>
            <w:tcW w:w="1391" w:type="pct"/>
            <w:tcBorders>
              <w:top w:val="single" w:color="000000" w:sz="4" w:space="0"/>
              <w:left w:val="single" w:color="000000" w:sz="4" w:space="0"/>
              <w:bottom w:val="single" w:color="000000" w:sz="4" w:space="0"/>
              <w:right w:val="single" w:color="000000" w:sz="4" w:space="0"/>
            </w:tcBorders>
            <w:vAlign w:val="center"/>
          </w:tcPr>
          <w:p w14:paraId="5F3B1F7C">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 xml:space="preserve">Control (routine care): conventional prophylactic antiemetic regimen—IV tropisetron hydrochloride 5 mg in 100 mL 0.9% saline administered 30 min pre-chemotherapy, once daily for 3 days—plus routine nursing care (clinical monitoring, daily-living care, dietary guidance, health education, and emotional support). </w:t>
            </w:r>
          </w:p>
        </w:tc>
        <w:tc>
          <w:tcPr>
            <w:tcW w:w="384" w:type="pct"/>
            <w:tcBorders>
              <w:top w:val="single" w:color="000000" w:sz="4" w:space="0"/>
              <w:left w:val="single" w:color="000000" w:sz="4" w:space="0"/>
              <w:bottom w:val="single" w:color="000000" w:sz="4" w:space="0"/>
              <w:right w:val="single" w:color="000000" w:sz="4" w:space="0"/>
            </w:tcBorders>
            <w:vAlign w:val="center"/>
          </w:tcPr>
          <w:p w14:paraId="392261C6">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From 1 day before chemotherapy to 5 days after chemotherapy</w:t>
            </w:r>
          </w:p>
        </w:tc>
        <w:tc>
          <w:tcPr>
            <w:tcW w:w="335" w:type="pct"/>
            <w:tcBorders>
              <w:top w:val="single" w:color="000000" w:sz="4" w:space="0"/>
              <w:left w:val="single" w:color="000000" w:sz="4" w:space="0"/>
              <w:bottom w:val="single" w:color="000000" w:sz="4" w:space="0"/>
              <w:right w:val="single" w:color="000000" w:sz="4" w:space="0"/>
            </w:tcBorders>
            <w:vAlign w:val="center"/>
          </w:tcPr>
          <w:p w14:paraId="254762E2">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w:t>
            </w:r>
          </w:p>
        </w:tc>
      </w:tr>
      <w:tr w14:paraId="2055B4C2">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013A2191">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Lu et al. (2019)</w:t>
            </w:r>
          </w:p>
        </w:tc>
        <w:tc>
          <w:tcPr>
            <w:tcW w:w="451" w:type="pct"/>
            <w:tcBorders>
              <w:top w:val="single" w:color="000000" w:sz="4" w:space="0"/>
              <w:left w:val="single" w:color="000000" w:sz="4" w:space="0"/>
              <w:bottom w:val="single" w:color="000000" w:sz="4" w:space="0"/>
              <w:right w:val="single" w:color="000000" w:sz="4" w:space="0"/>
            </w:tcBorders>
            <w:vAlign w:val="center"/>
          </w:tcPr>
          <w:p w14:paraId="1FF3BDFB">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49DAF764">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87 (43/44)</w:t>
            </w:r>
          </w:p>
        </w:tc>
        <w:tc>
          <w:tcPr>
            <w:tcW w:w="393" w:type="pct"/>
            <w:tcBorders>
              <w:top w:val="single" w:color="000000" w:sz="4" w:space="0"/>
              <w:left w:val="single" w:color="000000" w:sz="4" w:space="0"/>
              <w:bottom w:val="single" w:color="000000" w:sz="4" w:space="0"/>
              <w:right w:val="single" w:color="000000" w:sz="4" w:space="0"/>
            </w:tcBorders>
            <w:vAlign w:val="center"/>
          </w:tcPr>
          <w:p w14:paraId="7F2FFDF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26/17 vs. 30/14</w:t>
            </w:r>
          </w:p>
        </w:tc>
        <w:tc>
          <w:tcPr>
            <w:tcW w:w="393" w:type="pct"/>
            <w:tcBorders>
              <w:top w:val="single" w:color="000000" w:sz="4" w:space="0"/>
              <w:left w:val="single" w:color="000000" w:sz="4" w:space="0"/>
              <w:bottom w:val="single" w:color="000000" w:sz="4" w:space="0"/>
              <w:right w:val="single" w:color="000000" w:sz="4" w:space="0"/>
            </w:tcBorders>
            <w:vAlign w:val="center"/>
          </w:tcPr>
          <w:p w14:paraId="3E5B9EC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55.60 ± 11.23 vs. 54.63 ± 11.88</w:t>
            </w:r>
          </w:p>
        </w:tc>
        <w:tc>
          <w:tcPr>
            <w:tcW w:w="429" w:type="pct"/>
            <w:tcBorders>
              <w:top w:val="single" w:color="000000" w:sz="4" w:space="0"/>
              <w:left w:val="single" w:color="000000" w:sz="4" w:space="0"/>
              <w:bottom w:val="single" w:color="000000" w:sz="4" w:space="0"/>
              <w:right w:val="single" w:color="000000" w:sz="4" w:space="0"/>
            </w:tcBorders>
            <w:vAlign w:val="center"/>
          </w:tcPr>
          <w:p w14:paraId="3715A967">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Colorectal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52F50AA4">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Baduanjin Qigong</w:t>
            </w:r>
          </w:p>
        </w:tc>
        <w:tc>
          <w:tcPr>
            <w:tcW w:w="1391" w:type="pct"/>
            <w:tcBorders>
              <w:top w:val="single" w:color="000000" w:sz="4" w:space="0"/>
              <w:left w:val="single" w:color="000000" w:sz="4" w:space="0"/>
              <w:bottom w:val="single" w:color="000000" w:sz="4" w:space="0"/>
              <w:right w:val="single" w:color="000000" w:sz="4" w:space="0"/>
            </w:tcBorders>
            <w:vAlign w:val="center"/>
          </w:tcPr>
          <w:p w14:paraId="1352E9CF">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standard care for cancer-related fatigue during chemotherapy, consisting of face-to-face health education on CRF (assessment methods, symptom recognition, contributing factors, and management strategies), delivered according to routine clinical practice; no structured exercise intervention was provided.</w:t>
            </w:r>
          </w:p>
        </w:tc>
        <w:tc>
          <w:tcPr>
            <w:tcW w:w="384" w:type="pct"/>
            <w:tcBorders>
              <w:top w:val="single" w:color="000000" w:sz="4" w:space="0"/>
              <w:left w:val="single" w:color="000000" w:sz="4" w:space="0"/>
              <w:bottom w:val="single" w:color="000000" w:sz="4" w:space="0"/>
              <w:right w:val="single" w:color="000000" w:sz="4" w:space="0"/>
            </w:tcBorders>
            <w:vAlign w:val="center"/>
          </w:tcPr>
          <w:p w14:paraId="35880F85">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24 weeks, ≥ 5 times/week, 20–40 minutes per session</w:t>
            </w:r>
          </w:p>
        </w:tc>
        <w:tc>
          <w:tcPr>
            <w:tcW w:w="335" w:type="pct"/>
            <w:tcBorders>
              <w:top w:val="single" w:color="000000" w:sz="4" w:space="0"/>
              <w:left w:val="single" w:color="000000" w:sz="4" w:space="0"/>
              <w:bottom w:val="single" w:color="000000" w:sz="4" w:space="0"/>
              <w:right w:val="single" w:color="000000" w:sz="4" w:space="0"/>
            </w:tcBorders>
            <w:vAlign w:val="center"/>
          </w:tcPr>
          <w:p w14:paraId="4310E8BF">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Sleep quality, Fatigue</w:t>
            </w:r>
          </w:p>
        </w:tc>
      </w:tr>
      <w:tr w14:paraId="5057A660">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4C6DF6EC">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Molassiotis et al. (2019)</w:t>
            </w:r>
          </w:p>
        </w:tc>
        <w:tc>
          <w:tcPr>
            <w:tcW w:w="451" w:type="pct"/>
            <w:tcBorders>
              <w:top w:val="single" w:color="000000" w:sz="4" w:space="0"/>
              <w:left w:val="single" w:color="000000" w:sz="4" w:space="0"/>
              <w:bottom w:val="single" w:color="000000" w:sz="4" w:space="0"/>
              <w:right w:val="single" w:color="000000" w:sz="4" w:space="0"/>
            </w:tcBorders>
            <w:vAlign w:val="center"/>
          </w:tcPr>
          <w:p w14:paraId="38004451">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Hong Kong</w:t>
            </w:r>
          </w:p>
        </w:tc>
        <w:tc>
          <w:tcPr>
            <w:tcW w:w="393" w:type="pct"/>
            <w:tcBorders>
              <w:top w:val="single" w:color="000000" w:sz="4" w:space="0"/>
              <w:left w:val="single" w:color="000000" w:sz="4" w:space="0"/>
              <w:bottom w:val="single" w:color="000000" w:sz="4" w:space="0"/>
              <w:right w:val="single" w:color="000000" w:sz="4" w:space="0"/>
            </w:tcBorders>
            <w:vAlign w:val="center"/>
          </w:tcPr>
          <w:p w14:paraId="10B5A0BC">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87 (44/43)</w:t>
            </w:r>
          </w:p>
        </w:tc>
        <w:tc>
          <w:tcPr>
            <w:tcW w:w="393" w:type="pct"/>
            <w:tcBorders>
              <w:top w:val="single" w:color="000000" w:sz="4" w:space="0"/>
              <w:left w:val="single" w:color="000000" w:sz="4" w:space="0"/>
              <w:bottom w:val="single" w:color="000000" w:sz="4" w:space="0"/>
              <w:right w:val="single" w:color="000000" w:sz="4" w:space="0"/>
            </w:tcBorders>
            <w:vAlign w:val="center"/>
          </w:tcPr>
          <w:p w14:paraId="2EC89926">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9/35 vs. 15/28</w:t>
            </w:r>
          </w:p>
        </w:tc>
        <w:tc>
          <w:tcPr>
            <w:tcW w:w="393" w:type="pct"/>
            <w:tcBorders>
              <w:top w:val="single" w:color="000000" w:sz="4" w:space="0"/>
              <w:left w:val="single" w:color="000000" w:sz="4" w:space="0"/>
              <w:bottom w:val="single" w:color="000000" w:sz="4" w:space="0"/>
              <w:right w:val="single" w:color="000000" w:sz="4" w:space="0"/>
            </w:tcBorders>
            <w:vAlign w:val="center"/>
          </w:tcPr>
          <w:p w14:paraId="2E87D0A7">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57.1 ± 7.7</w:t>
            </w:r>
          </w:p>
        </w:tc>
        <w:tc>
          <w:tcPr>
            <w:tcW w:w="429" w:type="pct"/>
            <w:tcBorders>
              <w:top w:val="single" w:color="000000" w:sz="4" w:space="0"/>
              <w:left w:val="single" w:color="000000" w:sz="4" w:space="0"/>
              <w:bottom w:val="single" w:color="000000" w:sz="4" w:space="0"/>
              <w:right w:val="single" w:color="000000" w:sz="4" w:space="0"/>
            </w:tcBorders>
            <w:vAlign w:val="center"/>
          </w:tcPr>
          <w:p w14:paraId="54786F02">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Breast, colorectal, head and neck, gynecological cancers, multiple myeloma</w:t>
            </w:r>
          </w:p>
        </w:tc>
        <w:tc>
          <w:tcPr>
            <w:tcW w:w="499" w:type="pct"/>
            <w:tcBorders>
              <w:top w:val="single" w:color="000000" w:sz="4" w:space="0"/>
              <w:left w:val="single" w:color="000000" w:sz="4" w:space="0"/>
              <w:bottom w:val="single" w:color="000000" w:sz="4" w:space="0"/>
              <w:right w:val="single" w:color="000000" w:sz="4" w:space="0"/>
            </w:tcBorders>
            <w:vAlign w:val="center"/>
          </w:tcPr>
          <w:p w14:paraId="5EEA492B">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Acupuncture</w:t>
            </w:r>
          </w:p>
        </w:tc>
        <w:tc>
          <w:tcPr>
            <w:tcW w:w="1391" w:type="pct"/>
            <w:tcBorders>
              <w:top w:val="single" w:color="000000" w:sz="4" w:space="0"/>
              <w:left w:val="single" w:color="000000" w:sz="4" w:space="0"/>
              <w:bottom w:val="single" w:color="000000" w:sz="4" w:space="0"/>
              <w:right w:val="single" w:color="000000" w:sz="4" w:space="0"/>
            </w:tcBorders>
            <w:vAlign w:val="center"/>
          </w:tcPr>
          <w:p w14:paraId="37D4B3B3">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 standard care): standard oncology care for chemotherapy-induced peripheral neuropathy, consisting of usual medical management at the treating physician’s discretion (eg, analgesics, vitamin B12/B6 or other medications as needed), with no acupuncture or other complementary interventions during the study period (wait-list control).</w:t>
            </w:r>
          </w:p>
        </w:tc>
        <w:tc>
          <w:tcPr>
            <w:tcW w:w="384" w:type="pct"/>
            <w:tcBorders>
              <w:top w:val="single" w:color="000000" w:sz="4" w:space="0"/>
              <w:left w:val="single" w:color="000000" w:sz="4" w:space="0"/>
              <w:bottom w:val="single" w:color="000000" w:sz="4" w:space="0"/>
              <w:right w:val="single" w:color="000000" w:sz="4" w:space="0"/>
            </w:tcBorders>
            <w:vAlign w:val="center"/>
          </w:tcPr>
          <w:p w14:paraId="2B55A694">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8 weeks, 2 times a week</w:t>
            </w:r>
          </w:p>
        </w:tc>
        <w:tc>
          <w:tcPr>
            <w:tcW w:w="335" w:type="pct"/>
            <w:tcBorders>
              <w:top w:val="single" w:color="000000" w:sz="4" w:space="0"/>
              <w:left w:val="single" w:color="000000" w:sz="4" w:space="0"/>
              <w:bottom w:val="single" w:color="000000" w:sz="4" w:space="0"/>
              <w:right w:val="single" w:color="000000" w:sz="4" w:space="0"/>
            </w:tcBorders>
            <w:vAlign w:val="center"/>
          </w:tcPr>
          <w:p w14:paraId="4D575AEB">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General emotional state</w:t>
            </w:r>
          </w:p>
        </w:tc>
      </w:tr>
      <w:tr w14:paraId="3E2A02E8">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1D7FFA80">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Zhang et al. (2021)</w:t>
            </w:r>
          </w:p>
        </w:tc>
        <w:tc>
          <w:tcPr>
            <w:tcW w:w="451" w:type="pct"/>
            <w:tcBorders>
              <w:top w:val="single" w:color="000000" w:sz="4" w:space="0"/>
              <w:left w:val="single" w:color="000000" w:sz="4" w:space="0"/>
              <w:bottom w:val="single" w:color="000000" w:sz="4" w:space="0"/>
              <w:right w:val="single" w:color="000000" w:sz="4" w:space="0"/>
            </w:tcBorders>
            <w:vAlign w:val="center"/>
          </w:tcPr>
          <w:p w14:paraId="5762CF48">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Hong Kong</w:t>
            </w:r>
          </w:p>
        </w:tc>
        <w:tc>
          <w:tcPr>
            <w:tcW w:w="393" w:type="pct"/>
            <w:tcBorders>
              <w:top w:val="single" w:color="000000" w:sz="4" w:space="0"/>
              <w:left w:val="single" w:color="000000" w:sz="4" w:space="0"/>
              <w:bottom w:val="single" w:color="000000" w:sz="4" w:space="0"/>
              <w:right w:val="single" w:color="000000" w:sz="4" w:space="0"/>
            </w:tcBorders>
            <w:vAlign w:val="center"/>
          </w:tcPr>
          <w:p w14:paraId="12F31BF5">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30 (15/15)</w:t>
            </w:r>
          </w:p>
        </w:tc>
        <w:tc>
          <w:tcPr>
            <w:tcW w:w="393" w:type="pct"/>
            <w:tcBorders>
              <w:top w:val="single" w:color="000000" w:sz="4" w:space="0"/>
              <w:left w:val="single" w:color="000000" w:sz="4" w:space="0"/>
              <w:bottom w:val="single" w:color="000000" w:sz="4" w:space="0"/>
              <w:right w:val="single" w:color="000000" w:sz="4" w:space="0"/>
            </w:tcBorders>
            <w:vAlign w:val="center"/>
          </w:tcPr>
          <w:p w14:paraId="0393FB0C">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0/15 vs. 0/15</w:t>
            </w:r>
          </w:p>
        </w:tc>
        <w:tc>
          <w:tcPr>
            <w:tcW w:w="393" w:type="pct"/>
            <w:tcBorders>
              <w:top w:val="single" w:color="000000" w:sz="4" w:space="0"/>
              <w:left w:val="single" w:color="000000" w:sz="4" w:space="0"/>
              <w:bottom w:val="single" w:color="000000" w:sz="4" w:space="0"/>
              <w:right w:val="single" w:color="000000" w:sz="4" w:space="0"/>
            </w:tcBorders>
            <w:vAlign w:val="center"/>
          </w:tcPr>
          <w:p w14:paraId="76395E0F">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 xml:space="preserve"> 52.5 ± 8.9 vs. 52.7 ± 6.3</w:t>
            </w:r>
          </w:p>
        </w:tc>
        <w:tc>
          <w:tcPr>
            <w:tcW w:w="429" w:type="pct"/>
            <w:tcBorders>
              <w:top w:val="single" w:color="000000" w:sz="4" w:space="0"/>
              <w:left w:val="single" w:color="000000" w:sz="4" w:space="0"/>
              <w:bottom w:val="single" w:color="000000" w:sz="4" w:space="0"/>
              <w:right w:val="single" w:color="000000" w:sz="4" w:space="0"/>
            </w:tcBorders>
            <w:vAlign w:val="center"/>
          </w:tcPr>
          <w:p w14:paraId="6444D3EB">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Breast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1DBE8517">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Electroacupuncture + Auricular Acupressure</w:t>
            </w:r>
          </w:p>
        </w:tc>
        <w:tc>
          <w:tcPr>
            <w:tcW w:w="1391" w:type="pct"/>
            <w:tcBorders>
              <w:top w:val="single" w:color="000000" w:sz="4" w:space="0"/>
              <w:left w:val="single" w:color="000000" w:sz="4" w:space="0"/>
              <w:bottom w:val="single" w:color="000000" w:sz="4" w:space="0"/>
              <w:right w:val="single" w:color="000000" w:sz="4" w:space="0"/>
            </w:tcBorders>
            <w:vAlign w:val="center"/>
          </w:tcPr>
          <w:p w14:paraId="5E9A09F1">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 wait-list control): standard oncologic symptom management provided by treating oncologists (ie, usual care for chemotherapy-associated symptoms, including insomnia management as clinically indicated), with no acupuncture or auricular acupressure during the 6-week waiting period; participants continued routine medical care and received the acupuncture intervention after the waiting phase</w:t>
            </w:r>
          </w:p>
        </w:tc>
        <w:tc>
          <w:tcPr>
            <w:tcW w:w="384" w:type="pct"/>
            <w:tcBorders>
              <w:top w:val="single" w:color="000000" w:sz="4" w:space="0"/>
              <w:left w:val="single" w:color="000000" w:sz="4" w:space="0"/>
              <w:bottom w:val="single" w:color="000000" w:sz="4" w:space="0"/>
              <w:right w:val="single" w:color="000000" w:sz="4" w:space="0"/>
            </w:tcBorders>
            <w:vAlign w:val="center"/>
          </w:tcPr>
          <w:p w14:paraId="57EB554C">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6 weeks, 2 times per week, 12 times in total</w:t>
            </w:r>
          </w:p>
        </w:tc>
        <w:tc>
          <w:tcPr>
            <w:tcW w:w="335" w:type="pct"/>
            <w:tcBorders>
              <w:top w:val="single" w:color="000000" w:sz="4" w:space="0"/>
              <w:left w:val="single" w:color="000000" w:sz="4" w:space="0"/>
              <w:bottom w:val="single" w:color="000000" w:sz="4" w:space="0"/>
              <w:right w:val="single" w:color="000000" w:sz="4" w:space="0"/>
            </w:tcBorders>
            <w:vAlign w:val="center"/>
          </w:tcPr>
          <w:p w14:paraId="598A8CF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Sleep quality, Anxiety, Depression</w:t>
            </w:r>
          </w:p>
        </w:tc>
      </w:tr>
      <w:tr w14:paraId="25BCB9BE">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0A2B9251">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Zhuang et al. (2024)</w:t>
            </w:r>
          </w:p>
        </w:tc>
        <w:tc>
          <w:tcPr>
            <w:tcW w:w="451" w:type="pct"/>
            <w:tcBorders>
              <w:top w:val="single" w:color="000000" w:sz="4" w:space="0"/>
              <w:left w:val="single" w:color="000000" w:sz="4" w:space="0"/>
              <w:bottom w:val="single" w:color="000000" w:sz="4" w:space="0"/>
              <w:right w:val="single" w:color="000000" w:sz="4" w:space="0"/>
            </w:tcBorders>
            <w:vAlign w:val="center"/>
          </w:tcPr>
          <w:p w14:paraId="20105A97">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66A80FD2">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64 (33/31)</w:t>
            </w:r>
          </w:p>
        </w:tc>
        <w:tc>
          <w:tcPr>
            <w:tcW w:w="393" w:type="pct"/>
            <w:tcBorders>
              <w:top w:val="single" w:color="000000" w:sz="4" w:space="0"/>
              <w:left w:val="single" w:color="000000" w:sz="4" w:space="0"/>
              <w:bottom w:val="single" w:color="000000" w:sz="4" w:space="0"/>
              <w:right w:val="single" w:color="000000" w:sz="4" w:space="0"/>
            </w:tcBorders>
            <w:vAlign w:val="center"/>
          </w:tcPr>
          <w:p w14:paraId="1E88322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16/17 vs. 12/19</w:t>
            </w:r>
          </w:p>
        </w:tc>
        <w:tc>
          <w:tcPr>
            <w:tcW w:w="393" w:type="pct"/>
            <w:tcBorders>
              <w:top w:val="single" w:color="000000" w:sz="4" w:space="0"/>
              <w:left w:val="single" w:color="000000" w:sz="4" w:space="0"/>
              <w:bottom w:val="single" w:color="000000" w:sz="4" w:space="0"/>
              <w:right w:val="single" w:color="000000" w:sz="4" w:space="0"/>
            </w:tcBorders>
            <w:vAlign w:val="center"/>
          </w:tcPr>
          <w:p w14:paraId="61996BA0">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57.5 ± 9.8 vs. 55.5 ± 10.6</w:t>
            </w:r>
          </w:p>
        </w:tc>
        <w:tc>
          <w:tcPr>
            <w:tcW w:w="429" w:type="pct"/>
            <w:tcBorders>
              <w:top w:val="single" w:color="000000" w:sz="4" w:space="0"/>
              <w:left w:val="single" w:color="000000" w:sz="4" w:space="0"/>
              <w:bottom w:val="single" w:color="000000" w:sz="4" w:space="0"/>
              <w:right w:val="single" w:color="000000" w:sz="4" w:space="0"/>
            </w:tcBorders>
            <w:vAlign w:val="center"/>
          </w:tcPr>
          <w:p w14:paraId="21DCF0DB">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Various malignant tumors (such as breast cancer, lung cancer, stomach cancer, intestinal cancer, ovarian cancer, etc.)</w:t>
            </w:r>
          </w:p>
        </w:tc>
        <w:tc>
          <w:tcPr>
            <w:tcW w:w="499" w:type="pct"/>
            <w:tcBorders>
              <w:top w:val="single" w:color="000000" w:sz="4" w:space="0"/>
              <w:left w:val="single" w:color="000000" w:sz="4" w:space="0"/>
              <w:bottom w:val="single" w:color="000000" w:sz="4" w:space="0"/>
              <w:right w:val="single" w:color="000000" w:sz="4" w:space="0"/>
            </w:tcBorders>
            <w:vAlign w:val="center"/>
          </w:tcPr>
          <w:p w14:paraId="7E87E7C0">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Ginger moxibustion + acupuncture</w:t>
            </w:r>
          </w:p>
        </w:tc>
        <w:tc>
          <w:tcPr>
            <w:tcW w:w="1391" w:type="pct"/>
            <w:tcBorders>
              <w:top w:val="single" w:color="000000" w:sz="4" w:space="0"/>
              <w:left w:val="single" w:color="000000" w:sz="4" w:space="0"/>
              <w:bottom w:val="single" w:color="000000" w:sz="4" w:space="0"/>
              <w:right w:val="single" w:color="000000" w:sz="4" w:space="0"/>
            </w:tcBorders>
            <w:vAlign w:val="center"/>
          </w:tcPr>
          <w:p w14:paraId="7CD00AD1">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standard antiemetic care consisting of oral ondansetron hydrochloride 8 mg, administered three times daily for 3 consecutive days during chemotherapy, in accordance with routine clinical practice; no additional nonpharmacologic interventions were provided.</w:t>
            </w:r>
          </w:p>
        </w:tc>
        <w:tc>
          <w:tcPr>
            <w:tcW w:w="384" w:type="pct"/>
            <w:tcBorders>
              <w:top w:val="single" w:color="000000" w:sz="4" w:space="0"/>
              <w:left w:val="single" w:color="000000" w:sz="4" w:space="0"/>
              <w:bottom w:val="single" w:color="000000" w:sz="4" w:space="0"/>
              <w:right w:val="single" w:color="000000" w:sz="4" w:space="0"/>
            </w:tcBorders>
            <w:vAlign w:val="center"/>
          </w:tcPr>
          <w:p w14:paraId="1D26D39F">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3 days, during chemotherapy</w:t>
            </w:r>
          </w:p>
        </w:tc>
        <w:tc>
          <w:tcPr>
            <w:tcW w:w="335" w:type="pct"/>
            <w:tcBorders>
              <w:top w:val="single" w:color="000000" w:sz="4" w:space="0"/>
              <w:left w:val="single" w:color="000000" w:sz="4" w:space="0"/>
              <w:bottom w:val="single" w:color="000000" w:sz="4" w:space="0"/>
              <w:right w:val="single" w:color="000000" w:sz="4" w:space="0"/>
            </w:tcBorders>
            <w:vAlign w:val="center"/>
          </w:tcPr>
          <w:p w14:paraId="2EF1EF80">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w:t>
            </w:r>
          </w:p>
        </w:tc>
      </w:tr>
      <w:tr w14:paraId="7115DFBB">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53A1BFCE">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Xu et al. (2022)</w:t>
            </w:r>
          </w:p>
        </w:tc>
        <w:tc>
          <w:tcPr>
            <w:tcW w:w="451" w:type="pct"/>
            <w:tcBorders>
              <w:top w:val="single" w:color="000000" w:sz="4" w:space="0"/>
              <w:left w:val="single" w:color="000000" w:sz="4" w:space="0"/>
              <w:bottom w:val="single" w:color="000000" w:sz="4" w:space="0"/>
              <w:right w:val="single" w:color="000000" w:sz="4" w:space="0"/>
            </w:tcBorders>
            <w:vAlign w:val="center"/>
          </w:tcPr>
          <w:p w14:paraId="2692DC78">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 xml:space="preserve">China </w:t>
            </w:r>
          </w:p>
        </w:tc>
        <w:tc>
          <w:tcPr>
            <w:tcW w:w="393" w:type="pct"/>
            <w:tcBorders>
              <w:top w:val="single" w:color="000000" w:sz="4" w:space="0"/>
              <w:left w:val="single" w:color="000000" w:sz="4" w:space="0"/>
              <w:bottom w:val="single" w:color="000000" w:sz="4" w:space="0"/>
              <w:right w:val="single" w:color="000000" w:sz="4" w:space="0"/>
            </w:tcBorders>
            <w:vAlign w:val="center"/>
          </w:tcPr>
          <w:p w14:paraId="3D2881FD">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79 (40/39)</w:t>
            </w:r>
          </w:p>
        </w:tc>
        <w:tc>
          <w:tcPr>
            <w:tcW w:w="393" w:type="pct"/>
            <w:tcBorders>
              <w:top w:val="single" w:color="000000" w:sz="4" w:space="0"/>
              <w:left w:val="single" w:color="000000" w:sz="4" w:space="0"/>
              <w:bottom w:val="single" w:color="000000" w:sz="4" w:space="0"/>
              <w:right w:val="single" w:color="000000" w:sz="4" w:space="0"/>
            </w:tcBorders>
            <w:vAlign w:val="center"/>
          </w:tcPr>
          <w:p w14:paraId="21239436">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20/20 vs. 18/21</w:t>
            </w:r>
          </w:p>
        </w:tc>
        <w:tc>
          <w:tcPr>
            <w:tcW w:w="393" w:type="pct"/>
            <w:tcBorders>
              <w:top w:val="single" w:color="000000" w:sz="4" w:space="0"/>
              <w:left w:val="single" w:color="000000" w:sz="4" w:space="0"/>
              <w:bottom w:val="single" w:color="000000" w:sz="4" w:space="0"/>
              <w:right w:val="single" w:color="000000" w:sz="4" w:space="0"/>
            </w:tcBorders>
            <w:vAlign w:val="center"/>
          </w:tcPr>
          <w:p w14:paraId="4BDD38E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56.62 ± 8.36 vs. 56.25 ± 9.05</w:t>
            </w:r>
          </w:p>
        </w:tc>
        <w:tc>
          <w:tcPr>
            <w:tcW w:w="429" w:type="pct"/>
            <w:tcBorders>
              <w:top w:val="single" w:color="000000" w:sz="4" w:space="0"/>
              <w:left w:val="single" w:color="000000" w:sz="4" w:space="0"/>
              <w:bottom w:val="single" w:color="000000" w:sz="4" w:space="0"/>
              <w:right w:val="single" w:color="000000" w:sz="4" w:space="0"/>
            </w:tcBorders>
            <w:vAlign w:val="center"/>
          </w:tcPr>
          <w:p w14:paraId="33BA8851">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Non-small-cell lung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4B44EC05">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 xml:space="preserve"> Mild moxibustion</w:t>
            </w:r>
          </w:p>
        </w:tc>
        <w:tc>
          <w:tcPr>
            <w:tcW w:w="1391" w:type="pct"/>
            <w:tcBorders>
              <w:top w:val="single" w:color="000000" w:sz="4" w:space="0"/>
              <w:left w:val="single" w:color="000000" w:sz="4" w:space="0"/>
              <w:bottom w:val="single" w:color="000000" w:sz="4" w:space="0"/>
              <w:right w:val="single" w:color="000000" w:sz="4" w:space="0"/>
            </w:tcBorders>
            <w:vAlign w:val="center"/>
          </w:tcPr>
          <w:p w14:paraId="1CF1DDC6">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 xml:space="preserve">Control (routine care): standard oncology care consisting of guideline-based GP chemotherapy plus routine nursing care, including chemotherapy administration and monitoring, prophylactic antiemetic and gastric-protective medications as needed, hydration and renal protection, catheter care, dietary guidance, emotional support, exercise advice, and routine follow-up; no moxibustion intervention was provided. </w:t>
            </w:r>
          </w:p>
          <w:p w14:paraId="6DA2343E">
            <w:pPr>
              <w:textAlignment w:val="center"/>
              <w:rPr>
                <w:rFonts w:ascii="Times New Roman" w:hAnsi="Times New Roman" w:eastAsia="微软雅黑" w:cs="Times New Roman"/>
                <w:color w:val="auto"/>
                <w:sz w:val="16"/>
                <w:szCs w:val="16"/>
                <w:lang w:bidi="ar"/>
              </w:rPr>
            </w:pPr>
          </w:p>
        </w:tc>
        <w:tc>
          <w:tcPr>
            <w:tcW w:w="384" w:type="pct"/>
            <w:tcBorders>
              <w:top w:val="single" w:color="000000" w:sz="4" w:space="0"/>
              <w:left w:val="single" w:color="000000" w:sz="4" w:space="0"/>
              <w:bottom w:val="single" w:color="000000" w:sz="4" w:space="0"/>
              <w:right w:val="single" w:color="000000" w:sz="4" w:space="0"/>
            </w:tcBorders>
            <w:vAlign w:val="center"/>
          </w:tcPr>
          <w:p w14:paraId="2026EB70">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30 minutes a day for 12 days</w:t>
            </w:r>
          </w:p>
        </w:tc>
        <w:tc>
          <w:tcPr>
            <w:tcW w:w="335" w:type="pct"/>
            <w:tcBorders>
              <w:top w:val="single" w:color="000000" w:sz="4" w:space="0"/>
              <w:left w:val="single" w:color="000000" w:sz="4" w:space="0"/>
              <w:bottom w:val="single" w:color="000000" w:sz="4" w:space="0"/>
              <w:right w:val="single" w:color="000000" w:sz="4" w:space="0"/>
            </w:tcBorders>
            <w:vAlign w:val="center"/>
          </w:tcPr>
          <w:p w14:paraId="284E97F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Fatigue</w:t>
            </w:r>
          </w:p>
        </w:tc>
      </w:tr>
      <w:tr w14:paraId="331596FB">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46654E0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Billhult et al. (2007)</w:t>
            </w:r>
          </w:p>
        </w:tc>
        <w:tc>
          <w:tcPr>
            <w:tcW w:w="451" w:type="pct"/>
            <w:tcBorders>
              <w:top w:val="single" w:color="000000" w:sz="4" w:space="0"/>
              <w:left w:val="single" w:color="000000" w:sz="4" w:space="0"/>
              <w:bottom w:val="single" w:color="000000" w:sz="4" w:space="0"/>
              <w:right w:val="single" w:color="000000" w:sz="4" w:space="0"/>
            </w:tcBorders>
            <w:vAlign w:val="center"/>
          </w:tcPr>
          <w:p w14:paraId="46D6B0A5">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Sweden</w:t>
            </w:r>
          </w:p>
        </w:tc>
        <w:tc>
          <w:tcPr>
            <w:tcW w:w="393" w:type="pct"/>
            <w:tcBorders>
              <w:top w:val="single" w:color="000000" w:sz="4" w:space="0"/>
              <w:left w:val="single" w:color="000000" w:sz="4" w:space="0"/>
              <w:bottom w:val="single" w:color="000000" w:sz="4" w:space="0"/>
              <w:right w:val="single" w:color="000000" w:sz="4" w:space="0"/>
            </w:tcBorders>
            <w:vAlign w:val="center"/>
          </w:tcPr>
          <w:p w14:paraId="6E4BE36E">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39 (19/20)</w:t>
            </w:r>
          </w:p>
        </w:tc>
        <w:tc>
          <w:tcPr>
            <w:tcW w:w="393" w:type="pct"/>
            <w:tcBorders>
              <w:top w:val="single" w:color="000000" w:sz="4" w:space="0"/>
              <w:left w:val="single" w:color="000000" w:sz="4" w:space="0"/>
              <w:bottom w:val="single" w:color="000000" w:sz="4" w:space="0"/>
              <w:right w:val="single" w:color="000000" w:sz="4" w:space="0"/>
            </w:tcBorders>
            <w:vAlign w:val="center"/>
          </w:tcPr>
          <w:p w14:paraId="3EEAD039">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0/19 vs. 0/20</w:t>
            </w:r>
          </w:p>
        </w:tc>
        <w:tc>
          <w:tcPr>
            <w:tcW w:w="393" w:type="pct"/>
            <w:tcBorders>
              <w:top w:val="single" w:color="000000" w:sz="4" w:space="0"/>
              <w:left w:val="single" w:color="000000" w:sz="4" w:space="0"/>
              <w:bottom w:val="single" w:color="000000" w:sz="4" w:space="0"/>
              <w:right w:val="single" w:color="000000" w:sz="4" w:space="0"/>
            </w:tcBorders>
            <w:vAlign w:val="center"/>
          </w:tcPr>
          <w:p w14:paraId="6C8BFBE2">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50.5 ± 10.1 vs. 53.1 ± 8.4</w:t>
            </w:r>
          </w:p>
        </w:tc>
        <w:tc>
          <w:tcPr>
            <w:tcW w:w="429" w:type="pct"/>
            <w:tcBorders>
              <w:top w:val="single" w:color="000000" w:sz="4" w:space="0"/>
              <w:left w:val="single" w:color="000000" w:sz="4" w:space="0"/>
              <w:bottom w:val="single" w:color="000000" w:sz="4" w:space="0"/>
              <w:right w:val="single" w:color="000000" w:sz="4" w:space="0"/>
            </w:tcBorders>
            <w:vAlign w:val="center"/>
          </w:tcPr>
          <w:p w14:paraId="622DA3EF">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Breast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7B277C3C">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Effleurage massage</w:t>
            </w:r>
          </w:p>
        </w:tc>
        <w:tc>
          <w:tcPr>
            <w:tcW w:w="1391" w:type="pct"/>
            <w:tcBorders>
              <w:top w:val="single" w:color="000000" w:sz="4" w:space="0"/>
              <w:left w:val="single" w:color="000000" w:sz="4" w:space="0"/>
              <w:bottom w:val="single" w:color="000000" w:sz="4" w:space="0"/>
              <w:right w:val="single" w:color="000000" w:sz="4" w:space="0"/>
            </w:tcBorders>
            <w:vAlign w:val="center"/>
          </w:tcPr>
          <w:p w14:paraId="1F744D8F">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standard oncology care during chemotherapy, including routine clinical monitoring and guideline-based antiemetic prophylaxis (5-HT3 receptor antagonist tropisetron plus corticosteroid), with five 20-min staff visits consisting of unstructured conversation and no massage or additional nonpharmacologic intervention.</w:t>
            </w:r>
          </w:p>
        </w:tc>
        <w:tc>
          <w:tcPr>
            <w:tcW w:w="384" w:type="pct"/>
            <w:tcBorders>
              <w:top w:val="single" w:color="000000" w:sz="4" w:space="0"/>
              <w:left w:val="single" w:color="000000" w:sz="4" w:space="0"/>
              <w:bottom w:val="single" w:color="000000" w:sz="4" w:space="0"/>
              <w:right w:val="single" w:color="000000" w:sz="4" w:space="0"/>
            </w:tcBorders>
            <w:vAlign w:val="center"/>
          </w:tcPr>
          <w:p w14:paraId="247F6141">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 xml:space="preserve"> 5 sessions during chemotherapy sessions 3–7</w:t>
            </w:r>
          </w:p>
        </w:tc>
        <w:tc>
          <w:tcPr>
            <w:tcW w:w="335" w:type="pct"/>
            <w:tcBorders>
              <w:top w:val="single" w:color="000000" w:sz="4" w:space="0"/>
              <w:left w:val="single" w:color="000000" w:sz="4" w:space="0"/>
              <w:bottom w:val="single" w:color="000000" w:sz="4" w:space="0"/>
              <w:right w:val="single" w:color="000000" w:sz="4" w:space="0"/>
            </w:tcBorders>
            <w:vAlign w:val="center"/>
          </w:tcPr>
          <w:p w14:paraId="773B8D9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Anxiety, Depression</w:t>
            </w:r>
          </w:p>
        </w:tc>
      </w:tr>
      <w:tr w14:paraId="0295BDCA">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09BADA77">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Chuang et al. (2017)</w:t>
            </w:r>
          </w:p>
        </w:tc>
        <w:tc>
          <w:tcPr>
            <w:tcW w:w="451" w:type="pct"/>
            <w:tcBorders>
              <w:top w:val="single" w:color="000000" w:sz="4" w:space="0"/>
              <w:left w:val="single" w:color="000000" w:sz="4" w:space="0"/>
              <w:bottom w:val="single" w:color="000000" w:sz="4" w:space="0"/>
              <w:right w:val="single" w:color="000000" w:sz="4" w:space="0"/>
            </w:tcBorders>
            <w:vAlign w:val="center"/>
          </w:tcPr>
          <w:p w14:paraId="2062343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Taiwan</w:t>
            </w:r>
          </w:p>
        </w:tc>
        <w:tc>
          <w:tcPr>
            <w:tcW w:w="393" w:type="pct"/>
            <w:tcBorders>
              <w:top w:val="single" w:color="000000" w:sz="4" w:space="0"/>
              <w:left w:val="single" w:color="000000" w:sz="4" w:space="0"/>
              <w:bottom w:val="single" w:color="000000" w:sz="4" w:space="0"/>
              <w:right w:val="single" w:color="000000" w:sz="4" w:space="0"/>
            </w:tcBorders>
            <w:vAlign w:val="center"/>
          </w:tcPr>
          <w:p w14:paraId="7EFE60F9">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96 (48/48)</w:t>
            </w:r>
          </w:p>
        </w:tc>
        <w:tc>
          <w:tcPr>
            <w:tcW w:w="393" w:type="pct"/>
            <w:tcBorders>
              <w:top w:val="single" w:color="000000" w:sz="4" w:space="0"/>
              <w:left w:val="single" w:color="000000" w:sz="4" w:space="0"/>
              <w:bottom w:val="single" w:color="000000" w:sz="4" w:space="0"/>
              <w:right w:val="single" w:color="000000" w:sz="4" w:space="0"/>
            </w:tcBorders>
            <w:vAlign w:val="center"/>
          </w:tcPr>
          <w:p w14:paraId="33E2A554">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26/22 vs. 29/19</w:t>
            </w:r>
          </w:p>
        </w:tc>
        <w:tc>
          <w:tcPr>
            <w:tcW w:w="393" w:type="pct"/>
            <w:tcBorders>
              <w:top w:val="single" w:color="000000" w:sz="4" w:space="0"/>
              <w:left w:val="single" w:color="000000" w:sz="4" w:space="0"/>
              <w:bottom w:val="single" w:color="000000" w:sz="4" w:space="0"/>
              <w:right w:val="single" w:color="000000" w:sz="4" w:space="0"/>
            </w:tcBorders>
            <w:vAlign w:val="center"/>
          </w:tcPr>
          <w:p w14:paraId="2584D4F1">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55.85 ± 16.78 vs. 64.54 ± 15.51</w:t>
            </w:r>
          </w:p>
        </w:tc>
        <w:tc>
          <w:tcPr>
            <w:tcW w:w="429" w:type="pct"/>
            <w:tcBorders>
              <w:top w:val="single" w:color="000000" w:sz="4" w:space="0"/>
              <w:left w:val="single" w:color="000000" w:sz="4" w:space="0"/>
              <w:bottom w:val="single" w:color="000000" w:sz="4" w:space="0"/>
              <w:right w:val="single" w:color="000000" w:sz="4" w:space="0"/>
            </w:tcBorders>
            <w:vAlign w:val="center"/>
          </w:tcPr>
          <w:p w14:paraId="6A9FC583">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Non-Hodgkin lymphoma</w:t>
            </w:r>
          </w:p>
        </w:tc>
        <w:tc>
          <w:tcPr>
            <w:tcW w:w="499" w:type="pct"/>
            <w:tcBorders>
              <w:top w:val="single" w:color="000000" w:sz="4" w:space="0"/>
              <w:left w:val="single" w:color="000000" w:sz="4" w:space="0"/>
              <w:bottom w:val="single" w:color="000000" w:sz="4" w:space="0"/>
              <w:right w:val="single" w:color="000000" w:sz="4" w:space="0"/>
            </w:tcBorders>
            <w:vAlign w:val="center"/>
          </w:tcPr>
          <w:p w14:paraId="7030F4DD">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Chan-Chuang Qigong</w:t>
            </w:r>
          </w:p>
        </w:tc>
        <w:tc>
          <w:tcPr>
            <w:tcW w:w="1391" w:type="pct"/>
            <w:tcBorders>
              <w:top w:val="single" w:color="000000" w:sz="4" w:space="0"/>
              <w:left w:val="single" w:color="000000" w:sz="4" w:space="0"/>
              <w:bottom w:val="single" w:color="000000" w:sz="4" w:space="0"/>
              <w:right w:val="single" w:color="000000" w:sz="4" w:space="0"/>
            </w:tcBorders>
            <w:vAlign w:val="center"/>
          </w:tcPr>
          <w:p w14:paraId="574E8D9A">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conventional care during chemotherapy, consisting of usual medical and nursing care per institutional practice, including standard chemotherapy administration and symptom management, with provision of a nursing guidance booklet on chemotherapy-related side effects (eg, nausea, vomiting, fatigue); no qigong or structured exercise intervention was provided.</w:t>
            </w:r>
          </w:p>
        </w:tc>
        <w:tc>
          <w:tcPr>
            <w:tcW w:w="384" w:type="pct"/>
            <w:tcBorders>
              <w:top w:val="single" w:color="000000" w:sz="4" w:space="0"/>
              <w:left w:val="single" w:color="000000" w:sz="4" w:space="0"/>
              <w:bottom w:val="single" w:color="000000" w:sz="4" w:space="0"/>
              <w:right w:val="single" w:color="000000" w:sz="4" w:space="0"/>
            </w:tcBorders>
            <w:vAlign w:val="center"/>
          </w:tcPr>
          <w:p w14:paraId="0A588036">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2-3 times a day for 21 days</w:t>
            </w:r>
          </w:p>
        </w:tc>
        <w:tc>
          <w:tcPr>
            <w:tcW w:w="335" w:type="pct"/>
            <w:tcBorders>
              <w:top w:val="single" w:color="000000" w:sz="4" w:space="0"/>
              <w:left w:val="single" w:color="000000" w:sz="4" w:space="0"/>
              <w:bottom w:val="single" w:color="000000" w:sz="4" w:space="0"/>
              <w:right w:val="single" w:color="000000" w:sz="4" w:space="0"/>
            </w:tcBorders>
            <w:vAlign w:val="center"/>
          </w:tcPr>
          <w:p w14:paraId="6B6AE0FD">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Sleep quality, Fatigue</w:t>
            </w:r>
          </w:p>
        </w:tc>
      </w:tr>
      <w:tr w14:paraId="7F6C2610">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6153DE7B">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Ding et al. (2020)</w:t>
            </w:r>
          </w:p>
        </w:tc>
        <w:tc>
          <w:tcPr>
            <w:tcW w:w="451" w:type="pct"/>
            <w:tcBorders>
              <w:top w:val="single" w:color="000000" w:sz="4" w:space="0"/>
              <w:left w:val="single" w:color="000000" w:sz="4" w:space="0"/>
              <w:bottom w:val="single" w:color="000000" w:sz="4" w:space="0"/>
              <w:right w:val="single" w:color="000000" w:sz="4" w:space="0"/>
            </w:tcBorders>
            <w:vAlign w:val="center"/>
          </w:tcPr>
          <w:p w14:paraId="4BA18E58">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61106C57">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98（49/49）</w:t>
            </w:r>
          </w:p>
        </w:tc>
        <w:tc>
          <w:tcPr>
            <w:tcW w:w="393" w:type="pct"/>
            <w:tcBorders>
              <w:top w:val="single" w:color="000000" w:sz="4" w:space="0"/>
              <w:left w:val="single" w:color="000000" w:sz="4" w:space="0"/>
              <w:bottom w:val="single" w:color="000000" w:sz="4" w:space="0"/>
              <w:right w:val="single" w:color="000000" w:sz="4" w:space="0"/>
            </w:tcBorders>
            <w:vAlign w:val="center"/>
          </w:tcPr>
          <w:p w14:paraId="7A653339">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21/28 vs. 24/25</w:t>
            </w:r>
          </w:p>
        </w:tc>
        <w:tc>
          <w:tcPr>
            <w:tcW w:w="393" w:type="pct"/>
            <w:tcBorders>
              <w:top w:val="single" w:color="000000" w:sz="4" w:space="0"/>
              <w:left w:val="single" w:color="000000" w:sz="4" w:space="0"/>
              <w:bottom w:val="single" w:color="000000" w:sz="4" w:space="0"/>
              <w:right w:val="single" w:color="000000" w:sz="4" w:space="0"/>
            </w:tcBorders>
            <w:vAlign w:val="center"/>
          </w:tcPr>
          <w:p w14:paraId="40BED0AF">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53.20 ± 6.80 / 50.80 ± 7.60</w:t>
            </w:r>
          </w:p>
        </w:tc>
        <w:tc>
          <w:tcPr>
            <w:tcW w:w="429" w:type="pct"/>
            <w:tcBorders>
              <w:top w:val="single" w:color="000000" w:sz="4" w:space="0"/>
              <w:left w:val="single" w:color="000000" w:sz="4" w:space="0"/>
              <w:bottom w:val="single" w:color="000000" w:sz="4" w:space="0"/>
              <w:right w:val="single" w:color="000000" w:sz="4" w:space="0"/>
            </w:tcBorders>
            <w:vAlign w:val="center"/>
          </w:tcPr>
          <w:p w14:paraId="56139EAD">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Malignant tumors receiving long-term chemotherapy with PICC</w:t>
            </w:r>
          </w:p>
        </w:tc>
        <w:tc>
          <w:tcPr>
            <w:tcW w:w="499" w:type="pct"/>
            <w:tcBorders>
              <w:top w:val="single" w:color="000000" w:sz="4" w:space="0"/>
              <w:left w:val="single" w:color="000000" w:sz="4" w:space="0"/>
              <w:bottom w:val="single" w:color="000000" w:sz="4" w:space="0"/>
              <w:right w:val="single" w:color="000000" w:sz="4" w:space="0"/>
            </w:tcBorders>
            <w:vAlign w:val="center"/>
          </w:tcPr>
          <w:p w14:paraId="4D7A2C9A">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24-posture simplified Tai Chi</w:t>
            </w:r>
          </w:p>
        </w:tc>
        <w:tc>
          <w:tcPr>
            <w:tcW w:w="1391" w:type="pct"/>
            <w:tcBorders>
              <w:top w:val="single" w:color="000000" w:sz="4" w:space="0"/>
              <w:left w:val="single" w:color="000000" w:sz="4" w:space="0"/>
              <w:bottom w:val="single" w:color="000000" w:sz="4" w:space="0"/>
              <w:right w:val="single" w:color="000000" w:sz="4" w:space="0"/>
            </w:tcBorders>
            <w:vAlign w:val="center"/>
          </w:tcPr>
          <w:p w14:paraId="6BDA0806">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standard PICC home-care education provided pre-discharge by specialized PICC nurses (catheter function demonstration, PICC maintenance manual, precautions and importance of catheter care), followed by a 3-month home-based handgrip (grip-ball) exercise program (10-s squeeze/10-s rest repeated ×20 per set; one set each morning/noon/evening) with instruction before discharge and regular follow-up/monitoring; no tai chi was provided.</w:t>
            </w:r>
          </w:p>
        </w:tc>
        <w:tc>
          <w:tcPr>
            <w:tcW w:w="384" w:type="pct"/>
            <w:tcBorders>
              <w:top w:val="single" w:color="000000" w:sz="4" w:space="0"/>
              <w:left w:val="single" w:color="000000" w:sz="4" w:space="0"/>
              <w:bottom w:val="single" w:color="000000" w:sz="4" w:space="0"/>
              <w:right w:val="single" w:color="000000" w:sz="4" w:space="0"/>
            </w:tcBorders>
            <w:vAlign w:val="center"/>
          </w:tcPr>
          <w:p w14:paraId="79D91280">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Exercise ≥ 5 times a week, about 60 minutes each time, for 3 months</w:t>
            </w:r>
          </w:p>
        </w:tc>
        <w:tc>
          <w:tcPr>
            <w:tcW w:w="335" w:type="pct"/>
            <w:tcBorders>
              <w:top w:val="single" w:color="000000" w:sz="4" w:space="0"/>
              <w:left w:val="single" w:color="000000" w:sz="4" w:space="0"/>
              <w:bottom w:val="single" w:color="000000" w:sz="4" w:space="0"/>
              <w:right w:val="single" w:color="000000" w:sz="4" w:space="0"/>
            </w:tcBorders>
            <w:vAlign w:val="center"/>
          </w:tcPr>
          <w:p w14:paraId="43C4F125">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General emotional state</w:t>
            </w:r>
          </w:p>
        </w:tc>
      </w:tr>
      <w:tr w14:paraId="5D30F376">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619297A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Wen et al. (2023)</w:t>
            </w:r>
          </w:p>
        </w:tc>
        <w:tc>
          <w:tcPr>
            <w:tcW w:w="451" w:type="pct"/>
            <w:tcBorders>
              <w:top w:val="single" w:color="000000" w:sz="4" w:space="0"/>
              <w:left w:val="single" w:color="000000" w:sz="4" w:space="0"/>
              <w:bottom w:val="single" w:color="000000" w:sz="4" w:space="0"/>
              <w:right w:val="single" w:color="000000" w:sz="4" w:space="0"/>
            </w:tcBorders>
            <w:vAlign w:val="center"/>
          </w:tcPr>
          <w:p w14:paraId="628CD264">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049E1836">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88 (44/44)</w:t>
            </w:r>
          </w:p>
        </w:tc>
        <w:tc>
          <w:tcPr>
            <w:tcW w:w="393" w:type="pct"/>
            <w:tcBorders>
              <w:top w:val="single" w:color="000000" w:sz="4" w:space="0"/>
              <w:left w:val="single" w:color="000000" w:sz="4" w:space="0"/>
              <w:bottom w:val="single" w:color="000000" w:sz="4" w:space="0"/>
              <w:right w:val="single" w:color="000000" w:sz="4" w:space="0"/>
            </w:tcBorders>
            <w:vAlign w:val="center"/>
          </w:tcPr>
          <w:p w14:paraId="2D59A51E">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34/10 vs. 33/11</w:t>
            </w:r>
          </w:p>
        </w:tc>
        <w:tc>
          <w:tcPr>
            <w:tcW w:w="393" w:type="pct"/>
            <w:tcBorders>
              <w:top w:val="single" w:color="000000" w:sz="4" w:space="0"/>
              <w:left w:val="single" w:color="000000" w:sz="4" w:space="0"/>
              <w:bottom w:val="single" w:color="000000" w:sz="4" w:space="0"/>
              <w:right w:val="single" w:color="000000" w:sz="4" w:space="0"/>
            </w:tcBorders>
            <w:vAlign w:val="center"/>
          </w:tcPr>
          <w:p w14:paraId="6E4143DF">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45.55 ± 8.99 / 47.07 ± 9.43</w:t>
            </w:r>
          </w:p>
        </w:tc>
        <w:tc>
          <w:tcPr>
            <w:tcW w:w="429" w:type="pct"/>
            <w:tcBorders>
              <w:top w:val="single" w:color="000000" w:sz="4" w:space="0"/>
              <w:left w:val="single" w:color="000000" w:sz="4" w:space="0"/>
              <w:bottom w:val="single" w:color="000000" w:sz="4" w:space="0"/>
              <w:right w:val="single" w:color="000000" w:sz="4" w:space="0"/>
            </w:tcBorders>
            <w:vAlign w:val="center"/>
          </w:tcPr>
          <w:p w14:paraId="326ED013">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Nasopharyngeal carcinoma</w:t>
            </w:r>
          </w:p>
        </w:tc>
        <w:tc>
          <w:tcPr>
            <w:tcW w:w="499" w:type="pct"/>
            <w:tcBorders>
              <w:top w:val="single" w:color="000000" w:sz="4" w:space="0"/>
              <w:left w:val="single" w:color="000000" w:sz="4" w:space="0"/>
              <w:bottom w:val="single" w:color="000000" w:sz="4" w:space="0"/>
              <w:right w:val="single" w:color="000000" w:sz="4" w:space="0"/>
            </w:tcBorders>
            <w:vAlign w:val="center"/>
          </w:tcPr>
          <w:p w14:paraId="61E722C6">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 xml:space="preserve"> Baduanjin Qigong</w:t>
            </w:r>
          </w:p>
        </w:tc>
        <w:tc>
          <w:tcPr>
            <w:tcW w:w="1391" w:type="pct"/>
            <w:tcBorders>
              <w:top w:val="single" w:color="000000" w:sz="4" w:space="0"/>
              <w:left w:val="single" w:color="000000" w:sz="4" w:space="0"/>
              <w:bottom w:val="single" w:color="000000" w:sz="4" w:space="0"/>
              <w:right w:val="single" w:color="000000" w:sz="4" w:space="0"/>
            </w:tcBorders>
            <w:vAlign w:val="center"/>
          </w:tcPr>
          <w:p w14:paraId="745C8192">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care/usual care): conventional post-chemoradiotherapy care, including routine health education, clinical condition monitoring, and psychological care; upon discharge, patients received standard oncologist-led instructions on diet, exercise/rehabilitation exercise, and follow-up/review. Participants were advised to maintain usual lifestyle/physical activity (with exercise at a tolerable intensity) and received no Baduanjin intervention during the 12-week study period.</w:t>
            </w:r>
          </w:p>
        </w:tc>
        <w:tc>
          <w:tcPr>
            <w:tcW w:w="384" w:type="pct"/>
            <w:tcBorders>
              <w:top w:val="single" w:color="000000" w:sz="4" w:space="0"/>
              <w:left w:val="single" w:color="000000" w:sz="4" w:space="0"/>
              <w:bottom w:val="single" w:color="000000" w:sz="4" w:space="0"/>
              <w:right w:val="single" w:color="000000" w:sz="4" w:space="0"/>
            </w:tcBorders>
            <w:vAlign w:val="center"/>
          </w:tcPr>
          <w:p w14:paraId="2CFE6959">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12 weeks, 5 days a week, 40 minutes per session</w:t>
            </w:r>
          </w:p>
        </w:tc>
        <w:tc>
          <w:tcPr>
            <w:tcW w:w="335" w:type="pct"/>
            <w:tcBorders>
              <w:top w:val="single" w:color="000000" w:sz="4" w:space="0"/>
              <w:left w:val="single" w:color="000000" w:sz="4" w:space="0"/>
              <w:bottom w:val="single" w:color="000000" w:sz="4" w:space="0"/>
              <w:right w:val="single" w:color="000000" w:sz="4" w:space="0"/>
            </w:tcBorders>
            <w:vAlign w:val="center"/>
          </w:tcPr>
          <w:p w14:paraId="082640F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Sleep quality, General emotional state, Anxiety, Depression, Fatigue</w:t>
            </w:r>
          </w:p>
        </w:tc>
      </w:tr>
      <w:tr w14:paraId="7B3E4E05">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03ECF6C7">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Li et al. (2021)</w:t>
            </w:r>
          </w:p>
        </w:tc>
        <w:tc>
          <w:tcPr>
            <w:tcW w:w="451" w:type="pct"/>
            <w:tcBorders>
              <w:top w:val="single" w:color="000000" w:sz="4" w:space="0"/>
              <w:left w:val="single" w:color="000000" w:sz="4" w:space="0"/>
              <w:bottom w:val="single" w:color="000000" w:sz="4" w:space="0"/>
              <w:right w:val="single" w:color="000000" w:sz="4" w:space="0"/>
            </w:tcBorders>
            <w:vAlign w:val="center"/>
          </w:tcPr>
          <w:p w14:paraId="260EE31D">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513D4919">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70 (35/35)</w:t>
            </w:r>
          </w:p>
        </w:tc>
        <w:tc>
          <w:tcPr>
            <w:tcW w:w="393" w:type="pct"/>
            <w:tcBorders>
              <w:top w:val="single" w:color="000000" w:sz="4" w:space="0"/>
              <w:left w:val="single" w:color="000000" w:sz="4" w:space="0"/>
              <w:bottom w:val="single" w:color="000000" w:sz="4" w:space="0"/>
              <w:right w:val="single" w:color="000000" w:sz="4" w:space="0"/>
            </w:tcBorders>
            <w:vAlign w:val="center"/>
          </w:tcPr>
          <w:p w14:paraId="14A8ED01">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0/35 vs. 0/35</w:t>
            </w:r>
          </w:p>
        </w:tc>
        <w:tc>
          <w:tcPr>
            <w:tcW w:w="393" w:type="pct"/>
            <w:tcBorders>
              <w:top w:val="single" w:color="000000" w:sz="4" w:space="0"/>
              <w:left w:val="single" w:color="000000" w:sz="4" w:space="0"/>
              <w:bottom w:val="single" w:color="000000" w:sz="4" w:space="0"/>
              <w:right w:val="single" w:color="000000" w:sz="4" w:space="0"/>
            </w:tcBorders>
            <w:vAlign w:val="center"/>
          </w:tcPr>
          <w:p w14:paraId="44F8697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48.46 ± 8.66 / 49.77 ± 8.17</w:t>
            </w:r>
          </w:p>
        </w:tc>
        <w:tc>
          <w:tcPr>
            <w:tcW w:w="429" w:type="pct"/>
            <w:tcBorders>
              <w:top w:val="single" w:color="000000" w:sz="4" w:space="0"/>
              <w:left w:val="single" w:color="000000" w:sz="4" w:space="0"/>
              <w:bottom w:val="single" w:color="000000" w:sz="4" w:space="0"/>
              <w:right w:val="single" w:color="000000" w:sz="4" w:space="0"/>
            </w:tcBorders>
            <w:vAlign w:val="center"/>
          </w:tcPr>
          <w:p w14:paraId="5DA910FC">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Breast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4888FC4B">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 xml:space="preserve"> Baduanjin Qigong</w:t>
            </w:r>
          </w:p>
        </w:tc>
        <w:tc>
          <w:tcPr>
            <w:tcW w:w="1391" w:type="pct"/>
            <w:tcBorders>
              <w:top w:val="single" w:color="000000" w:sz="4" w:space="0"/>
              <w:left w:val="single" w:color="000000" w:sz="4" w:space="0"/>
              <w:bottom w:val="single" w:color="000000" w:sz="4" w:space="0"/>
              <w:right w:val="single" w:color="000000" w:sz="4" w:space="0"/>
            </w:tcBorders>
            <w:vAlign w:val="center"/>
          </w:tcPr>
          <w:p w14:paraId="64AECE61">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care/usual care): Standard health education/usual lifestyle advice delivered via a brochure-based, face-to-face counseling session; participants were instructed to maintain their usual healthy lifestyle, with disease-related queries addressed ad hoc by study staff via WeChat or in-person/oral communication.</w:t>
            </w:r>
          </w:p>
        </w:tc>
        <w:tc>
          <w:tcPr>
            <w:tcW w:w="384" w:type="pct"/>
            <w:tcBorders>
              <w:top w:val="single" w:color="000000" w:sz="4" w:space="0"/>
              <w:left w:val="single" w:color="000000" w:sz="4" w:space="0"/>
              <w:bottom w:val="single" w:color="000000" w:sz="4" w:space="0"/>
              <w:right w:val="single" w:color="000000" w:sz="4" w:space="0"/>
            </w:tcBorders>
            <w:vAlign w:val="center"/>
          </w:tcPr>
          <w:p w14:paraId="4E15F5FC">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12 weeks, 5 days a week, 45 minutes per session</w:t>
            </w:r>
          </w:p>
        </w:tc>
        <w:tc>
          <w:tcPr>
            <w:tcW w:w="335" w:type="pct"/>
            <w:tcBorders>
              <w:top w:val="single" w:color="000000" w:sz="4" w:space="0"/>
              <w:left w:val="single" w:color="000000" w:sz="4" w:space="0"/>
              <w:bottom w:val="single" w:color="000000" w:sz="4" w:space="0"/>
              <w:right w:val="single" w:color="000000" w:sz="4" w:space="0"/>
            </w:tcBorders>
            <w:vAlign w:val="center"/>
          </w:tcPr>
          <w:p w14:paraId="19240826">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Sleep quality, Anxiety, Depression, Fatigue</w:t>
            </w:r>
          </w:p>
        </w:tc>
      </w:tr>
      <w:tr w14:paraId="002D01A5">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69A6B124">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Zhang et al. (2022)</w:t>
            </w:r>
          </w:p>
        </w:tc>
        <w:tc>
          <w:tcPr>
            <w:tcW w:w="451" w:type="pct"/>
            <w:tcBorders>
              <w:top w:val="single" w:color="000000" w:sz="4" w:space="0"/>
              <w:left w:val="single" w:color="000000" w:sz="4" w:space="0"/>
              <w:bottom w:val="single" w:color="000000" w:sz="4" w:space="0"/>
              <w:right w:val="single" w:color="000000" w:sz="4" w:space="0"/>
            </w:tcBorders>
            <w:vAlign w:val="center"/>
          </w:tcPr>
          <w:p w14:paraId="2CE2816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197BF52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60 (30/30)</w:t>
            </w:r>
          </w:p>
        </w:tc>
        <w:tc>
          <w:tcPr>
            <w:tcW w:w="393" w:type="pct"/>
            <w:tcBorders>
              <w:top w:val="single" w:color="000000" w:sz="4" w:space="0"/>
              <w:left w:val="single" w:color="000000" w:sz="4" w:space="0"/>
              <w:bottom w:val="single" w:color="000000" w:sz="4" w:space="0"/>
              <w:right w:val="single" w:color="000000" w:sz="4" w:space="0"/>
            </w:tcBorders>
            <w:vAlign w:val="center"/>
          </w:tcPr>
          <w:p w14:paraId="6C896A84">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NA</w:t>
            </w:r>
          </w:p>
        </w:tc>
        <w:tc>
          <w:tcPr>
            <w:tcW w:w="393" w:type="pct"/>
            <w:tcBorders>
              <w:top w:val="single" w:color="000000" w:sz="4" w:space="0"/>
              <w:left w:val="single" w:color="000000" w:sz="4" w:space="0"/>
              <w:bottom w:val="single" w:color="000000" w:sz="4" w:space="0"/>
              <w:right w:val="single" w:color="000000" w:sz="4" w:space="0"/>
            </w:tcBorders>
            <w:vAlign w:val="center"/>
          </w:tcPr>
          <w:p w14:paraId="648B5594">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NA</w:t>
            </w:r>
          </w:p>
        </w:tc>
        <w:tc>
          <w:tcPr>
            <w:tcW w:w="429" w:type="pct"/>
            <w:tcBorders>
              <w:top w:val="single" w:color="000000" w:sz="4" w:space="0"/>
              <w:left w:val="single" w:color="000000" w:sz="4" w:space="0"/>
              <w:bottom w:val="single" w:color="000000" w:sz="4" w:space="0"/>
              <w:right w:val="single" w:color="000000" w:sz="4" w:space="0"/>
            </w:tcBorders>
            <w:vAlign w:val="center"/>
          </w:tcPr>
          <w:p w14:paraId="2ED67CEA">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Breast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39968B27">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Acupuncture and Moxibustion</w:t>
            </w:r>
          </w:p>
        </w:tc>
        <w:tc>
          <w:tcPr>
            <w:tcW w:w="1391" w:type="pct"/>
            <w:tcBorders>
              <w:top w:val="single" w:color="000000" w:sz="4" w:space="0"/>
              <w:left w:val="single" w:color="000000" w:sz="4" w:space="0"/>
              <w:bottom w:val="single" w:color="000000" w:sz="4" w:space="0"/>
              <w:right w:val="single" w:color="000000" w:sz="4" w:space="0"/>
            </w:tcBorders>
            <w:vAlign w:val="center"/>
          </w:tcPr>
          <w:p w14:paraId="50F32EAF">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standard chemotherapy (adriamycin + cisplatin) with routine prophylactic antiemetic therapy, specifically IV tropisetron hydrochloride administered 1 h before chemotherapy, for 5 days; no ginger-partitioned moxibustion was provided.</w:t>
            </w:r>
          </w:p>
        </w:tc>
        <w:tc>
          <w:tcPr>
            <w:tcW w:w="384" w:type="pct"/>
            <w:tcBorders>
              <w:top w:val="single" w:color="000000" w:sz="4" w:space="0"/>
              <w:left w:val="single" w:color="000000" w:sz="4" w:space="0"/>
              <w:bottom w:val="single" w:color="000000" w:sz="4" w:space="0"/>
              <w:right w:val="single" w:color="000000" w:sz="4" w:space="0"/>
            </w:tcBorders>
            <w:vAlign w:val="center"/>
          </w:tcPr>
          <w:p w14:paraId="05316A25">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Twice a week for 3 chemotherapy cycles (21 days per cycle)</w:t>
            </w:r>
          </w:p>
        </w:tc>
        <w:tc>
          <w:tcPr>
            <w:tcW w:w="335" w:type="pct"/>
            <w:tcBorders>
              <w:top w:val="single" w:color="000000" w:sz="4" w:space="0"/>
              <w:left w:val="single" w:color="000000" w:sz="4" w:space="0"/>
              <w:bottom w:val="single" w:color="000000" w:sz="4" w:space="0"/>
              <w:right w:val="single" w:color="000000" w:sz="4" w:space="0"/>
            </w:tcBorders>
            <w:vAlign w:val="center"/>
          </w:tcPr>
          <w:p w14:paraId="01789556">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Anxiety</w:t>
            </w:r>
          </w:p>
        </w:tc>
      </w:tr>
      <w:tr w14:paraId="0F718D72">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6028B509">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Huang et al. (2015)</w:t>
            </w:r>
          </w:p>
        </w:tc>
        <w:tc>
          <w:tcPr>
            <w:tcW w:w="451" w:type="pct"/>
            <w:tcBorders>
              <w:top w:val="single" w:color="000000" w:sz="4" w:space="0"/>
              <w:left w:val="single" w:color="000000" w:sz="4" w:space="0"/>
              <w:bottom w:val="single" w:color="000000" w:sz="4" w:space="0"/>
              <w:right w:val="single" w:color="000000" w:sz="4" w:space="0"/>
            </w:tcBorders>
            <w:vAlign w:val="center"/>
          </w:tcPr>
          <w:p w14:paraId="355B6841">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Taiwan</w:t>
            </w:r>
          </w:p>
        </w:tc>
        <w:tc>
          <w:tcPr>
            <w:tcW w:w="393" w:type="pct"/>
            <w:tcBorders>
              <w:top w:val="single" w:color="000000" w:sz="4" w:space="0"/>
              <w:left w:val="single" w:color="000000" w:sz="4" w:space="0"/>
              <w:bottom w:val="single" w:color="000000" w:sz="4" w:space="0"/>
              <w:right w:val="single" w:color="000000" w:sz="4" w:space="0"/>
            </w:tcBorders>
            <w:vAlign w:val="center"/>
          </w:tcPr>
          <w:p w14:paraId="28F68D8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95 (33/31/31)</w:t>
            </w:r>
          </w:p>
        </w:tc>
        <w:tc>
          <w:tcPr>
            <w:tcW w:w="393" w:type="pct"/>
            <w:tcBorders>
              <w:top w:val="single" w:color="000000" w:sz="4" w:space="0"/>
              <w:left w:val="single" w:color="000000" w:sz="4" w:space="0"/>
              <w:bottom w:val="single" w:color="000000" w:sz="4" w:space="0"/>
              <w:right w:val="single" w:color="000000" w:sz="4" w:space="0"/>
            </w:tcBorders>
            <w:vAlign w:val="center"/>
          </w:tcPr>
          <w:p w14:paraId="0E10CE9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0/33 vs. 0/31 vs. 0/31</w:t>
            </w:r>
          </w:p>
        </w:tc>
        <w:tc>
          <w:tcPr>
            <w:tcW w:w="393" w:type="pct"/>
            <w:tcBorders>
              <w:top w:val="single" w:color="000000" w:sz="4" w:space="0"/>
              <w:left w:val="single" w:color="000000" w:sz="4" w:space="0"/>
              <w:bottom w:val="single" w:color="000000" w:sz="4" w:space="0"/>
              <w:right w:val="single" w:color="000000" w:sz="4" w:space="0"/>
            </w:tcBorders>
            <w:vAlign w:val="center"/>
          </w:tcPr>
          <w:p w14:paraId="235E205B">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51.4</w:t>
            </w:r>
          </w:p>
        </w:tc>
        <w:tc>
          <w:tcPr>
            <w:tcW w:w="429" w:type="pct"/>
            <w:tcBorders>
              <w:top w:val="single" w:color="000000" w:sz="4" w:space="0"/>
              <w:left w:val="single" w:color="000000" w:sz="4" w:space="0"/>
              <w:bottom w:val="single" w:color="000000" w:sz="4" w:space="0"/>
              <w:right w:val="single" w:color="000000" w:sz="4" w:space="0"/>
            </w:tcBorders>
            <w:vAlign w:val="center"/>
          </w:tcPr>
          <w:p w14:paraId="4246B196">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Breast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495C6409">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 Qigong</w:t>
            </w:r>
            <w:r>
              <w:rPr>
                <w:rFonts w:ascii="Times New Roman" w:hAnsi="Times New Roman" w:eastAsia="微软雅黑" w:cs="Times New Roman"/>
                <w:color w:val="auto"/>
                <w:sz w:val="16"/>
                <w:szCs w:val="16"/>
                <w:lang w:bidi="ar"/>
              </w:rPr>
              <w:br w:type="textWrapping"/>
            </w:r>
            <w:r>
              <w:rPr>
                <w:rFonts w:ascii="Times New Roman" w:hAnsi="Times New Roman" w:eastAsia="微软雅黑" w:cs="Times New Roman"/>
                <w:color w:val="auto"/>
                <w:sz w:val="16"/>
                <w:szCs w:val="16"/>
                <w:lang w:bidi="ar"/>
              </w:rPr>
              <w:t>(b) Taichi</w:t>
            </w:r>
          </w:p>
        </w:tc>
        <w:tc>
          <w:tcPr>
            <w:tcW w:w="1391" w:type="pct"/>
            <w:tcBorders>
              <w:top w:val="single" w:color="000000" w:sz="4" w:space="0"/>
              <w:left w:val="single" w:color="000000" w:sz="4" w:space="0"/>
              <w:bottom w:val="single" w:color="000000" w:sz="4" w:space="0"/>
              <w:right w:val="single" w:color="000000" w:sz="4" w:space="0"/>
            </w:tcBorders>
            <w:vAlign w:val="center"/>
          </w:tcPr>
          <w:p w14:paraId="0752085C">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care/usual care): guideline-based standard oncology care during chemotherapy plus a standardized post-surgical rehabilitation exercise program developed by hospital clinicians (e.g., finger/palm and shoulder range-of-motion and strengthening exercises such as wall climbing, pulley/towel/rod exercises, chest flies, and functional upper-limb tasks); home-based, 30 min/session, 3 sessions/week for 12 weeks, with at least one training session, DVD instruction, and weekly telephone follow-up; no qigong intervention</w:t>
            </w:r>
          </w:p>
        </w:tc>
        <w:tc>
          <w:tcPr>
            <w:tcW w:w="384" w:type="pct"/>
            <w:tcBorders>
              <w:top w:val="single" w:color="000000" w:sz="4" w:space="0"/>
              <w:left w:val="single" w:color="000000" w:sz="4" w:space="0"/>
              <w:bottom w:val="single" w:color="000000" w:sz="4" w:space="0"/>
              <w:right w:val="single" w:color="000000" w:sz="4" w:space="0"/>
            </w:tcBorders>
            <w:vAlign w:val="center"/>
          </w:tcPr>
          <w:p w14:paraId="6A0D9B7E">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3 times/week, 30 minutes each time, for 12 weeks</w:t>
            </w:r>
          </w:p>
        </w:tc>
        <w:tc>
          <w:tcPr>
            <w:tcW w:w="335" w:type="pct"/>
            <w:tcBorders>
              <w:top w:val="single" w:color="000000" w:sz="4" w:space="0"/>
              <w:left w:val="single" w:color="000000" w:sz="4" w:space="0"/>
              <w:bottom w:val="single" w:color="000000" w:sz="4" w:space="0"/>
              <w:right w:val="single" w:color="000000" w:sz="4" w:space="0"/>
            </w:tcBorders>
            <w:vAlign w:val="center"/>
          </w:tcPr>
          <w:p w14:paraId="772107AF">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General emotional state</w:t>
            </w:r>
          </w:p>
        </w:tc>
      </w:tr>
      <w:tr w14:paraId="7DFBFE8C">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4617D95F">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Huong et al. (2021)</w:t>
            </w:r>
          </w:p>
        </w:tc>
        <w:tc>
          <w:tcPr>
            <w:tcW w:w="451" w:type="pct"/>
            <w:tcBorders>
              <w:top w:val="single" w:color="000000" w:sz="4" w:space="0"/>
              <w:left w:val="single" w:color="000000" w:sz="4" w:space="0"/>
              <w:bottom w:val="single" w:color="000000" w:sz="4" w:space="0"/>
              <w:right w:val="single" w:color="000000" w:sz="4" w:space="0"/>
            </w:tcBorders>
            <w:vAlign w:val="center"/>
          </w:tcPr>
          <w:p w14:paraId="4F00C96F">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Vietnam</w:t>
            </w:r>
          </w:p>
        </w:tc>
        <w:tc>
          <w:tcPr>
            <w:tcW w:w="393" w:type="pct"/>
            <w:tcBorders>
              <w:top w:val="single" w:color="000000" w:sz="4" w:space="0"/>
              <w:left w:val="single" w:color="000000" w:sz="4" w:space="0"/>
              <w:bottom w:val="single" w:color="000000" w:sz="4" w:space="0"/>
              <w:right w:val="single" w:color="000000" w:sz="4" w:space="0"/>
            </w:tcBorders>
            <w:vAlign w:val="center"/>
          </w:tcPr>
          <w:p w14:paraId="6E8DC4D5">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76 (38/38)</w:t>
            </w:r>
          </w:p>
        </w:tc>
        <w:tc>
          <w:tcPr>
            <w:tcW w:w="393" w:type="pct"/>
            <w:tcBorders>
              <w:top w:val="single" w:color="000000" w:sz="4" w:space="0"/>
              <w:left w:val="single" w:color="000000" w:sz="4" w:space="0"/>
              <w:bottom w:val="single" w:color="000000" w:sz="4" w:space="0"/>
              <w:right w:val="single" w:color="000000" w:sz="4" w:space="0"/>
            </w:tcBorders>
            <w:vAlign w:val="center"/>
          </w:tcPr>
          <w:p w14:paraId="10DD7D48">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9/29 vs.15/23</w:t>
            </w:r>
          </w:p>
        </w:tc>
        <w:tc>
          <w:tcPr>
            <w:tcW w:w="393" w:type="pct"/>
            <w:tcBorders>
              <w:top w:val="single" w:color="000000" w:sz="4" w:space="0"/>
              <w:left w:val="single" w:color="000000" w:sz="4" w:space="0"/>
              <w:bottom w:val="single" w:color="000000" w:sz="4" w:space="0"/>
              <w:right w:val="single" w:color="000000" w:sz="4" w:space="0"/>
            </w:tcBorders>
            <w:vAlign w:val="center"/>
          </w:tcPr>
          <w:p w14:paraId="6FB5DB48">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54.6 ± 10.9 vs. 56.6 ± 9.0</w:t>
            </w:r>
          </w:p>
        </w:tc>
        <w:tc>
          <w:tcPr>
            <w:tcW w:w="429" w:type="pct"/>
            <w:tcBorders>
              <w:top w:val="single" w:color="000000" w:sz="4" w:space="0"/>
              <w:left w:val="single" w:color="000000" w:sz="4" w:space="0"/>
              <w:bottom w:val="single" w:color="000000" w:sz="4" w:space="0"/>
              <w:right w:val="single" w:color="000000" w:sz="4" w:space="0"/>
            </w:tcBorders>
            <w:vAlign w:val="center"/>
          </w:tcPr>
          <w:p w14:paraId="4A3E890A">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Multiple cancer types (breast cancer is the most common, followed by lung cancer, digestive tract cancer, cervical cancer, lymphoma, etc.)</w:t>
            </w:r>
          </w:p>
        </w:tc>
        <w:tc>
          <w:tcPr>
            <w:tcW w:w="499" w:type="pct"/>
            <w:tcBorders>
              <w:top w:val="single" w:color="000000" w:sz="4" w:space="0"/>
              <w:left w:val="single" w:color="000000" w:sz="4" w:space="0"/>
              <w:bottom w:val="single" w:color="000000" w:sz="4" w:space="0"/>
              <w:right w:val="single" w:color="000000" w:sz="4" w:space="0"/>
            </w:tcBorders>
            <w:vAlign w:val="center"/>
          </w:tcPr>
          <w:p w14:paraId="277D31E7">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Acupressure</w:t>
            </w:r>
          </w:p>
        </w:tc>
        <w:tc>
          <w:tcPr>
            <w:tcW w:w="1391" w:type="pct"/>
            <w:tcBorders>
              <w:top w:val="single" w:color="000000" w:sz="4" w:space="0"/>
              <w:left w:val="single" w:color="000000" w:sz="4" w:space="0"/>
              <w:bottom w:val="single" w:color="000000" w:sz="4" w:space="0"/>
              <w:right w:val="single" w:color="000000" w:sz="4" w:space="0"/>
            </w:tcBorders>
            <w:vAlign w:val="center"/>
          </w:tcPr>
          <w:p w14:paraId="36C21FFF">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 enhanced standard care): standard oncology care during chemotherapy, supplemented with a 30-min structured education session providing general recommendations for managing insomnia, anxiety, and depression (e.g., sleep hygiene, lifestyle and coping advice), plus weekly brief telephone follow-up with neutral conversation; participants had access to usual medical and nursing care as clinically indicated, with no acupressure intervention.</w:t>
            </w:r>
          </w:p>
        </w:tc>
        <w:tc>
          <w:tcPr>
            <w:tcW w:w="384" w:type="pct"/>
            <w:tcBorders>
              <w:top w:val="single" w:color="000000" w:sz="4" w:space="0"/>
              <w:left w:val="single" w:color="000000" w:sz="4" w:space="0"/>
              <w:bottom w:val="single" w:color="000000" w:sz="4" w:space="0"/>
              <w:right w:val="single" w:color="000000" w:sz="4" w:space="0"/>
            </w:tcBorders>
            <w:vAlign w:val="center"/>
          </w:tcPr>
          <w:p w14:paraId="3709AA35">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Once a day for 4 weeks; total follow-up 8 weeks</w:t>
            </w:r>
          </w:p>
        </w:tc>
        <w:tc>
          <w:tcPr>
            <w:tcW w:w="335" w:type="pct"/>
            <w:tcBorders>
              <w:top w:val="single" w:color="000000" w:sz="4" w:space="0"/>
              <w:left w:val="single" w:color="000000" w:sz="4" w:space="0"/>
              <w:bottom w:val="single" w:color="000000" w:sz="4" w:space="0"/>
              <w:right w:val="single" w:color="000000" w:sz="4" w:space="0"/>
            </w:tcBorders>
            <w:vAlign w:val="center"/>
          </w:tcPr>
          <w:p w14:paraId="2AC8BA1C">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Sleep quality, Anxiety, Depression</w:t>
            </w:r>
          </w:p>
        </w:tc>
      </w:tr>
      <w:tr w14:paraId="40C02EB2">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38F1582C">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Lin et al. (2019)</w:t>
            </w:r>
          </w:p>
        </w:tc>
        <w:tc>
          <w:tcPr>
            <w:tcW w:w="451" w:type="pct"/>
            <w:tcBorders>
              <w:top w:val="single" w:color="000000" w:sz="4" w:space="0"/>
              <w:left w:val="single" w:color="000000" w:sz="4" w:space="0"/>
              <w:bottom w:val="single" w:color="000000" w:sz="4" w:space="0"/>
              <w:right w:val="single" w:color="000000" w:sz="4" w:space="0"/>
            </w:tcBorders>
            <w:vAlign w:val="center"/>
          </w:tcPr>
          <w:p w14:paraId="7EA6CF11">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440E818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68 (34/34)</w:t>
            </w:r>
          </w:p>
        </w:tc>
        <w:tc>
          <w:tcPr>
            <w:tcW w:w="393" w:type="pct"/>
            <w:tcBorders>
              <w:top w:val="single" w:color="000000" w:sz="4" w:space="0"/>
              <w:left w:val="single" w:color="000000" w:sz="4" w:space="0"/>
              <w:bottom w:val="single" w:color="000000" w:sz="4" w:space="0"/>
              <w:right w:val="single" w:color="000000" w:sz="4" w:space="0"/>
            </w:tcBorders>
            <w:vAlign w:val="center"/>
          </w:tcPr>
          <w:p w14:paraId="379A3C52">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18/16 vs. 23/11</w:t>
            </w:r>
          </w:p>
        </w:tc>
        <w:tc>
          <w:tcPr>
            <w:tcW w:w="393" w:type="pct"/>
            <w:tcBorders>
              <w:top w:val="single" w:color="000000" w:sz="4" w:space="0"/>
              <w:left w:val="single" w:color="000000" w:sz="4" w:space="0"/>
              <w:bottom w:val="single" w:color="000000" w:sz="4" w:space="0"/>
              <w:right w:val="single" w:color="000000" w:sz="4" w:space="0"/>
            </w:tcBorders>
            <w:vAlign w:val="center"/>
          </w:tcPr>
          <w:p w14:paraId="2B9B3586">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59.50±9.21 vs. 61.85±8.48</w:t>
            </w:r>
          </w:p>
        </w:tc>
        <w:tc>
          <w:tcPr>
            <w:tcW w:w="429" w:type="pct"/>
            <w:tcBorders>
              <w:top w:val="single" w:color="000000" w:sz="4" w:space="0"/>
              <w:left w:val="single" w:color="000000" w:sz="4" w:space="0"/>
              <w:bottom w:val="single" w:color="000000" w:sz="4" w:space="0"/>
              <w:right w:val="single" w:color="000000" w:sz="4" w:space="0"/>
            </w:tcBorders>
            <w:vAlign w:val="center"/>
          </w:tcPr>
          <w:p w14:paraId="3E1705A0">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Non-small cell lung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1CAB5E68">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Auricular acupressure</w:t>
            </w:r>
          </w:p>
        </w:tc>
        <w:tc>
          <w:tcPr>
            <w:tcW w:w="1391" w:type="pct"/>
            <w:tcBorders>
              <w:top w:val="single" w:color="000000" w:sz="4" w:space="0"/>
              <w:left w:val="single" w:color="000000" w:sz="4" w:space="0"/>
              <w:bottom w:val="single" w:color="000000" w:sz="4" w:space="0"/>
              <w:right w:val="single" w:color="000000" w:sz="4" w:space="0"/>
            </w:tcBorders>
            <w:vAlign w:val="center"/>
          </w:tcPr>
          <w:p w14:paraId="07B1CFA1">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 xml:space="preserve">Control (routine care): usual care during hospitalisation and after discharge, including routine clinical monitoring and supportive follow-up (regular telephone follow-up and home visits) per institutional practice; no auricular acupressure intervention was delivered (participants could opt to receive auricular acupressure after the 9-week follow-up, if desired). </w:t>
            </w:r>
          </w:p>
        </w:tc>
        <w:tc>
          <w:tcPr>
            <w:tcW w:w="384" w:type="pct"/>
            <w:tcBorders>
              <w:top w:val="single" w:color="000000" w:sz="4" w:space="0"/>
              <w:left w:val="single" w:color="000000" w:sz="4" w:space="0"/>
              <w:bottom w:val="single" w:color="000000" w:sz="4" w:space="0"/>
              <w:right w:val="single" w:color="000000" w:sz="4" w:space="0"/>
            </w:tcBorders>
            <w:vAlign w:val="center"/>
          </w:tcPr>
          <w:p w14:paraId="28A9346A">
            <w:pPr>
              <w:rPr>
                <w:rFonts w:ascii="Times New Roman" w:hAnsi="Times New Roman" w:eastAsia="微软雅黑" w:cs="Times New Roman"/>
                <w:color w:val="auto"/>
                <w:sz w:val="16"/>
                <w:szCs w:val="16"/>
              </w:rPr>
            </w:pPr>
          </w:p>
        </w:tc>
        <w:tc>
          <w:tcPr>
            <w:tcW w:w="335" w:type="pct"/>
            <w:tcBorders>
              <w:top w:val="single" w:color="000000" w:sz="4" w:space="0"/>
              <w:left w:val="single" w:color="000000" w:sz="4" w:space="0"/>
              <w:bottom w:val="single" w:color="000000" w:sz="4" w:space="0"/>
              <w:right w:val="single" w:color="000000" w:sz="4" w:space="0"/>
            </w:tcBorders>
            <w:vAlign w:val="center"/>
          </w:tcPr>
          <w:p w14:paraId="5E82D9A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Sleep quality, Anxiety, Fatigue</w:t>
            </w:r>
          </w:p>
        </w:tc>
      </w:tr>
      <w:tr w14:paraId="0D83F37E">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2E1C6BBB">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Liu et al. (2022)</w:t>
            </w:r>
          </w:p>
        </w:tc>
        <w:tc>
          <w:tcPr>
            <w:tcW w:w="451" w:type="pct"/>
            <w:tcBorders>
              <w:top w:val="single" w:color="000000" w:sz="4" w:space="0"/>
              <w:left w:val="single" w:color="000000" w:sz="4" w:space="0"/>
              <w:bottom w:val="single" w:color="000000" w:sz="4" w:space="0"/>
              <w:right w:val="single" w:color="000000" w:sz="4" w:space="0"/>
            </w:tcBorders>
            <w:vAlign w:val="center"/>
          </w:tcPr>
          <w:p w14:paraId="546F21F9">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0A8DAC97">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70 (36/34)</w:t>
            </w:r>
          </w:p>
        </w:tc>
        <w:tc>
          <w:tcPr>
            <w:tcW w:w="393" w:type="pct"/>
            <w:tcBorders>
              <w:top w:val="single" w:color="000000" w:sz="4" w:space="0"/>
              <w:left w:val="single" w:color="000000" w:sz="4" w:space="0"/>
              <w:bottom w:val="single" w:color="000000" w:sz="4" w:space="0"/>
              <w:right w:val="single" w:color="000000" w:sz="4" w:space="0"/>
            </w:tcBorders>
            <w:vAlign w:val="center"/>
          </w:tcPr>
          <w:p w14:paraId="12B3002B">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0/36 vs. 0/34</w:t>
            </w:r>
          </w:p>
        </w:tc>
        <w:tc>
          <w:tcPr>
            <w:tcW w:w="393" w:type="pct"/>
            <w:tcBorders>
              <w:top w:val="single" w:color="000000" w:sz="4" w:space="0"/>
              <w:left w:val="single" w:color="000000" w:sz="4" w:space="0"/>
              <w:bottom w:val="single" w:color="000000" w:sz="4" w:space="0"/>
              <w:right w:val="single" w:color="000000" w:sz="4" w:space="0"/>
            </w:tcBorders>
            <w:vAlign w:val="center"/>
          </w:tcPr>
          <w:p w14:paraId="54B17C25">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51.4 ± 8.85</w:t>
            </w:r>
          </w:p>
        </w:tc>
        <w:tc>
          <w:tcPr>
            <w:tcW w:w="429" w:type="pct"/>
            <w:tcBorders>
              <w:top w:val="single" w:color="000000" w:sz="4" w:space="0"/>
              <w:left w:val="single" w:color="000000" w:sz="4" w:space="0"/>
              <w:bottom w:val="single" w:color="000000" w:sz="4" w:space="0"/>
              <w:right w:val="single" w:color="000000" w:sz="4" w:space="0"/>
            </w:tcBorders>
            <w:vAlign w:val="center"/>
          </w:tcPr>
          <w:p w14:paraId="48837AD1">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Breast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6CFE162D">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Acupressure</w:t>
            </w:r>
          </w:p>
        </w:tc>
        <w:tc>
          <w:tcPr>
            <w:tcW w:w="1391" w:type="pct"/>
            <w:tcBorders>
              <w:top w:val="single" w:color="000000" w:sz="4" w:space="0"/>
              <w:left w:val="single" w:color="000000" w:sz="4" w:space="0"/>
              <w:bottom w:val="single" w:color="000000" w:sz="4" w:space="0"/>
              <w:right w:val="single" w:color="000000" w:sz="4" w:space="0"/>
            </w:tcBorders>
            <w:vAlign w:val="center"/>
          </w:tcPr>
          <w:p w14:paraId="61FEF092">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care/usual care): routine inpatient nursing care in the breast oncology department, including symptom assessment and management, diet counseling, rest and exercise guidance, and usual psychological support; no MBSR or acupressure was provided.</w:t>
            </w:r>
          </w:p>
        </w:tc>
        <w:tc>
          <w:tcPr>
            <w:tcW w:w="384" w:type="pct"/>
            <w:tcBorders>
              <w:top w:val="single" w:color="000000" w:sz="4" w:space="0"/>
              <w:left w:val="single" w:color="000000" w:sz="4" w:space="0"/>
              <w:bottom w:val="single" w:color="000000" w:sz="4" w:space="0"/>
              <w:right w:val="single" w:color="000000" w:sz="4" w:space="0"/>
            </w:tcBorders>
            <w:vAlign w:val="center"/>
          </w:tcPr>
          <w:p w14:paraId="2FE210A4">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8 weeks</w:t>
            </w:r>
          </w:p>
        </w:tc>
        <w:tc>
          <w:tcPr>
            <w:tcW w:w="335" w:type="pct"/>
            <w:tcBorders>
              <w:top w:val="single" w:color="000000" w:sz="4" w:space="0"/>
              <w:left w:val="single" w:color="000000" w:sz="4" w:space="0"/>
              <w:bottom w:val="single" w:color="000000" w:sz="4" w:space="0"/>
              <w:right w:val="single" w:color="000000" w:sz="4" w:space="0"/>
            </w:tcBorders>
            <w:vAlign w:val="center"/>
          </w:tcPr>
          <w:p w14:paraId="57444D00">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Sleep quality, Anxiety, Depression, Fatigue</w:t>
            </w:r>
          </w:p>
        </w:tc>
      </w:tr>
      <w:tr w14:paraId="24D2CFBF">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056E4D74">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Molassiotis et al. (2014)</w:t>
            </w:r>
          </w:p>
        </w:tc>
        <w:tc>
          <w:tcPr>
            <w:tcW w:w="451" w:type="pct"/>
            <w:tcBorders>
              <w:top w:val="single" w:color="000000" w:sz="4" w:space="0"/>
              <w:left w:val="single" w:color="000000" w:sz="4" w:space="0"/>
              <w:bottom w:val="single" w:color="000000" w:sz="4" w:space="0"/>
              <w:right w:val="single" w:color="000000" w:sz="4" w:space="0"/>
            </w:tcBorders>
            <w:vAlign w:val="center"/>
          </w:tcPr>
          <w:p w14:paraId="01E50A89">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United Kingdom</w:t>
            </w:r>
          </w:p>
        </w:tc>
        <w:tc>
          <w:tcPr>
            <w:tcW w:w="393" w:type="pct"/>
            <w:tcBorders>
              <w:top w:val="single" w:color="000000" w:sz="4" w:space="0"/>
              <w:left w:val="single" w:color="000000" w:sz="4" w:space="0"/>
              <w:bottom w:val="single" w:color="000000" w:sz="4" w:space="0"/>
              <w:right w:val="single" w:color="000000" w:sz="4" w:space="0"/>
            </w:tcBorders>
            <w:vAlign w:val="center"/>
          </w:tcPr>
          <w:p w14:paraId="453D2BCE">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334 (168/166)</w:t>
            </w:r>
          </w:p>
        </w:tc>
        <w:tc>
          <w:tcPr>
            <w:tcW w:w="393" w:type="pct"/>
            <w:tcBorders>
              <w:top w:val="single" w:color="000000" w:sz="4" w:space="0"/>
              <w:left w:val="single" w:color="000000" w:sz="4" w:space="0"/>
              <w:bottom w:val="single" w:color="000000" w:sz="4" w:space="0"/>
              <w:right w:val="single" w:color="000000" w:sz="4" w:space="0"/>
            </w:tcBorders>
            <w:vAlign w:val="center"/>
          </w:tcPr>
          <w:p w14:paraId="665926BD">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39/129 vs. 38/128</w:t>
            </w:r>
          </w:p>
        </w:tc>
        <w:tc>
          <w:tcPr>
            <w:tcW w:w="393" w:type="pct"/>
            <w:tcBorders>
              <w:top w:val="single" w:color="000000" w:sz="4" w:space="0"/>
              <w:left w:val="single" w:color="000000" w:sz="4" w:space="0"/>
              <w:bottom w:val="single" w:color="000000" w:sz="4" w:space="0"/>
              <w:right w:val="single" w:color="000000" w:sz="4" w:space="0"/>
            </w:tcBorders>
            <w:vAlign w:val="center"/>
          </w:tcPr>
          <w:p w14:paraId="12A4213B">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&gt;50 years</w:t>
            </w:r>
          </w:p>
        </w:tc>
        <w:tc>
          <w:tcPr>
            <w:tcW w:w="429" w:type="pct"/>
            <w:tcBorders>
              <w:top w:val="single" w:color="000000" w:sz="4" w:space="0"/>
              <w:left w:val="single" w:color="000000" w:sz="4" w:space="0"/>
              <w:bottom w:val="single" w:color="000000" w:sz="4" w:space="0"/>
              <w:right w:val="single" w:color="000000" w:sz="4" w:space="0"/>
            </w:tcBorders>
            <w:vAlign w:val="center"/>
          </w:tcPr>
          <w:p w14:paraId="0A9AE9BB">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Breast cancer, colorectal cancer, gynecologic cancer, lung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49E8227A">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Acupressure</w:t>
            </w:r>
          </w:p>
        </w:tc>
        <w:tc>
          <w:tcPr>
            <w:tcW w:w="1391" w:type="pct"/>
            <w:tcBorders>
              <w:top w:val="single" w:color="000000" w:sz="4" w:space="0"/>
              <w:left w:val="single" w:color="000000" w:sz="4" w:space="0"/>
              <w:bottom w:val="single" w:color="000000" w:sz="4" w:space="0"/>
              <w:right w:val="single" w:color="000000" w:sz="4" w:space="0"/>
            </w:tcBorders>
            <w:vAlign w:val="center"/>
          </w:tcPr>
          <w:p w14:paraId="0C32DE96">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 standard care): guideline-based standardized antiemetic prophylaxis per ASCO/MASCC recommendations (NK1 antagonists not routinely used), with rescue antiemetics permitted for persistent/severe nausea or vomiting at the treating clinician’s discretion; no acupressure wristbands were provided.</w:t>
            </w:r>
          </w:p>
        </w:tc>
        <w:tc>
          <w:tcPr>
            <w:tcW w:w="384" w:type="pct"/>
            <w:tcBorders>
              <w:top w:val="single" w:color="000000" w:sz="4" w:space="0"/>
              <w:left w:val="single" w:color="000000" w:sz="4" w:space="0"/>
              <w:bottom w:val="single" w:color="000000" w:sz="4" w:space="0"/>
              <w:right w:val="single" w:color="000000" w:sz="4" w:space="0"/>
            </w:tcBorders>
            <w:vAlign w:val="center"/>
          </w:tcPr>
          <w:p w14:paraId="614AE2ED">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Each chemotherapy cycle lasts 7 days, for a total of 4 cycles</w:t>
            </w:r>
          </w:p>
        </w:tc>
        <w:tc>
          <w:tcPr>
            <w:tcW w:w="335" w:type="pct"/>
            <w:tcBorders>
              <w:top w:val="single" w:color="000000" w:sz="4" w:space="0"/>
              <w:left w:val="single" w:color="000000" w:sz="4" w:space="0"/>
              <w:bottom w:val="single" w:color="000000" w:sz="4" w:space="0"/>
              <w:right w:val="single" w:color="000000" w:sz="4" w:space="0"/>
            </w:tcBorders>
            <w:vAlign w:val="center"/>
          </w:tcPr>
          <w:p w14:paraId="6FAC94D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General emotional state</w:t>
            </w:r>
          </w:p>
        </w:tc>
      </w:tr>
      <w:tr w14:paraId="207D8405">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6C924C44">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Yang et al. (2021)</w:t>
            </w:r>
          </w:p>
        </w:tc>
        <w:tc>
          <w:tcPr>
            <w:tcW w:w="451" w:type="pct"/>
            <w:tcBorders>
              <w:top w:val="single" w:color="000000" w:sz="4" w:space="0"/>
              <w:left w:val="single" w:color="000000" w:sz="4" w:space="0"/>
              <w:bottom w:val="single" w:color="000000" w:sz="4" w:space="0"/>
              <w:right w:val="single" w:color="000000" w:sz="4" w:space="0"/>
            </w:tcBorders>
            <w:vAlign w:val="center"/>
          </w:tcPr>
          <w:p w14:paraId="3046A594">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20CC5356">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79 (40/39)</w:t>
            </w:r>
          </w:p>
        </w:tc>
        <w:tc>
          <w:tcPr>
            <w:tcW w:w="393" w:type="pct"/>
            <w:tcBorders>
              <w:top w:val="single" w:color="000000" w:sz="4" w:space="0"/>
              <w:left w:val="single" w:color="000000" w:sz="4" w:space="0"/>
              <w:bottom w:val="single" w:color="000000" w:sz="4" w:space="0"/>
              <w:right w:val="single" w:color="000000" w:sz="4" w:space="0"/>
            </w:tcBorders>
            <w:vAlign w:val="center"/>
          </w:tcPr>
          <w:p w14:paraId="66C8077C">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24/16 vs. 23/17</w:t>
            </w:r>
          </w:p>
        </w:tc>
        <w:tc>
          <w:tcPr>
            <w:tcW w:w="393" w:type="pct"/>
            <w:tcBorders>
              <w:top w:val="single" w:color="000000" w:sz="4" w:space="0"/>
              <w:left w:val="single" w:color="000000" w:sz="4" w:space="0"/>
              <w:bottom w:val="single" w:color="000000" w:sz="4" w:space="0"/>
              <w:right w:val="single" w:color="000000" w:sz="4" w:space="0"/>
            </w:tcBorders>
            <w:vAlign w:val="center"/>
          </w:tcPr>
          <w:p w14:paraId="441DD4E9">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18–75</w:t>
            </w:r>
          </w:p>
        </w:tc>
        <w:tc>
          <w:tcPr>
            <w:tcW w:w="429" w:type="pct"/>
            <w:tcBorders>
              <w:top w:val="single" w:color="000000" w:sz="4" w:space="0"/>
              <w:left w:val="single" w:color="000000" w:sz="4" w:space="0"/>
              <w:bottom w:val="single" w:color="000000" w:sz="4" w:space="0"/>
              <w:right w:val="single" w:color="000000" w:sz="4" w:space="0"/>
            </w:tcBorders>
            <w:vAlign w:val="center"/>
          </w:tcPr>
          <w:p w14:paraId="2227A30E">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Gastric or colorectal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4204A537">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Five Animal Exercises Qigong</w:t>
            </w:r>
          </w:p>
        </w:tc>
        <w:tc>
          <w:tcPr>
            <w:tcW w:w="1391" w:type="pct"/>
            <w:tcBorders>
              <w:top w:val="single" w:color="000000" w:sz="4" w:space="0"/>
              <w:left w:val="single" w:color="000000" w:sz="4" w:space="0"/>
              <w:bottom w:val="single" w:color="000000" w:sz="4" w:space="0"/>
              <w:right w:val="single" w:color="000000" w:sz="4" w:space="0"/>
            </w:tcBorders>
            <w:vAlign w:val="center"/>
          </w:tcPr>
          <w:p w14:paraId="5F93E7C6">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 xml:space="preserve">Control (routine care): conventional therapy during chemotherapy, comprising coping strategies to prevent/mitigate chemotherapy-related adverse reactions, routine patient education (individualized information on disease course and treatment, expected symptoms, and supportive nutrition), and emotional support primarily from family and clinical staff; standard psychosocial care (e.g., cognitive therapy and stress management) was also provided. </w:t>
            </w:r>
          </w:p>
        </w:tc>
        <w:tc>
          <w:tcPr>
            <w:tcW w:w="384" w:type="pct"/>
            <w:tcBorders>
              <w:top w:val="single" w:color="000000" w:sz="4" w:space="0"/>
              <w:left w:val="single" w:color="000000" w:sz="4" w:space="0"/>
              <w:bottom w:val="single" w:color="000000" w:sz="4" w:space="0"/>
              <w:right w:val="single" w:color="000000" w:sz="4" w:space="0"/>
            </w:tcBorders>
            <w:vAlign w:val="center"/>
          </w:tcPr>
          <w:p w14:paraId="0DACAA26">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4 weeks</w:t>
            </w:r>
          </w:p>
        </w:tc>
        <w:tc>
          <w:tcPr>
            <w:tcW w:w="335" w:type="pct"/>
            <w:tcBorders>
              <w:top w:val="single" w:color="000000" w:sz="4" w:space="0"/>
              <w:left w:val="single" w:color="000000" w:sz="4" w:space="0"/>
              <w:bottom w:val="single" w:color="000000" w:sz="4" w:space="0"/>
              <w:right w:val="single" w:color="000000" w:sz="4" w:space="0"/>
            </w:tcBorders>
            <w:vAlign w:val="center"/>
          </w:tcPr>
          <w:p w14:paraId="35BC325E">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General emotional state, Depression, Fatigue</w:t>
            </w:r>
          </w:p>
        </w:tc>
      </w:tr>
      <w:tr w14:paraId="0249030C">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5419164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Zhang et al. (2023)</w:t>
            </w:r>
          </w:p>
        </w:tc>
        <w:tc>
          <w:tcPr>
            <w:tcW w:w="451" w:type="pct"/>
            <w:tcBorders>
              <w:top w:val="single" w:color="000000" w:sz="4" w:space="0"/>
              <w:left w:val="single" w:color="000000" w:sz="4" w:space="0"/>
              <w:bottom w:val="single" w:color="000000" w:sz="4" w:space="0"/>
              <w:right w:val="single" w:color="000000" w:sz="4" w:space="0"/>
            </w:tcBorders>
            <w:vAlign w:val="center"/>
          </w:tcPr>
          <w:p w14:paraId="0E93B732">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Hong Kong</w:t>
            </w:r>
          </w:p>
        </w:tc>
        <w:tc>
          <w:tcPr>
            <w:tcW w:w="393" w:type="pct"/>
            <w:tcBorders>
              <w:top w:val="single" w:color="000000" w:sz="4" w:space="0"/>
              <w:left w:val="single" w:color="000000" w:sz="4" w:space="0"/>
              <w:bottom w:val="single" w:color="000000" w:sz="4" w:space="0"/>
              <w:right w:val="single" w:color="000000" w:sz="4" w:space="0"/>
            </w:tcBorders>
            <w:vAlign w:val="center"/>
          </w:tcPr>
          <w:p w14:paraId="78CAF265">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138 (69/69)</w:t>
            </w:r>
          </w:p>
        </w:tc>
        <w:tc>
          <w:tcPr>
            <w:tcW w:w="393" w:type="pct"/>
            <w:tcBorders>
              <w:top w:val="single" w:color="000000" w:sz="4" w:space="0"/>
              <w:left w:val="single" w:color="000000" w:sz="4" w:space="0"/>
              <w:bottom w:val="single" w:color="000000" w:sz="4" w:space="0"/>
              <w:right w:val="single" w:color="000000" w:sz="4" w:space="0"/>
            </w:tcBorders>
            <w:vAlign w:val="center"/>
          </w:tcPr>
          <w:p w14:paraId="72118AF0">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0/69 vs. 0/69</w:t>
            </w:r>
          </w:p>
        </w:tc>
        <w:tc>
          <w:tcPr>
            <w:tcW w:w="393" w:type="pct"/>
            <w:tcBorders>
              <w:top w:val="single" w:color="000000" w:sz="4" w:space="0"/>
              <w:left w:val="single" w:color="000000" w:sz="4" w:space="0"/>
              <w:bottom w:val="single" w:color="000000" w:sz="4" w:space="0"/>
              <w:right w:val="single" w:color="000000" w:sz="4" w:space="0"/>
            </w:tcBorders>
            <w:vAlign w:val="center"/>
          </w:tcPr>
          <w:p w14:paraId="1A37CAC1">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51.7 ± 9.6 / 52.7 ± 8.3</w:t>
            </w:r>
          </w:p>
        </w:tc>
        <w:tc>
          <w:tcPr>
            <w:tcW w:w="429" w:type="pct"/>
            <w:tcBorders>
              <w:top w:val="single" w:color="000000" w:sz="4" w:space="0"/>
              <w:left w:val="single" w:color="000000" w:sz="4" w:space="0"/>
              <w:bottom w:val="single" w:color="000000" w:sz="4" w:space="0"/>
              <w:right w:val="single" w:color="000000" w:sz="4" w:space="0"/>
            </w:tcBorders>
            <w:vAlign w:val="center"/>
          </w:tcPr>
          <w:p w14:paraId="079AC694">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Breast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59EEA797">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Acupuncture + auricular acupressure</w:t>
            </w:r>
          </w:p>
        </w:tc>
        <w:tc>
          <w:tcPr>
            <w:tcW w:w="1391" w:type="pct"/>
            <w:tcBorders>
              <w:top w:val="single" w:color="000000" w:sz="4" w:space="0"/>
              <w:left w:val="single" w:color="000000" w:sz="4" w:space="0"/>
              <w:bottom w:val="single" w:color="000000" w:sz="4" w:space="0"/>
              <w:right w:val="single" w:color="000000" w:sz="4" w:space="0"/>
            </w:tcBorders>
            <w:vAlign w:val="center"/>
          </w:tcPr>
          <w:p w14:paraId="2EA77BEC">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 sham control): standard oncology care and routine symptom management continued throughout the study, with psychotropic medications (e.g., sedatives/hypnotics/anxiolytics) permitted as clinically indicated; participants received sham acupuncture (non-penetrating needling at non-acupoints plus sham auricular acupressure) and no active acupuncture.</w:t>
            </w:r>
          </w:p>
        </w:tc>
        <w:tc>
          <w:tcPr>
            <w:tcW w:w="384" w:type="pct"/>
            <w:tcBorders>
              <w:top w:val="single" w:color="000000" w:sz="4" w:space="0"/>
              <w:left w:val="single" w:color="000000" w:sz="4" w:space="0"/>
              <w:bottom w:val="single" w:color="000000" w:sz="4" w:space="0"/>
              <w:right w:val="single" w:color="000000" w:sz="4" w:space="0"/>
            </w:tcBorders>
            <w:vAlign w:val="center"/>
          </w:tcPr>
          <w:p w14:paraId="1B1713B0">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6 weeks of intensive treatment + 12 weeks of maintenance treatment</w:t>
            </w:r>
          </w:p>
        </w:tc>
        <w:tc>
          <w:tcPr>
            <w:tcW w:w="335" w:type="pct"/>
            <w:tcBorders>
              <w:top w:val="single" w:color="000000" w:sz="4" w:space="0"/>
              <w:left w:val="single" w:color="000000" w:sz="4" w:space="0"/>
              <w:bottom w:val="single" w:color="000000" w:sz="4" w:space="0"/>
              <w:right w:val="single" w:color="000000" w:sz="4" w:space="0"/>
            </w:tcBorders>
            <w:vAlign w:val="center"/>
          </w:tcPr>
          <w:p w14:paraId="7F2A5937">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Sleep quality, Anxiety, Depression, Fatigue</w:t>
            </w:r>
          </w:p>
        </w:tc>
      </w:tr>
      <w:tr w14:paraId="4008C874">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55F111C7">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Shin et al. (2016)</w:t>
            </w:r>
          </w:p>
        </w:tc>
        <w:tc>
          <w:tcPr>
            <w:tcW w:w="451" w:type="pct"/>
            <w:tcBorders>
              <w:top w:val="single" w:color="000000" w:sz="4" w:space="0"/>
              <w:left w:val="single" w:color="000000" w:sz="4" w:space="0"/>
              <w:bottom w:val="single" w:color="000000" w:sz="4" w:space="0"/>
              <w:right w:val="single" w:color="000000" w:sz="4" w:space="0"/>
            </w:tcBorders>
            <w:vAlign w:val="center"/>
          </w:tcPr>
          <w:p w14:paraId="277EA43C">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South Korea</w:t>
            </w:r>
          </w:p>
        </w:tc>
        <w:tc>
          <w:tcPr>
            <w:tcW w:w="393" w:type="pct"/>
            <w:tcBorders>
              <w:top w:val="single" w:color="000000" w:sz="4" w:space="0"/>
              <w:left w:val="single" w:color="000000" w:sz="4" w:space="0"/>
              <w:bottom w:val="single" w:color="000000" w:sz="4" w:space="0"/>
              <w:right w:val="single" w:color="000000" w:sz="4" w:space="0"/>
            </w:tcBorders>
            <w:vAlign w:val="center"/>
          </w:tcPr>
          <w:p w14:paraId="144392D7">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52 (26 / 26)</w:t>
            </w:r>
          </w:p>
        </w:tc>
        <w:tc>
          <w:tcPr>
            <w:tcW w:w="393" w:type="pct"/>
            <w:tcBorders>
              <w:top w:val="single" w:color="000000" w:sz="4" w:space="0"/>
              <w:left w:val="single" w:color="000000" w:sz="4" w:space="0"/>
              <w:bottom w:val="single" w:color="000000" w:sz="4" w:space="0"/>
              <w:right w:val="single" w:color="000000" w:sz="4" w:space="0"/>
            </w:tcBorders>
            <w:vAlign w:val="center"/>
          </w:tcPr>
          <w:p w14:paraId="6B557AB4">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0/26 vs. 0/26</w:t>
            </w:r>
          </w:p>
        </w:tc>
        <w:tc>
          <w:tcPr>
            <w:tcW w:w="393" w:type="pct"/>
            <w:tcBorders>
              <w:top w:val="single" w:color="000000" w:sz="4" w:space="0"/>
              <w:left w:val="single" w:color="000000" w:sz="4" w:space="0"/>
              <w:bottom w:val="single" w:color="000000" w:sz="4" w:space="0"/>
              <w:right w:val="single" w:color="000000" w:sz="4" w:space="0"/>
            </w:tcBorders>
            <w:vAlign w:val="center"/>
          </w:tcPr>
          <w:p w14:paraId="5518DC9C">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NA</w:t>
            </w:r>
          </w:p>
        </w:tc>
        <w:tc>
          <w:tcPr>
            <w:tcW w:w="429" w:type="pct"/>
            <w:tcBorders>
              <w:top w:val="single" w:color="000000" w:sz="4" w:space="0"/>
              <w:left w:val="single" w:color="000000" w:sz="4" w:space="0"/>
              <w:bottom w:val="single" w:color="000000" w:sz="4" w:space="0"/>
              <w:right w:val="single" w:color="000000" w:sz="4" w:space="0"/>
            </w:tcBorders>
            <w:vAlign w:val="center"/>
          </w:tcPr>
          <w:p w14:paraId="43ABB24F">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Breast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763A6EDF">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Auricular acupressure</w:t>
            </w:r>
          </w:p>
        </w:tc>
        <w:tc>
          <w:tcPr>
            <w:tcW w:w="1391" w:type="pct"/>
            <w:tcBorders>
              <w:top w:val="single" w:color="000000" w:sz="4" w:space="0"/>
              <w:left w:val="single" w:color="000000" w:sz="4" w:space="0"/>
              <w:bottom w:val="single" w:color="000000" w:sz="4" w:space="0"/>
              <w:right w:val="single" w:color="000000" w:sz="4" w:space="0"/>
            </w:tcBorders>
            <w:vAlign w:val="center"/>
          </w:tcPr>
          <w:p w14:paraId="29B5A284">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 xml:space="preserve">Control (routine care/usual care): standard oncology care during chemotherapy, comprising usual medical and nursing management per institutional practice, including routine symptom monitoring and supportive care (e.g., diet and activity guidance and medications such as antiemetics, analgesics, laxatives as clinically indicated); no auricular acupressure or sham intervention was provided. </w:t>
            </w:r>
          </w:p>
        </w:tc>
        <w:tc>
          <w:tcPr>
            <w:tcW w:w="384" w:type="pct"/>
            <w:tcBorders>
              <w:top w:val="single" w:color="000000" w:sz="4" w:space="0"/>
              <w:left w:val="single" w:color="000000" w:sz="4" w:space="0"/>
              <w:bottom w:val="single" w:color="000000" w:sz="4" w:space="0"/>
              <w:right w:val="single" w:color="000000" w:sz="4" w:space="0"/>
            </w:tcBorders>
            <w:vAlign w:val="center"/>
          </w:tcPr>
          <w:p w14:paraId="71FB5F90">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6 weeks</w:t>
            </w:r>
          </w:p>
        </w:tc>
        <w:tc>
          <w:tcPr>
            <w:tcW w:w="335" w:type="pct"/>
            <w:tcBorders>
              <w:top w:val="single" w:color="000000" w:sz="4" w:space="0"/>
              <w:left w:val="single" w:color="000000" w:sz="4" w:space="0"/>
              <w:bottom w:val="single" w:color="000000" w:sz="4" w:space="0"/>
              <w:right w:val="single" w:color="000000" w:sz="4" w:space="0"/>
            </w:tcBorders>
            <w:vAlign w:val="center"/>
          </w:tcPr>
          <w:p w14:paraId="746FE388">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w:t>
            </w:r>
          </w:p>
        </w:tc>
      </w:tr>
      <w:tr w14:paraId="22D2BAEA">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0038C53B">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Tang et al. (2014)</w:t>
            </w:r>
          </w:p>
        </w:tc>
        <w:tc>
          <w:tcPr>
            <w:tcW w:w="451" w:type="pct"/>
            <w:tcBorders>
              <w:top w:val="single" w:color="000000" w:sz="4" w:space="0"/>
              <w:left w:val="single" w:color="000000" w:sz="4" w:space="0"/>
              <w:bottom w:val="single" w:color="000000" w:sz="4" w:space="0"/>
              <w:right w:val="single" w:color="000000" w:sz="4" w:space="0"/>
            </w:tcBorders>
            <w:vAlign w:val="center"/>
          </w:tcPr>
          <w:p w14:paraId="23E77BE8">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Taiwan</w:t>
            </w:r>
          </w:p>
        </w:tc>
        <w:tc>
          <w:tcPr>
            <w:tcW w:w="393" w:type="pct"/>
            <w:tcBorders>
              <w:top w:val="single" w:color="000000" w:sz="4" w:space="0"/>
              <w:left w:val="single" w:color="000000" w:sz="4" w:space="0"/>
              <w:bottom w:val="single" w:color="000000" w:sz="4" w:space="0"/>
              <w:right w:val="single" w:color="000000" w:sz="4" w:space="0"/>
            </w:tcBorders>
            <w:vAlign w:val="center"/>
          </w:tcPr>
          <w:p w14:paraId="0355DD52">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40 (24/16)</w:t>
            </w:r>
          </w:p>
        </w:tc>
        <w:tc>
          <w:tcPr>
            <w:tcW w:w="393" w:type="pct"/>
            <w:tcBorders>
              <w:top w:val="single" w:color="000000" w:sz="4" w:space="0"/>
              <w:left w:val="single" w:color="000000" w:sz="4" w:space="0"/>
              <w:bottom w:val="single" w:color="000000" w:sz="4" w:space="0"/>
              <w:right w:val="single" w:color="000000" w:sz="4" w:space="0"/>
            </w:tcBorders>
            <w:vAlign w:val="center"/>
          </w:tcPr>
          <w:p w14:paraId="79EB5208">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12/12 vs. 12/4</w:t>
            </w:r>
          </w:p>
        </w:tc>
        <w:tc>
          <w:tcPr>
            <w:tcW w:w="393" w:type="pct"/>
            <w:tcBorders>
              <w:top w:val="single" w:color="000000" w:sz="4" w:space="0"/>
              <w:left w:val="single" w:color="000000" w:sz="4" w:space="0"/>
              <w:bottom w:val="single" w:color="000000" w:sz="4" w:space="0"/>
              <w:right w:val="single" w:color="000000" w:sz="4" w:space="0"/>
            </w:tcBorders>
            <w:vAlign w:val="center"/>
          </w:tcPr>
          <w:p w14:paraId="76F1E399">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54.8 ± 9.5 vs. 66.1 ± 8.0</w:t>
            </w:r>
          </w:p>
        </w:tc>
        <w:tc>
          <w:tcPr>
            <w:tcW w:w="429" w:type="pct"/>
            <w:tcBorders>
              <w:top w:val="single" w:color="000000" w:sz="4" w:space="0"/>
              <w:left w:val="single" w:color="000000" w:sz="4" w:space="0"/>
              <w:bottom w:val="single" w:color="000000" w:sz="4" w:space="0"/>
              <w:right w:val="single" w:color="000000" w:sz="4" w:space="0"/>
            </w:tcBorders>
            <w:vAlign w:val="center"/>
          </w:tcPr>
          <w:p w14:paraId="79826772">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Lung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4043657E">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Acupressure</w:t>
            </w:r>
          </w:p>
        </w:tc>
        <w:tc>
          <w:tcPr>
            <w:tcW w:w="1391" w:type="pct"/>
            <w:tcBorders>
              <w:top w:val="single" w:color="000000" w:sz="4" w:space="0"/>
              <w:left w:val="single" w:color="000000" w:sz="4" w:space="0"/>
              <w:bottom w:val="single" w:color="000000" w:sz="4" w:space="0"/>
              <w:right w:val="single" w:color="000000" w:sz="4" w:space="0"/>
            </w:tcBorders>
            <w:vAlign w:val="center"/>
          </w:tcPr>
          <w:p w14:paraId="7671E5E7">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 sham control): standard oncology care during chemotherapy, including routine clinical monitoring and supportive care per institutional practice, plus sham acupressure applied at non-acupoint locations with the same frequency and duration as the intervention; no therapeutic acupressure or essential oils were provided.</w:t>
            </w:r>
          </w:p>
        </w:tc>
        <w:tc>
          <w:tcPr>
            <w:tcW w:w="384" w:type="pct"/>
            <w:tcBorders>
              <w:top w:val="single" w:color="000000" w:sz="4" w:space="0"/>
              <w:left w:val="single" w:color="000000" w:sz="4" w:space="0"/>
              <w:bottom w:val="single" w:color="000000" w:sz="4" w:space="0"/>
              <w:right w:val="single" w:color="000000" w:sz="4" w:space="0"/>
            </w:tcBorders>
            <w:vAlign w:val="center"/>
          </w:tcPr>
          <w:p w14:paraId="2D02B4E2">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 months</w:t>
            </w:r>
          </w:p>
        </w:tc>
        <w:tc>
          <w:tcPr>
            <w:tcW w:w="335" w:type="pct"/>
            <w:tcBorders>
              <w:top w:val="single" w:color="000000" w:sz="4" w:space="0"/>
              <w:left w:val="single" w:color="000000" w:sz="4" w:space="0"/>
              <w:bottom w:val="single" w:color="000000" w:sz="4" w:space="0"/>
              <w:right w:val="single" w:color="000000" w:sz="4" w:space="0"/>
            </w:tcBorders>
            <w:vAlign w:val="center"/>
          </w:tcPr>
          <w:p w14:paraId="13B71362">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Sleep quality, Anxiety, Depression, Fatigue</w:t>
            </w:r>
          </w:p>
        </w:tc>
      </w:tr>
      <w:tr w14:paraId="64886C69">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26CCF30F">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Jung et al. (2023)</w:t>
            </w:r>
          </w:p>
        </w:tc>
        <w:tc>
          <w:tcPr>
            <w:tcW w:w="451" w:type="pct"/>
            <w:tcBorders>
              <w:top w:val="single" w:color="000000" w:sz="4" w:space="0"/>
              <w:left w:val="single" w:color="000000" w:sz="4" w:space="0"/>
              <w:bottom w:val="single" w:color="000000" w:sz="4" w:space="0"/>
              <w:right w:val="single" w:color="000000" w:sz="4" w:space="0"/>
            </w:tcBorders>
            <w:vAlign w:val="center"/>
          </w:tcPr>
          <w:p w14:paraId="4B527040">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South Korea</w:t>
            </w:r>
          </w:p>
        </w:tc>
        <w:tc>
          <w:tcPr>
            <w:tcW w:w="393" w:type="pct"/>
            <w:tcBorders>
              <w:top w:val="single" w:color="000000" w:sz="4" w:space="0"/>
              <w:left w:val="single" w:color="000000" w:sz="4" w:space="0"/>
              <w:bottom w:val="single" w:color="000000" w:sz="4" w:space="0"/>
              <w:right w:val="single" w:color="000000" w:sz="4" w:space="0"/>
            </w:tcBorders>
            <w:vAlign w:val="center"/>
          </w:tcPr>
          <w:p w14:paraId="3E83A578">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51 (25/26)</w:t>
            </w:r>
          </w:p>
        </w:tc>
        <w:tc>
          <w:tcPr>
            <w:tcW w:w="393" w:type="pct"/>
            <w:tcBorders>
              <w:top w:val="single" w:color="000000" w:sz="4" w:space="0"/>
              <w:left w:val="single" w:color="000000" w:sz="4" w:space="0"/>
              <w:bottom w:val="single" w:color="000000" w:sz="4" w:space="0"/>
              <w:right w:val="single" w:color="000000" w:sz="4" w:space="0"/>
            </w:tcBorders>
            <w:vAlign w:val="center"/>
          </w:tcPr>
          <w:p w14:paraId="0775AF94">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0/25 vs. 0/26</w:t>
            </w:r>
          </w:p>
        </w:tc>
        <w:tc>
          <w:tcPr>
            <w:tcW w:w="393" w:type="pct"/>
            <w:tcBorders>
              <w:top w:val="single" w:color="000000" w:sz="4" w:space="0"/>
              <w:left w:val="single" w:color="000000" w:sz="4" w:space="0"/>
              <w:bottom w:val="single" w:color="000000" w:sz="4" w:space="0"/>
              <w:right w:val="single" w:color="000000" w:sz="4" w:space="0"/>
            </w:tcBorders>
            <w:vAlign w:val="center"/>
          </w:tcPr>
          <w:p w14:paraId="61D0DCA0">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49.24 ± 7.57 / 49.73 ± 5.19</w:t>
            </w:r>
          </w:p>
        </w:tc>
        <w:tc>
          <w:tcPr>
            <w:tcW w:w="429" w:type="pct"/>
            <w:tcBorders>
              <w:top w:val="single" w:color="000000" w:sz="4" w:space="0"/>
              <w:left w:val="single" w:color="000000" w:sz="4" w:space="0"/>
              <w:bottom w:val="single" w:color="000000" w:sz="4" w:space="0"/>
              <w:right w:val="single" w:color="000000" w:sz="4" w:space="0"/>
            </w:tcBorders>
            <w:vAlign w:val="center"/>
          </w:tcPr>
          <w:p w14:paraId="1088348D">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Breast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03E69452">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Auricular acupressure</w:t>
            </w:r>
          </w:p>
        </w:tc>
        <w:tc>
          <w:tcPr>
            <w:tcW w:w="1391" w:type="pct"/>
            <w:tcBorders>
              <w:top w:val="single" w:color="000000" w:sz="4" w:space="0"/>
              <w:left w:val="single" w:color="000000" w:sz="4" w:space="0"/>
              <w:bottom w:val="single" w:color="000000" w:sz="4" w:space="0"/>
              <w:right w:val="single" w:color="000000" w:sz="4" w:space="0"/>
            </w:tcBorders>
            <w:vAlign w:val="center"/>
          </w:tcPr>
          <w:p w14:paraId="71D384CF">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 sham control): standard oncology care for chemotherapy-induced peripheral neuropathy continued throughout the study, including routine clinical monitoring and usual supportive/symptom management as clinically indicated; participants additionally received sham auricular acupressure (Vaccaria seeds applied to non-therapeutic ear points unrelated to CIPN, with the same schedule and procedures as the intervention), with no active auricular acupressure.</w:t>
            </w:r>
          </w:p>
        </w:tc>
        <w:tc>
          <w:tcPr>
            <w:tcW w:w="384" w:type="pct"/>
            <w:tcBorders>
              <w:top w:val="single" w:color="000000" w:sz="4" w:space="0"/>
              <w:left w:val="single" w:color="000000" w:sz="4" w:space="0"/>
              <w:bottom w:val="single" w:color="000000" w:sz="4" w:space="0"/>
              <w:right w:val="single" w:color="000000" w:sz="4" w:space="0"/>
            </w:tcBorders>
            <w:vAlign w:val="center"/>
          </w:tcPr>
          <w:p w14:paraId="3E5F79D5">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3 weeks</w:t>
            </w:r>
          </w:p>
        </w:tc>
        <w:tc>
          <w:tcPr>
            <w:tcW w:w="335" w:type="pct"/>
            <w:tcBorders>
              <w:top w:val="single" w:color="000000" w:sz="4" w:space="0"/>
              <w:left w:val="single" w:color="000000" w:sz="4" w:space="0"/>
              <w:bottom w:val="single" w:color="000000" w:sz="4" w:space="0"/>
              <w:right w:val="single" w:color="000000" w:sz="4" w:space="0"/>
            </w:tcBorders>
            <w:vAlign w:val="center"/>
          </w:tcPr>
          <w:p w14:paraId="4800460F">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w:t>
            </w:r>
          </w:p>
        </w:tc>
      </w:tr>
      <w:tr w14:paraId="786E2FD5">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01B8DCD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Yeh et al. (2016)</w:t>
            </w:r>
          </w:p>
        </w:tc>
        <w:tc>
          <w:tcPr>
            <w:tcW w:w="451" w:type="pct"/>
            <w:tcBorders>
              <w:top w:val="single" w:color="000000" w:sz="4" w:space="0"/>
              <w:left w:val="single" w:color="000000" w:sz="4" w:space="0"/>
              <w:bottom w:val="single" w:color="000000" w:sz="4" w:space="0"/>
              <w:right w:val="single" w:color="000000" w:sz="4" w:space="0"/>
            </w:tcBorders>
            <w:vAlign w:val="center"/>
          </w:tcPr>
          <w:p w14:paraId="561B4D97">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Taiwan</w:t>
            </w:r>
          </w:p>
        </w:tc>
        <w:tc>
          <w:tcPr>
            <w:tcW w:w="393" w:type="pct"/>
            <w:tcBorders>
              <w:top w:val="single" w:color="000000" w:sz="4" w:space="0"/>
              <w:left w:val="single" w:color="000000" w:sz="4" w:space="0"/>
              <w:bottom w:val="single" w:color="000000" w:sz="4" w:space="0"/>
              <w:right w:val="single" w:color="000000" w:sz="4" w:space="0"/>
            </w:tcBorders>
            <w:vAlign w:val="center"/>
          </w:tcPr>
          <w:p w14:paraId="673D0C5F">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102 (51/51)</w:t>
            </w:r>
          </w:p>
        </w:tc>
        <w:tc>
          <w:tcPr>
            <w:tcW w:w="393" w:type="pct"/>
            <w:tcBorders>
              <w:top w:val="single" w:color="000000" w:sz="4" w:space="0"/>
              <w:left w:val="single" w:color="000000" w:sz="4" w:space="0"/>
              <w:bottom w:val="single" w:color="000000" w:sz="4" w:space="0"/>
              <w:right w:val="single" w:color="000000" w:sz="4" w:space="0"/>
            </w:tcBorders>
            <w:vAlign w:val="center"/>
          </w:tcPr>
          <w:p w14:paraId="708A1778">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28/23 vs. 29/22</w:t>
            </w:r>
          </w:p>
        </w:tc>
        <w:tc>
          <w:tcPr>
            <w:tcW w:w="393" w:type="pct"/>
            <w:tcBorders>
              <w:top w:val="single" w:color="000000" w:sz="4" w:space="0"/>
              <w:left w:val="single" w:color="000000" w:sz="4" w:space="0"/>
              <w:bottom w:val="single" w:color="000000" w:sz="4" w:space="0"/>
              <w:right w:val="single" w:color="000000" w:sz="4" w:space="0"/>
            </w:tcBorders>
            <w:vAlign w:val="center"/>
          </w:tcPr>
          <w:p w14:paraId="79609D0C">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59.79 ± 16.54</w:t>
            </w:r>
          </w:p>
        </w:tc>
        <w:tc>
          <w:tcPr>
            <w:tcW w:w="429" w:type="pct"/>
            <w:tcBorders>
              <w:top w:val="single" w:color="000000" w:sz="4" w:space="0"/>
              <w:left w:val="single" w:color="000000" w:sz="4" w:space="0"/>
              <w:bottom w:val="single" w:color="000000" w:sz="4" w:space="0"/>
              <w:right w:val="single" w:color="000000" w:sz="4" w:space="0"/>
            </w:tcBorders>
            <w:vAlign w:val="center"/>
          </w:tcPr>
          <w:p w14:paraId="5030B0B0">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Non-Hodgkin’s lymphoma</w:t>
            </w:r>
          </w:p>
        </w:tc>
        <w:tc>
          <w:tcPr>
            <w:tcW w:w="499" w:type="pct"/>
            <w:tcBorders>
              <w:top w:val="single" w:color="000000" w:sz="4" w:space="0"/>
              <w:left w:val="single" w:color="000000" w:sz="4" w:space="0"/>
              <w:bottom w:val="single" w:color="000000" w:sz="4" w:space="0"/>
              <w:right w:val="single" w:color="000000" w:sz="4" w:space="0"/>
            </w:tcBorders>
            <w:vAlign w:val="center"/>
          </w:tcPr>
          <w:p w14:paraId="02B40C48">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Chan-Chuang Qigong</w:t>
            </w:r>
          </w:p>
        </w:tc>
        <w:tc>
          <w:tcPr>
            <w:tcW w:w="1391" w:type="pct"/>
            <w:tcBorders>
              <w:top w:val="single" w:color="000000" w:sz="4" w:space="0"/>
              <w:left w:val="single" w:color="000000" w:sz="4" w:space="0"/>
              <w:bottom w:val="single" w:color="000000" w:sz="4" w:space="0"/>
              <w:right w:val="single" w:color="000000" w:sz="4" w:space="0"/>
            </w:tcBorders>
            <w:vAlign w:val="center"/>
          </w:tcPr>
          <w:p w14:paraId="2F18961A">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care/usual care): standard oncology care during chemotherapy per institutional practice, without any structured exercise intervention, including routine clinical monitoring and usual supportive care as clinically indicated (e.g., symptom management and nursing support).</w:t>
            </w:r>
          </w:p>
        </w:tc>
        <w:tc>
          <w:tcPr>
            <w:tcW w:w="384" w:type="pct"/>
            <w:tcBorders>
              <w:top w:val="single" w:color="000000" w:sz="4" w:space="0"/>
              <w:left w:val="single" w:color="000000" w:sz="4" w:space="0"/>
              <w:bottom w:val="single" w:color="000000" w:sz="4" w:space="0"/>
              <w:right w:val="single" w:color="000000" w:sz="4" w:space="0"/>
            </w:tcBorders>
            <w:vAlign w:val="center"/>
          </w:tcPr>
          <w:p w14:paraId="69DB3BF3">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21 days</w:t>
            </w:r>
          </w:p>
        </w:tc>
        <w:tc>
          <w:tcPr>
            <w:tcW w:w="335" w:type="pct"/>
            <w:tcBorders>
              <w:top w:val="single" w:color="000000" w:sz="4" w:space="0"/>
              <w:left w:val="single" w:color="000000" w:sz="4" w:space="0"/>
              <w:bottom w:val="single" w:color="000000" w:sz="4" w:space="0"/>
              <w:right w:val="single" w:color="000000" w:sz="4" w:space="0"/>
            </w:tcBorders>
            <w:vAlign w:val="center"/>
          </w:tcPr>
          <w:p w14:paraId="0BD76846">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Sleep quality, Fatigue</w:t>
            </w:r>
          </w:p>
        </w:tc>
      </w:tr>
      <w:tr w14:paraId="0954FC08">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23210529">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Zhang et al. (2016)</w:t>
            </w:r>
          </w:p>
        </w:tc>
        <w:tc>
          <w:tcPr>
            <w:tcW w:w="451" w:type="pct"/>
            <w:tcBorders>
              <w:top w:val="single" w:color="000000" w:sz="4" w:space="0"/>
              <w:left w:val="single" w:color="000000" w:sz="4" w:space="0"/>
              <w:bottom w:val="single" w:color="000000" w:sz="4" w:space="0"/>
              <w:right w:val="single" w:color="000000" w:sz="4" w:space="0"/>
            </w:tcBorders>
            <w:vAlign w:val="center"/>
          </w:tcPr>
          <w:p w14:paraId="4BD8E1C6">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1D24F98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91 (47 / 44)</w:t>
            </w:r>
          </w:p>
        </w:tc>
        <w:tc>
          <w:tcPr>
            <w:tcW w:w="393" w:type="pct"/>
            <w:tcBorders>
              <w:top w:val="single" w:color="000000" w:sz="4" w:space="0"/>
              <w:left w:val="single" w:color="000000" w:sz="4" w:space="0"/>
              <w:bottom w:val="single" w:color="000000" w:sz="4" w:space="0"/>
              <w:right w:val="single" w:color="000000" w:sz="4" w:space="0"/>
            </w:tcBorders>
            <w:vAlign w:val="center"/>
          </w:tcPr>
          <w:p w14:paraId="77D19ED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37/10 vs. 31/13</w:t>
            </w:r>
          </w:p>
        </w:tc>
        <w:tc>
          <w:tcPr>
            <w:tcW w:w="393" w:type="pct"/>
            <w:tcBorders>
              <w:top w:val="single" w:color="000000" w:sz="4" w:space="0"/>
              <w:left w:val="single" w:color="000000" w:sz="4" w:space="0"/>
              <w:bottom w:val="single" w:color="000000" w:sz="4" w:space="0"/>
              <w:right w:val="single" w:color="000000" w:sz="4" w:space="0"/>
            </w:tcBorders>
            <w:vAlign w:val="center"/>
          </w:tcPr>
          <w:p w14:paraId="2B437375">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62.8 years</w:t>
            </w:r>
          </w:p>
        </w:tc>
        <w:tc>
          <w:tcPr>
            <w:tcW w:w="429" w:type="pct"/>
            <w:tcBorders>
              <w:top w:val="single" w:color="000000" w:sz="4" w:space="0"/>
              <w:left w:val="single" w:color="000000" w:sz="4" w:space="0"/>
              <w:bottom w:val="single" w:color="000000" w:sz="4" w:space="0"/>
              <w:right w:val="single" w:color="000000" w:sz="4" w:space="0"/>
            </w:tcBorders>
            <w:vAlign w:val="center"/>
          </w:tcPr>
          <w:p w14:paraId="66AA645E">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Lung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3774E009">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Taichi</w:t>
            </w:r>
          </w:p>
        </w:tc>
        <w:tc>
          <w:tcPr>
            <w:tcW w:w="1391" w:type="pct"/>
            <w:tcBorders>
              <w:top w:val="single" w:color="000000" w:sz="4" w:space="0"/>
              <w:left w:val="single" w:color="000000" w:sz="4" w:space="0"/>
              <w:bottom w:val="single" w:color="000000" w:sz="4" w:space="0"/>
              <w:right w:val="single" w:color="000000" w:sz="4" w:space="0"/>
            </w:tcBorders>
            <w:vAlign w:val="center"/>
          </w:tcPr>
          <w:p w14:paraId="5A35CCD5">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 active control): standard oncology care during chemotherapy per institutional practice, plus a low-impact exercise program consisting of gentle arm, neck, and leg movements, stretching of upper and lower body muscle groups, and deep abdominal breathing. Exercises were performed every other day for 60 min over 12 weeks, with no Tai Chi intervention.</w:t>
            </w:r>
          </w:p>
        </w:tc>
        <w:tc>
          <w:tcPr>
            <w:tcW w:w="384" w:type="pct"/>
            <w:tcBorders>
              <w:top w:val="single" w:color="000000" w:sz="4" w:space="0"/>
              <w:left w:val="single" w:color="000000" w:sz="4" w:space="0"/>
              <w:bottom w:val="single" w:color="000000" w:sz="4" w:space="0"/>
              <w:right w:val="single" w:color="000000" w:sz="4" w:space="0"/>
            </w:tcBorders>
            <w:vAlign w:val="center"/>
          </w:tcPr>
          <w:p w14:paraId="6C6FD3A7">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12 weeks</w:t>
            </w:r>
          </w:p>
        </w:tc>
        <w:tc>
          <w:tcPr>
            <w:tcW w:w="335" w:type="pct"/>
            <w:tcBorders>
              <w:top w:val="single" w:color="000000" w:sz="4" w:space="0"/>
              <w:left w:val="single" w:color="000000" w:sz="4" w:space="0"/>
              <w:bottom w:val="single" w:color="000000" w:sz="4" w:space="0"/>
              <w:right w:val="single" w:color="000000" w:sz="4" w:space="0"/>
            </w:tcBorders>
            <w:vAlign w:val="center"/>
          </w:tcPr>
          <w:p w14:paraId="3933D1B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General emotional state, Fatigue</w:t>
            </w:r>
          </w:p>
        </w:tc>
      </w:tr>
      <w:tr w14:paraId="6A0DDC57">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5F1FD376">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Zhou et al. (2017)</w:t>
            </w:r>
          </w:p>
        </w:tc>
        <w:tc>
          <w:tcPr>
            <w:tcW w:w="451" w:type="pct"/>
            <w:tcBorders>
              <w:top w:val="single" w:color="000000" w:sz="4" w:space="0"/>
              <w:left w:val="single" w:color="000000" w:sz="4" w:space="0"/>
              <w:bottom w:val="single" w:color="000000" w:sz="4" w:space="0"/>
              <w:right w:val="single" w:color="000000" w:sz="4" w:space="0"/>
            </w:tcBorders>
            <w:vAlign w:val="center"/>
          </w:tcPr>
          <w:p w14:paraId="444EF112">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6758BEF4">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114 (57/57)</w:t>
            </w:r>
          </w:p>
        </w:tc>
        <w:tc>
          <w:tcPr>
            <w:tcW w:w="393" w:type="pct"/>
            <w:tcBorders>
              <w:top w:val="single" w:color="000000" w:sz="4" w:space="0"/>
              <w:left w:val="single" w:color="000000" w:sz="4" w:space="0"/>
              <w:bottom w:val="single" w:color="000000" w:sz="4" w:space="0"/>
              <w:right w:val="single" w:color="000000" w:sz="4" w:space="0"/>
            </w:tcBorders>
            <w:vAlign w:val="center"/>
          </w:tcPr>
          <w:p w14:paraId="4DF300A0">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38/19 vs. 45/12</w:t>
            </w:r>
          </w:p>
        </w:tc>
        <w:tc>
          <w:tcPr>
            <w:tcW w:w="393" w:type="pct"/>
            <w:tcBorders>
              <w:top w:val="single" w:color="000000" w:sz="4" w:space="0"/>
              <w:left w:val="single" w:color="000000" w:sz="4" w:space="0"/>
              <w:bottom w:val="single" w:color="000000" w:sz="4" w:space="0"/>
              <w:right w:val="single" w:color="000000" w:sz="4" w:space="0"/>
            </w:tcBorders>
            <w:vAlign w:val="center"/>
          </w:tcPr>
          <w:p w14:paraId="61298ED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NA</w:t>
            </w:r>
          </w:p>
        </w:tc>
        <w:tc>
          <w:tcPr>
            <w:tcW w:w="429" w:type="pct"/>
            <w:tcBorders>
              <w:top w:val="single" w:color="000000" w:sz="4" w:space="0"/>
              <w:left w:val="single" w:color="000000" w:sz="4" w:space="0"/>
              <w:bottom w:val="single" w:color="000000" w:sz="4" w:space="0"/>
              <w:right w:val="single" w:color="000000" w:sz="4" w:space="0"/>
            </w:tcBorders>
            <w:vAlign w:val="center"/>
          </w:tcPr>
          <w:p w14:paraId="5EF2AF38">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Nasopharyngeal carcinoma</w:t>
            </w:r>
          </w:p>
        </w:tc>
        <w:tc>
          <w:tcPr>
            <w:tcW w:w="499" w:type="pct"/>
            <w:tcBorders>
              <w:top w:val="single" w:color="000000" w:sz="4" w:space="0"/>
              <w:left w:val="single" w:color="000000" w:sz="4" w:space="0"/>
              <w:bottom w:val="single" w:color="000000" w:sz="4" w:space="0"/>
              <w:right w:val="single" w:color="000000" w:sz="4" w:space="0"/>
            </w:tcBorders>
            <w:vAlign w:val="center"/>
          </w:tcPr>
          <w:p w14:paraId="035C0985">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Taichi</w:t>
            </w:r>
          </w:p>
        </w:tc>
        <w:tc>
          <w:tcPr>
            <w:tcW w:w="1391" w:type="pct"/>
            <w:tcBorders>
              <w:top w:val="single" w:color="000000" w:sz="4" w:space="0"/>
              <w:left w:val="single" w:color="000000" w:sz="4" w:space="0"/>
              <w:bottom w:val="single" w:color="000000" w:sz="4" w:space="0"/>
              <w:right w:val="single" w:color="000000" w:sz="4" w:space="0"/>
            </w:tcBorders>
            <w:vAlign w:val="center"/>
          </w:tcPr>
          <w:p w14:paraId="72855C34">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care/usual care): standard care for nasopharyngeal carcinoma during chemoradiotherapy per institutional practice, including routine medical and nursing management and symptom monitoring; no structured exercise or Tai Chi intervention was provided.</w:t>
            </w:r>
          </w:p>
        </w:tc>
        <w:tc>
          <w:tcPr>
            <w:tcW w:w="384" w:type="pct"/>
            <w:tcBorders>
              <w:top w:val="single" w:color="000000" w:sz="4" w:space="0"/>
              <w:left w:val="single" w:color="000000" w:sz="4" w:space="0"/>
              <w:bottom w:val="single" w:color="000000" w:sz="4" w:space="0"/>
              <w:right w:val="single" w:color="000000" w:sz="4" w:space="0"/>
            </w:tcBorders>
            <w:vAlign w:val="center"/>
          </w:tcPr>
          <w:p w14:paraId="1FDD640E">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7 weeks</w:t>
            </w:r>
          </w:p>
        </w:tc>
        <w:tc>
          <w:tcPr>
            <w:tcW w:w="335" w:type="pct"/>
            <w:tcBorders>
              <w:top w:val="single" w:color="000000" w:sz="4" w:space="0"/>
              <w:left w:val="single" w:color="000000" w:sz="4" w:space="0"/>
              <w:bottom w:val="single" w:color="000000" w:sz="4" w:space="0"/>
              <w:right w:val="single" w:color="000000" w:sz="4" w:space="0"/>
            </w:tcBorders>
            <w:vAlign w:val="center"/>
          </w:tcPr>
          <w:p w14:paraId="223510AD">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General emotional state, Fatigue</w:t>
            </w:r>
          </w:p>
        </w:tc>
      </w:tr>
      <w:tr w14:paraId="1E5C4B02">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58229D48">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Chen et al. (2021)</w:t>
            </w:r>
          </w:p>
        </w:tc>
        <w:tc>
          <w:tcPr>
            <w:tcW w:w="451" w:type="pct"/>
            <w:tcBorders>
              <w:top w:val="single" w:color="000000" w:sz="4" w:space="0"/>
              <w:left w:val="single" w:color="000000" w:sz="4" w:space="0"/>
              <w:bottom w:val="single" w:color="000000" w:sz="4" w:space="0"/>
              <w:right w:val="single" w:color="000000" w:sz="4" w:space="0"/>
            </w:tcBorders>
            <w:vAlign w:val="center"/>
          </w:tcPr>
          <w:p w14:paraId="30930CD1">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0247B566">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84 (42/42)</w:t>
            </w:r>
          </w:p>
        </w:tc>
        <w:tc>
          <w:tcPr>
            <w:tcW w:w="393" w:type="pct"/>
            <w:tcBorders>
              <w:top w:val="single" w:color="000000" w:sz="4" w:space="0"/>
              <w:left w:val="single" w:color="000000" w:sz="4" w:space="0"/>
              <w:bottom w:val="single" w:color="000000" w:sz="4" w:space="0"/>
              <w:right w:val="single" w:color="000000" w:sz="4" w:space="0"/>
            </w:tcBorders>
            <w:vAlign w:val="center"/>
          </w:tcPr>
          <w:p w14:paraId="64EE2886">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25/17 vs. 26/16</w:t>
            </w:r>
          </w:p>
        </w:tc>
        <w:tc>
          <w:tcPr>
            <w:tcW w:w="393" w:type="pct"/>
            <w:tcBorders>
              <w:top w:val="single" w:color="000000" w:sz="4" w:space="0"/>
              <w:left w:val="single" w:color="000000" w:sz="4" w:space="0"/>
              <w:bottom w:val="single" w:color="000000" w:sz="4" w:space="0"/>
              <w:right w:val="single" w:color="000000" w:sz="4" w:space="0"/>
            </w:tcBorders>
            <w:vAlign w:val="center"/>
          </w:tcPr>
          <w:p w14:paraId="73B974C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57.93 ± 6.77 vs. 57.62 ± 6.94</w:t>
            </w:r>
          </w:p>
        </w:tc>
        <w:tc>
          <w:tcPr>
            <w:tcW w:w="429" w:type="pct"/>
            <w:tcBorders>
              <w:top w:val="single" w:color="000000" w:sz="4" w:space="0"/>
              <w:left w:val="single" w:color="000000" w:sz="4" w:space="0"/>
              <w:bottom w:val="single" w:color="000000" w:sz="4" w:space="0"/>
              <w:right w:val="single" w:color="000000" w:sz="4" w:space="0"/>
            </w:tcBorders>
            <w:vAlign w:val="center"/>
          </w:tcPr>
          <w:p w14:paraId="1797CDD7">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Lung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209913EC">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Moxibustion + Acupoint Therapy</w:t>
            </w:r>
          </w:p>
        </w:tc>
        <w:tc>
          <w:tcPr>
            <w:tcW w:w="1391" w:type="pct"/>
            <w:tcBorders>
              <w:top w:val="single" w:color="000000" w:sz="4" w:space="0"/>
              <w:left w:val="single" w:color="000000" w:sz="4" w:space="0"/>
              <w:bottom w:val="single" w:color="000000" w:sz="4" w:space="0"/>
              <w:right w:val="single" w:color="000000" w:sz="4" w:space="0"/>
            </w:tcBorders>
            <w:vAlign w:val="center"/>
          </w:tcPr>
          <w:p w14:paraId="49959F1A">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routine oncology specialty nursing during chemotherapy, including maintenance of chemotherapy access, medication guidance, health education, psychological counseling, and nutritional support; no moxibustion, auricular acupressure, or acupoint application was provided.</w:t>
            </w:r>
          </w:p>
        </w:tc>
        <w:tc>
          <w:tcPr>
            <w:tcW w:w="384" w:type="pct"/>
            <w:tcBorders>
              <w:top w:val="single" w:color="000000" w:sz="4" w:space="0"/>
              <w:left w:val="single" w:color="000000" w:sz="4" w:space="0"/>
              <w:bottom w:val="single" w:color="000000" w:sz="4" w:space="0"/>
              <w:right w:val="single" w:color="000000" w:sz="4" w:space="0"/>
            </w:tcBorders>
            <w:vAlign w:val="center"/>
          </w:tcPr>
          <w:p w14:paraId="162706B4">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6 weeks</w:t>
            </w:r>
          </w:p>
        </w:tc>
        <w:tc>
          <w:tcPr>
            <w:tcW w:w="335" w:type="pct"/>
            <w:tcBorders>
              <w:top w:val="single" w:color="000000" w:sz="4" w:space="0"/>
              <w:left w:val="single" w:color="000000" w:sz="4" w:space="0"/>
              <w:bottom w:val="single" w:color="000000" w:sz="4" w:space="0"/>
              <w:right w:val="single" w:color="000000" w:sz="4" w:space="0"/>
            </w:tcBorders>
            <w:vAlign w:val="center"/>
          </w:tcPr>
          <w:p w14:paraId="73835AF1">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w:t>
            </w:r>
          </w:p>
        </w:tc>
      </w:tr>
      <w:tr w14:paraId="181A61C8">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493F005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Zhang et al. (2024)</w:t>
            </w:r>
          </w:p>
        </w:tc>
        <w:tc>
          <w:tcPr>
            <w:tcW w:w="451" w:type="pct"/>
            <w:tcBorders>
              <w:top w:val="single" w:color="000000" w:sz="4" w:space="0"/>
              <w:left w:val="single" w:color="000000" w:sz="4" w:space="0"/>
              <w:bottom w:val="single" w:color="000000" w:sz="4" w:space="0"/>
              <w:right w:val="single" w:color="000000" w:sz="4" w:space="0"/>
            </w:tcBorders>
            <w:vAlign w:val="center"/>
          </w:tcPr>
          <w:p w14:paraId="1C14129E">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7639717D">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62 (31/31)</w:t>
            </w:r>
          </w:p>
        </w:tc>
        <w:tc>
          <w:tcPr>
            <w:tcW w:w="393" w:type="pct"/>
            <w:tcBorders>
              <w:top w:val="single" w:color="000000" w:sz="4" w:space="0"/>
              <w:left w:val="single" w:color="000000" w:sz="4" w:space="0"/>
              <w:bottom w:val="single" w:color="000000" w:sz="4" w:space="0"/>
              <w:right w:val="single" w:color="000000" w:sz="4" w:space="0"/>
            </w:tcBorders>
            <w:vAlign w:val="center"/>
          </w:tcPr>
          <w:p w14:paraId="1A1D7EC1">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20/11 vs. 19/12</w:t>
            </w:r>
          </w:p>
        </w:tc>
        <w:tc>
          <w:tcPr>
            <w:tcW w:w="393" w:type="pct"/>
            <w:tcBorders>
              <w:top w:val="single" w:color="000000" w:sz="4" w:space="0"/>
              <w:left w:val="single" w:color="000000" w:sz="4" w:space="0"/>
              <w:bottom w:val="single" w:color="000000" w:sz="4" w:space="0"/>
              <w:right w:val="single" w:color="000000" w:sz="4" w:space="0"/>
            </w:tcBorders>
            <w:vAlign w:val="center"/>
          </w:tcPr>
          <w:p w14:paraId="1839F2D6">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46.53 ± 4.12 vs. 47.36 ± 3.27</w:t>
            </w:r>
          </w:p>
        </w:tc>
        <w:tc>
          <w:tcPr>
            <w:tcW w:w="429" w:type="pct"/>
            <w:tcBorders>
              <w:top w:val="single" w:color="000000" w:sz="4" w:space="0"/>
              <w:left w:val="single" w:color="000000" w:sz="4" w:space="0"/>
              <w:bottom w:val="single" w:color="000000" w:sz="4" w:space="0"/>
              <w:right w:val="single" w:color="000000" w:sz="4" w:space="0"/>
            </w:tcBorders>
            <w:vAlign w:val="center"/>
          </w:tcPr>
          <w:p w14:paraId="633203CB">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Rectal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331CC0F6">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Baduanjin Qigong</w:t>
            </w:r>
          </w:p>
        </w:tc>
        <w:tc>
          <w:tcPr>
            <w:tcW w:w="1391" w:type="pct"/>
            <w:tcBorders>
              <w:top w:val="single" w:color="000000" w:sz="4" w:space="0"/>
              <w:left w:val="single" w:color="000000" w:sz="4" w:space="0"/>
              <w:bottom w:val="single" w:color="000000" w:sz="4" w:space="0"/>
              <w:right w:val="single" w:color="000000" w:sz="4" w:space="0"/>
            </w:tcBorders>
            <w:vAlign w:val="center"/>
          </w:tcPr>
          <w:p w14:paraId="1C7C4371">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care/usual care): routine nursing care during neoadjuvant chemoradiotherapy, delivered per institutional practice, including physician-ordered treatment-related nursing care, psychological counseling, and dietary guidance; no Baduanjin exercise or traditional Chinese medicine–based emotional care was provided.</w:t>
            </w:r>
          </w:p>
        </w:tc>
        <w:tc>
          <w:tcPr>
            <w:tcW w:w="384" w:type="pct"/>
            <w:tcBorders>
              <w:top w:val="single" w:color="000000" w:sz="4" w:space="0"/>
              <w:left w:val="single" w:color="000000" w:sz="4" w:space="0"/>
              <w:bottom w:val="single" w:color="000000" w:sz="4" w:space="0"/>
              <w:right w:val="single" w:color="000000" w:sz="4" w:space="0"/>
            </w:tcBorders>
            <w:vAlign w:val="center"/>
          </w:tcPr>
          <w:p w14:paraId="01E20CA8">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 year</w:t>
            </w:r>
          </w:p>
        </w:tc>
        <w:tc>
          <w:tcPr>
            <w:tcW w:w="335" w:type="pct"/>
            <w:tcBorders>
              <w:top w:val="single" w:color="000000" w:sz="4" w:space="0"/>
              <w:left w:val="single" w:color="000000" w:sz="4" w:space="0"/>
              <w:bottom w:val="single" w:color="000000" w:sz="4" w:space="0"/>
              <w:right w:val="single" w:color="000000" w:sz="4" w:space="0"/>
            </w:tcBorders>
            <w:vAlign w:val="center"/>
          </w:tcPr>
          <w:p w14:paraId="066FB70D">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General emotional state</w:t>
            </w:r>
          </w:p>
        </w:tc>
      </w:tr>
      <w:tr w14:paraId="63ACA132">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50C56B4F">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Zhou et al. (2022)</w:t>
            </w:r>
          </w:p>
        </w:tc>
        <w:tc>
          <w:tcPr>
            <w:tcW w:w="451" w:type="pct"/>
            <w:tcBorders>
              <w:top w:val="single" w:color="000000" w:sz="4" w:space="0"/>
              <w:left w:val="single" w:color="000000" w:sz="4" w:space="0"/>
              <w:bottom w:val="single" w:color="000000" w:sz="4" w:space="0"/>
              <w:right w:val="single" w:color="000000" w:sz="4" w:space="0"/>
            </w:tcBorders>
            <w:vAlign w:val="center"/>
          </w:tcPr>
          <w:p w14:paraId="52321968">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3298936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100 (50/50)</w:t>
            </w:r>
          </w:p>
        </w:tc>
        <w:tc>
          <w:tcPr>
            <w:tcW w:w="393" w:type="pct"/>
            <w:tcBorders>
              <w:top w:val="single" w:color="000000" w:sz="4" w:space="0"/>
              <w:left w:val="single" w:color="000000" w:sz="4" w:space="0"/>
              <w:bottom w:val="single" w:color="000000" w:sz="4" w:space="0"/>
              <w:right w:val="single" w:color="000000" w:sz="4" w:space="0"/>
            </w:tcBorders>
            <w:vAlign w:val="center"/>
          </w:tcPr>
          <w:p w14:paraId="45276C5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16/34 vs. 18/32</w:t>
            </w:r>
          </w:p>
        </w:tc>
        <w:tc>
          <w:tcPr>
            <w:tcW w:w="393" w:type="pct"/>
            <w:tcBorders>
              <w:top w:val="single" w:color="000000" w:sz="4" w:space="0"/>
              <w:left w:val="single" w:color="000000" w:sz="4" w:space="0"/>
              <w:bottom w:val="single" w:color="000000" w:sz="4" w:space="0"/>
              <w:right w:val="single" w:color="000000" w:sz="4" w:space="0"/>
            </w:tcBorders>
            <w:vAlign w:val="center"/>
          </w:tcPr>
          <w:p w14:paraId="3EAD5C75">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55 ± 8.5 vs 54 ± 7.75</w:t>
            </w:r>
          </w:p>
        </w:tc>
        <w:tc>
          <w:tcPr>
            <w:tcW w:w="429" w:type="pct"/>
            <w:tcBorders>
              <w:top w:val="single" w:color="000000" w:sz="4" w:space="0"/>
              <w:left w:val="single" w:color="000000" w:sz="4" w:space="0"/>
              <w:bottom w:val="single" w:color="000000" w:sz="4" w:space="0"/>
              <w:right w:val="single" w:color="000000" w:sz="4" w:space="0"/>
            </w:tcBorders>
            <w:vAlign w:val="center"/>
          </w:tcPr>
          <w:p w14:paraId="625ED28D">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Gastrointestinal tumors</w:t>
            </w:r>
          </w:p>
        </w:tc>
        <w:tc>
          <w:tcPr>
            <w:tcW w:w="499" w:type="pct"/>
            <w:tcBorders>
              <w:top w:val="single" w:color="000000" w:sz="4" w:space="0"/>
              <w:left w:val="single" w:color="000000" w:sz="4" w:space="0"/>
              <w:bottom w:val="single" w:color="000000" w:sz="4" w:space="0"/>
              <w:right w:val="single" w:color="000000" w:sz="4" w:space="0"/>
            </w:tcBorders>
            <w:vAlign w:val="center"/>
          </w:tcPr>
          <w:p w14:paraId="26C66456">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Baduanjin Qigong</w:t>
            </w:r>
          </w:p>
        </w:tc>
        <w:tc>
          <w:tcPr>
            <w:tcW w:w="1391" w:type="pct"/>
            <w:tcBorders>
              <w:top w:val="single" w:color="000000" w:sz="4" w:space="0"/>
              <w:left w:val="single" w:color="000000" w:sz="4" w:space="0"/>
              <w:bottom w:val="single" w:color="000000" w:sz="4" w:space="0"/>
              <w:right w:val="single" w:color="000000" w:sz="4" w:space="0"/>
            </w:tcBorders>
            <w:vAlign w:val="center"/>
          </w:tcPr>
          <w:p w14:paraId="4402132D">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 xml:space="preserve">Control (routine care/usual care): routine nursing care during post-chemotherapy hospitalization, delivered per institutional practice, including physician-prescribed chemotherapy-related nursing care, medication administration, dietary guidance, psychological counseling, rest and activity advice, and discharge education; no Baduanjin exercise or traditional Chinese medicine–based emotional nursing was provided. </w:t>
            </w:r>
          </w:p>
        </w:tc>
        <w:tc>
          <w:tcPr>
            <w:tcW w:w="384" w:type="pct"/>
            <w:tcBorders>
              <w:top w:val="single" w:color="000000" w:sz="4" w:space="0"/>
              <w:left w:val="single" w:color="000000" w:sz="4" w:space="0"/>
              <w:bottom w:val="single" w:color="000000" w:sz="4" w:space="0"/>
              <w:right w:val="single" w:color="000000" w:sz="4" w:space="0"/>
            </w:tcBorders>
            <w:vAlign w:val="center"/>
          </w:tcPr>
          <w:p w14:paraId="7CC92A9A">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4 weeks</w:t>
            </w:r>
          </w:p>
        </w:tc>
        <w:tc>
          <w:tcPr>
            <w:tcW w:w="335" w:type="pct"/>
            <w:tcBorders>
              <w:top w:val="single" w:color="000000" w:sz="4" w:space="0"/>
              <w:left w:val="single" w:color="000000" w:sz="4" w:space="0"/>
              <w:bottom w:val="single" w:color="000000" w:sz="4" w:space="0"/>
              <w:right w:val="single" w:color="000000" w:sz="4" w:space="0"/>
            </w:tcBorders>
            <w:vAlign w:val="center"/>
          </w:tcPr>
          <w:p w14:paraId="010BA914">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General emotional state</w:t>
            </w:r>
          </w:p>
        </w:tc>
      </w:tr>
      <w:tr w14:paraId="5A2A28F7">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60611F65">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Zhang et al. (2020a)</w:t>
            </w:r>
          </w:p>
        </w:tc>
        <w:tc>
          <w:tcPr>
            <w:tcW w:w="451" w:type="pct"/>
            <w:tcBorders>
              <w:top w:val="single" w:color="000000" w:sz="4" w:space="0"/>
              <w:left w:val="single" w:color="000000" w:sz="4" w:space="0"/>
              <w:bottom w:val="single" w:color="000000" w:sz="4" w:space="0"/>
              <w:right w:val="single" w:color="000000" w:sz="4" w:space="0"/>
            </w:tcBorders>
            <w:vAlign w:val="center"/>
          </w:tcPr>
          <w:p w14:paraId="242ABE0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0ED48019">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64 (32/32)</w:t>
            </w:r>
          </w:p>
        </w:tc>
        <w:tc>
          <w:tcPr>
            <w:tcW w:w="393" w:type="pct"/>
            <w:tcBorders>
              <w:top w:val="single" w:color="000000" w:sz="4" w:space="0"/>
              <w:left w:val="single" w:color="000000" w:sz="4" w:space="0"/>
              <w:bottom w:val="single" w:color="000000" w:sz="4" w:space="0"/>
              <w:right w:val="single" w:color="000000" w:sz="4" w:space="0"/>
            </w:tcBorders>
            <w:vAlign w:val="center"/>
          </w:tcPr>
          <w:p w14:paraId="6D105A9F">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18/14 vs. 17/15</w:t>
            </w:r>
          </w:p>
        </w:tc>
        <w:tc>
          <w:tcPr>
            <w:tcW w:w="393" w:type="pct"/>
            <w:tcBorders>
              <w:top w:val="single" w:color="000000" w:sz="4" w:space="0"/>
              <w:left w:val="single" w:color="000000" w:sz="4" w:space="0"/>
              <w:bottom w:val="single" w:color="000000" w:sz="4" w:space="0"/>
              <w:right w:val="single" w:color="000000" w:sz="4" w:space="0"/>
            </w:tcBorders>
            <w:vAlign w:val="center"/>
          </w:tcPr>
          <w:p w14:paraId="72D144C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33 ± 5</w:t>
            </w:r>
          </w:p>
        </w:tc>
        <w:tc>
          <w:tcPr>
            <w:tcW w:w="429" w:type="pct"/>
            <w:tcBorders>
              <w:top w:val="single" w:color="000000" w:sz="4" w:space="0"/>
              <w:left w:val="single" w:color="000000" w:sz="4" w:space="0"/>
              <w:bottom w:val="single" w:color="000000" w:sz="4" w:space="0"/>
              <w:right w:val="single" w:color="000000" w:sz="4" w:space="0"/>
            </w:tcBorders>
            <w:vAlign w:val="center"/>
          </w:tcPr>
          <w:p w14:paraId="4E1293BE">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Advanced malignant bone tumors</w:t>
            </w:r>
          </w:p>
        </w:tc>
        <w:tc>
          <w:tcPr>
            <w:tcW w:w="499" w:type="pct"/>
            <w:tcBorders>
              <w:top w:val="single" w:color="000000" w:sz="4" w:space="0"/>
              <w:left w:val="single" w:color="000000" w:sz="4" w:space="0"/>
              <w:bottom w:val="single" w:color="000000" w:sz="4" w:space="0"/>
              <w:right w:val="single" w:color="000000" w:sz="4" w:space="0"/>
            </w:tcBorders>
            <w:vAlign w:val="center"/>
          </w:tcPr>
          <w:p w14:paraId="42394E46">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Ginger moxibustion</w:t>
            </w:r>
          </w:p>
        </w:tc>
        <w:tc>
          <w:tcPr>
            <w:tcW w:w="1391" w:type="pct"/>
            <w:tcBorders>
              <w:top w:val="single" w:color="000000" w:sz="4" w:space="0"/>
              <w:left w:val="single" w:color="000000" w:sz="4" w:space="0"/>
              <w:bottom w:val="single" w:color="000000" w:sz="4" w:space="0"/>
              <w:right w:val="single" w:color="000000" w:sz="4" w:space="0"/>
            </w:tcBorders>
            <w:vAlign w:val="center"/>
          </w:tcPr>
          <w:p w14:paraId="6F66B641">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standard chemotherapy (adriamycin + cisplatin) with guideline-based prophylactic antiemetic therapy, specifically IV tropisetron hydrochloride 5 mg administered 1 h before chemotherapy, once daily for 5 days; routine oncology care otherwise continued, with no ginger-partitioned moxibustion</w:t>
            </w:r>
          </w:p>
        </w:tc>
        <w:tc>
          <w:tcPr>
            <w:tcW w:w="384" w:type="pct"/>
            <w:tcBorders>
              <w:top w:val="single" w:color="000000" w:sz="4" w:space="0"/>
              <w:left w:val="single" w:color="000000" w:sz="4" w:space="0"/>
              <w:bottom w:val="single" w:color="000000" w:sz="4" w:space="0"/>
              <w:right w:val="single" w:color="000000" w:sz="4" w:space="0"/>
            </w:tcBorders>
            <w:vAlign w:val="center"/>
          </w:tcPr>
          <w:p w14:paraId="4ED33F92">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 days</w:t>
            </w:r>
          </w:p>
        </w:tc>
        <w:tc>
          <w:tcPr>
            <w:tcW w:w="335" w:type="pct"/>
            <w:tcBorders>
              <w:top w:val="single" w:color="000000" w:sz="4" w:space="0"/>
              <w:left w:val="single" w:color="000000" w:sz="4" w:space="0"/>
              <w:bottom w:val="single" w:color="000000" w:sz="4" w:space="0"/>
              <w:right w:val="single" w:color="000000" w:sz="4" w:space="0"/>
            </w:tcBorders>
            <w:vAlign w:val="center"/>
          </w:tcPr>
          <w:p w14:paraId="7081F15B">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w:t>
            </w:r>
          </w:p>
        </w:tc>
      </w:tr>
      <w:tr w14:paraId="13C6B846">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114808F6">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Zhang et al. (2020b)</w:t>
            </w:r>
          </w:p>
        </w:tc>
        <w:tc>
          <w:tcPr>
            <w:tcW w:w="451" w:type="pct"/>
            <w:tcBorders>
              <w:top w:val="single" w:color="000000" w:sz="4" w:space="0"/>
              <w:left w:val="single" w:color="000000" w:sz="4" w:space="0"/>
              <w:bottom w:val="single" w:color="000000" w:sz="4" w:space="0"/>
              <w:right w:val="single" w:color="000000" w:sz="4" w:space="0"/>
            </w:tcBorders>
            <w:vAlign w:val="center"/>
          </w:tcPr>
          <w:p w14:paraId="4CE88B1B">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4BDDF87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60 (30/30)</w:t>
            </w:r>
          </w:p>
        </w:tc>
        <w:tc>
          <w:tcPr>
            <w:tcW w:w="393" w:type="pct"/>
            <w:tcBorders>
              <w:top w:val="single" w:color="000000" w:sz="4" w:space="0"/>
              <w:left w:val="single" w:color="000000" w:sz="4" w:space="0"/>
              <w:bottom w:val="single" w:color="000000" w:sz="4" w:space="0"/>
              <w:right w:val="single" w:color="000000" w:sz="4" w:space="0"/>
            </w:tcBorders>
            <w:vAlign w:val="center"/>
          </w:tcPr>
          <w:p w14:paraId="5813533E">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16/14 vs. 15/15</w:t>
            </w:r>
          </w:p>
        </w:tc>
        <w:tc>
          <w:tcPr>
            <w:tcW w:w="393" w:type="pct"/>
            <w:tcBorders>
              <w:top w:val="single" w:color="000000" w:sz="4" w:space="0"/>
              <w:left w:val="single" w:color="000000" w:sz="4" w:space="0"/>
              <w:bottom w:val="single" w:color="000000" w:sz="4" w:space="0"/>
              <w:right w:val="single" w:color="000000" w:sz="4" w:space="0"/>
            </w:tcBorders>
            <w:vAlign w:val="center"/>
          </w:tcPr>
          <w:p w14:paraId="09AA594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51.1 ± 4.7 vs. 52.2 ± 5.1</w:t>
            </w:r>
          </w:p>
        </w:tc>
        <w:tc>
          <w:tcPr>
            <w:tcW w:w="429" w:type="pct"/>
            <w:tcBorders>
              <w:top w:val="single" w:color="000000" w:sz="4" w:space="0"/>
              <w:left w:val="single" w:color="000000" w:sz="4" w:space="0"/>
              <w:bottom w:val="single" w:color="000000" w:sz="4" w:space="0"/>
              <w:right w:val="single" w:color="000000" w:sz="4" w:space="0"/>
            </w:tcBorders>
            <w:vAlign w:val="center"/>
          </w:tcPr>
          <w:p w14:paraId="31D3A80B">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Lung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4E20E29A">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Ginger moxibustion</w:t>
            </w:r>
          </w:p>
        </w:tc>
        <w:tc>
          <w:tcPr>
            <w:tcW w:w="1391" w:type="pct"/>
            <w:tcBorders>
              <w:top w:val="single" w:color="000000" w:sz="4" w:space="0"/>
              <w:left w:val="single" w:color="000000" w:sz="4" w:space="0"/>
              <w:bottom w:val="single" w:color="000000" w:sz="4" w:space="0"/>
              <w:right w:val="single" w:color="000000" w:sz="4" w:space="0"/>
            </w:tcBorders>
            <w:vAlign w:val="center"/>
          </w:tcPr>
          <w:p w14:paraId="3C54294D">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 xml:space="preserve">Control (routine care): standard chemotherapy with guideline-based prophylactic antiemetic therapy, consisting of IV tropisetron (5 mg in 20 mL 0.9% saline) administered 1 h before chemotherapy, once daily for 3 days, alongside usual oncology care and symptom monitoring; no ginger-partitioned moxibustion was provided. </w:t>
            </w:r>
          </w:p>
        </w:tc>
        <w:tc>
          <w:tcPr>
            <w:tcW w:w="384" w:type="pct"/>
            <w:tcBorders>
              <w:top w:val="single" w:color="000000" w:sz="4" w:space="0"/>
              <w:left w:val="single" w:color="000000" w:sz="4" w:space="0"/>
              <w:bottom w:val="single" w:color="000000" w:sz="4" w:space="0"/>
              <w:right w:val="single" w:color="000000" w:sz="4" w:space="0"/>
            </w:tcBorders>
            <w:vAlign w:val="center"/>
          </w:tcPr>
          <w:p w14:paraId="66938804">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3 days</w:t>
            </w:r>
          </w:p>
        </w:tc>
        <w:tc>
          <w:tcPr>
            <w:tcW w:w="335" w:type="pct"/>
            <w:tcBorders>
              <w:top w:val="single" w:color="000000" w:sz="4" w:space="0"/>
              <w:left w:val="single" w:color="000000" w:sz="4" w:space="0"/>
              <w:bottom w:val="single" w:color="000000" w:sz="4" w:space="0"/>
              <w:right w:val="single" w:color="000000" w:sz="4" w:space="0"/>
            </w:tcBorders>
            <w:vAlign w:val="center"/>
          </w:tcPr>
          <w:p w14:paraId="0761217E">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w:t>
            </w:r>
          </w:p>
        </w:tc>
      </w:tr>
      <w:tr w14:paraId="39507B9E">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6FF4D282">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Peng et al. (2016)</w:t>
            </w:r>
          </w:p>
        </w:tc>
        <w:tc>
          <w:tcPr>
            <w:tcW w:w="451" w:type="pct"/>
            <w:tcBorders>
              <w:top w:val="single" w:color="000000" w:sz="4" w:space="0"/>
              <w:left w:val="single" w:color="000000" w:sz="4" w:space="0"/>
              <w:bottom w:val="single" w:color="000000" w:sz="4" w:space="0"/>
              <w:right w:val="single" w:color="000000" w:sz="4" w:space="0"/>
            </w:tcBorders>
            <w:vAlign w:val="center"/>
          </w:tcPr>
          <w:p w14:paraId="5382E73F">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318F65D2">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66 (33/33)</w:t>
            </w:r>
          </w:p>
        </w:tc>
        <w:tc>
          <w:tcPr>
            <w:tcW w:w="393" w:type="pct"/>
            <w:tcBorders>
              <w:top w:val="single" w:color="000000" w:sz="4" w:space="0"/>
              <w:left w:val="single" w:color="000000" w:sz="4" w:space="0"/>
              <w:bottom w:val="single" w:color="000000" w:sz="4" w:space="0"/>
              <w:right w:val="single" w:color="000000" w:sz="4" w:space="0"/>
            </w:tcBorders>
            <w:vAlign w:val="center"/>
          </w:tcPr>
          <w:p w14:paraId="59E8C51F">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27/6 vs. 24/9</w:t>
            </w:r>
          </w:p>
        </w:tc>
        <w:tc>
          <w:tcPr>
            <w:tcW w:w="393" w:type="pct"/>
            <w:tcBorders>
              <w:top w:val="single" w:color="000000" w:sz="4" w:space="0"/>
              <w:left w:val="single" w:color="000000" w:sz="4" w:space="0"/>
              <w:bottom w:val="single" w:color="000000" w:sz="4" w:space="0"/>
              <w:right w:val="single" w:color="000000" w:sz="4" w:space="0"/>
            </w:tcBorders>
            <w:vAlign w:val="center"/>
          </w:tcPr>
          <w:p w14:paraId="46DC0A6D">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46.67 ± 12.03 vs. 49.21 ± 13.44</w:t>
            </w:r>
          </w:p>
        </w:tc>
        <w:tc>
          <w:tcPr>
            <w:tcW w:w="429" w:type="pct"/>
            <w:tcBorders>
              <w:top w:val="single" w:color="000000" w:sz="4" w:space="0"/>
              <w:left w:val="single" w:color="000000" w:sz="4" w:space="0"/>
              <w:bottom w:val="single" w:color="000000" w:sz="4" w:space="0"/>
              <w:right w:val="single" w:color="000000" w:sz="4" w:space="0"/>
            </w:tcBorders>
            <w:vAlign w:val="center"/>
          </w:tcPr>
          <w:p w14:paraId="119D28A6">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Nasopharyngeal carcinoma</w:t>
            </w:r>
          </w:p>
        </w:tc>
        <w:tc>
          <w:tcPr>
            <w:tcW w:w="499" w:type="pct"/>
            <w:tcBorders>
              <w:top w:val="single" w:color="000000" w:sz="4" w:space="0"/>
              <w:left w:val="single" w:color="000000" w:sz="4" w:space="0"/>
              <w:bottom w:val="single" w:color="000000" w:sz="4" w:space="0"/>
              <w:right w:val="single" w:color="000000" w:sz="4" w:space="0"/>
            </w:tcBorders>
            <w:vAlign w:val="center"/>
          </w:tcPr>
          <w:p w14:paraId="5CBBB590">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Acupuncture</w:t>
            </w:r>
          </w:p>
        </w:tc>
        <w:tc>
          <w:tcPr>
            <w:tcW w:w="1391" w:type="pct"/>
            <w:tcBorders>
              <w:top w:val="single" w:color="000000" w:sz="4" w:space="0"/>
              <w:left w:val="single" w:color="000000" w:sz="4" w:space="0"/>
              <w:bottom w:val="single" w:color="000000" w:sz="4" w:space="0"/>
              <w:right w:val="single" w:color="000000" w:sz="4" w:space="0"/>
            </w:tcBorders>
            <w:vAlign w:val="center"/>
          </w:tcPr>
          <w:p w14:paraId="39A6EF12">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guideline-based standard concurrent radiotherapy and chemotherapy for stage III–IVa nasopharyngeal carcinoma per institutional protocols, including routine medical and nursing management and symptom monitoring; no pulse acupuncture or other adjunctive acupuncture interventions were provided</w:t>
            </w:r>
          </w:p>
        </w:tc>
        <w:tc>
          <w:tcPr>
            <w:tcW w:w="384" w:type="pct"/>
            <w:tcBorders>
              <w:top w:val="single" w:color="000000" w:sz="4" w:space="0"/>
              <w:left w:val="single" w:color="000000" w:sz="4" w:space="0"/>
              <w:bottom w:val="single" w:color="000000" w:sz="4" w:space="0"/>
              <w:right w:val="single" w:color="000000" w:sz="4" w:space="0"/>
            </w:tcBorders>
            <w:vAlign w:val="center"/>
          </w:tcPr>
          <w:p w14:paraId="2CB51EBD">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 months</w:t>
            </w:r>
          </w:p>
        </w:tc>
        <w:tc>
          <w:tcPr>
            <w:tcW w:w="335" w:type="pct"/>
            <w:tcBorders>
              <w:top w:val="single" w:color="000000" w:sz="4" w:space="0"/>
              <w:left w:val="single" w:color="000000" w:sz="4" w:space="0"/>
              <w:bottom w:val="single" w:color="000000" w:sz="4" w:space="0"/>
              <w:right w:val="single" w:color="000000" w:sz="4" w:space="0"/>
            </w:tcBorders>
            <w:vAlign w:val="center"/>
          </w:tcPr>
          <w:p w14:paraId="108F3055">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General emotional state</w:t>
            </w:r>
          </w:p>
        </w:tc>
      </w:tr>
      <w:tr w14:paraId="368E9C88">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26E43CE7">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Zhou et al. (2024)</w:t>
            </w:r>
          </w:p>
        </w:tc>
        <w:tc>
          <w:tcPr>
            <w:tcW w:w="451" w:type="pct"/>
            <w:tcBorders>
              <w:top w:val="single" w:color="000000" w:sz="4" w:space="0"/>
              <w:left w:val="single" w:color="000000" w:sz="4" w:space="0"/>
              <w:bottom w:val="single" w:color="000000" w:sz="4" w:space="0"/>
              <w:right w:val="single" w:color="000000" w:sz="4" w:space="0"/>
            </w:tcBorders>
            <w:vAlign w:val="center"/>
          </w:tcPr>
          <w:p w14:paraId="416366DC">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1BFC1BD5">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60 (30/30)</w:t>
            </w:r>
          </w:p>
        </w:tc>
        <w:tc>
          <w:tcPr>
            <w:tcW w:w="393" w:type="pct"/>
            <w:tcBorders>
              <w:top w:val="single" w:color="000000" w:sz="4" w:space="0"/>
              <w:left w:val="single" w:color="000000" w:sz="4" w:space="0"/>
              <w:bottom w:val="single" w:color="000000" w:sz="4" w:space="0"/>
              <w:right w:val="single" w:color="000000" w:sz="4" w:space="0"/>
            </w:tcBorders>
            <w:vAlign w:val="center"/>
          </w:tcPr>
          <w:p w14:paraId="522D9B4D">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19/11 vs. 21/9</w:t>
            </w:r>
          </w:p>
        </w:tc>
        <w:tc>
          <w:tcPr>
            <w:tcW w:w="393" w:type="pct"/>
            <w:tcBorders>
              <w:top w:val="single" w:color="000000" w:sz="4" w:space="0"/>
              <w:left w:val="single" w:color="000000" w:sz="4" w:space="0"/>
              <w:bottom w:val="single" w:color="000000" w:sz="4" w:space="0"/>
              <w:right w:val="single" w:color="000000" w:sz="4" w:space="0"/>
            </w:tcBorders>
            <w:vAlign w:val="center"/>
          </w:tcPr>
          <w:p w14:paraId="2C1F0660">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59 ± 11 vs. 61 ± 11</w:t>
            </w:r>
          </w:p>
        </w:tc>
        <w:tc>
          <w:tcPr>
            <w:tcW w:w="429" w:type="pct"/>
            <w:tcBorders>
              <w:top w:val="single" w:color="000000" w:sz="4" w:space="0"/>
              <w:left w:val="single" w:color="000000" w:sz="4" w:space="0"/>
              <w:bottom w:val="single" w:color="000000" w:sz="4" w:space="0"/>
              <w:right w:val="single" w:color="000000" w:sz="4" w:space="0"/>
            </w:tcBorders>
            <w:vAlign w:val="center"/>
          </w:tcPr>
          <w:p w14:paraId="0900B43D">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Various cancers undergoing chemotherapy with platinum-based drugs</w:t>
            </w:r>
          </w:p>
        </w:tc>
        <w:tc>
          <w:tcPr>
            <w:tcW w:w="499" w:type="pct"/>
            <w:tcBorders>
              <w:top w:val="single" w:color="000000" w:sz="4" w:space="0"/>
              <w:left w:val="single" w:color="000000" w:sz="4" w:space="0"/>
              <w:bottom w:val="single" w:color="000000" w:sz="4" w:space="0"/>
              <w:right w:val="single" w:color="000000" w:sz="4" w:space="0"/>
            </w:tcBorders>
            <w:vAlign w:val="center"/>
          </w:tcPr>
          <w:p w14:paraId="3EA6A672">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Thermal moxibustion</w:t>
            </w:r>
          </w:p>
        </w:tc>
        <w:tc>
          <w:tcPr>
            <w:tcW w:w="1391" w:type="pct"/>
            <w:tcBorders>
              <w:top w:val="single" w:color="000000" w:sz="4" w:space="0"/>
              <w:left w:val="single" w:color="000000" w:sz="4" w:space="0"/>
              <w:bottom w:val="single" w:color="000000" w:sz="4" w:space="0"/>
              <w:right w:val="single" w:color="000000" w:sz="4" w:space="0"/>
            </w:tcBorders>
            <w:vAlign w:val="center"/>
          </w:tcPr>
          <w:p w14:paraId="5E210273">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 guideline-based standard antiemetic care for chemotherapy-induced nausea and vomiting, consisting of tropisetron hydrochloride administered per national expert consensus—IV tropisetron 5 mg in 100 mL 0.9% saline 30 min before chemotherapy on day 1, followed by oral tropisetron 5 mg once daily on days 2–7—with routine oncology care and symptom monitoring; no heat-sensitive moxibustion was provided.</w:t>
            </w:r>
          </w:p>
        </w:tc>
        <w:tc>
          <w:tcPr>
            <w:tcW w:w="384" w:type="pct"/>
            <w:tcBorders>
              <w:top w:val="single" w:color="000000" w:sz="4" w:space="0"/>
              <w:left w:val="single" w:color="000000" w:sz="4" w:space="0"/>
              <w:bottom w:val="single" w:color="000000" w:sz="4" w:space="0"/>
              <w:right w:val="single" w:color="000000" w:sz="4" w:space="0"/>
            </w:tcBorders>
            <w:vAlign w:val="center"/>
          </w:tcPr>
          <w:p w14:paraId="6D33F911">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7 days</w:t>
            </w:r>
          </w:p>
        </w:tc>
        <w:tc>
          <w:tcPr>
            <w:tcW w:w="335" w:type="pct"/>
            <w:tcBorders>
              <w:top w:val="single" w:color="000000" w:sz="4" w:space="0"/>
              <w:left w:val="single" w:color="000000" w:sz="4" w:space="0"/>
              <w:bottom w:val="single" w:color="000000" w:sz="4" w:space="0"/>
              <w:right w:val="single" w:color="000000" w:sz="4" w:space="0"/>
            </w:tcBorders>
            <w:vAlign w:val="center"/>
          </w:tcPr>
          <w:p w14:paraId="648F8F00">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General emotional state</w:t>
            </w:r>
          </w:p>
        </w:tc>
      </w:tr>
      <w:tr w14:paraId="7CF26639">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22ADEEB7">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Wu et al. (2022)</w:t>
            </w:r>
          </w:p>
        </w:tc>
        <w:tc>
          <w:tcPr>
            <w:tcW w:w="451" w:type="pct"/>
            <w:tcBorders>
              <w:top w:val="single" w:color="000000" w:sz="4" w:space="0"/>
              <w:left w:val="single" w:color="000000" w:sz="4" w:space="0"/>
              <w:bottom w:val="single" w:color="000000" w:sz="4" w:space="0"/>
              <w:right w:val="single" w:color="000000" w:sz="4" w:space="0"/>
            </w:tcBorders>
            <w:vAlign w:val="center"/>
          </w:tcPr>
          <w:p w14:paraId="72D42DFD">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5EFB5448">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80 (40/40)</w:t>
            </w:r>
          </w:p>
        </w:tc>
        <w:tc>
          <w:tcPr>
            <w:tcW w:w="393" w:type="pct"/>
            <w:tcBorders>
              <w:top w:val="single" w:color="000000" w:sz="4" w:space="0"/>
              <w:left w:val="single" w:color="000000" w:sz="4" w:space="0"/>
              <w:bottom w:val="single" w:color="000000" w:sz="4" w:space="0"/>
              <w:right w:val="single" w:color="000000" w:sz="4" w:space="0"/>
            </w:tcBorders>
            <w:vAlign w:val="center"/>
          </w:tcPr>
          <w:p w14:paraId="2EB8C770">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23/17 vs. 24/16</w:t>
            </w:r>
          </w:p>
        </w:tc>
        <w:tc>
          <w:tcPr>
            <w:tcW w:w="393" w:type="pct"/>
            <w:tcBorders>
              <w:top w:val="single" w:color="000000" w:sz="4" w:space="0"/>
              <w:left w:val="single" w:color="000000" w:sz="4" w:space="0"/>
              <w:bottom w:val="single" w:color="000000" w:sz="4" w:space="0"/>
              <w:right w:val="single" w:color="000000" w:sz="4" w:space="0"/>
            </w:tcBorders>
            <w:vAlign w:val="center"/>
          </w:tcPr>
          <w:p w14:paraId="790F03F3">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60.12 ± 3.88 vs. 60.09 ± 3.37</w:t>
            </w:r>
          </w:p>
        </w:tc>
        <w:tc>
          <w:tcPr>
            <w:tcW w:w="429" w:type="pct"/>
            <w:tcBorders>
              <w:top w:val="single" w:color="000000" w:sz="4" w:space="0"/>
              <w:left w:val="single" w:color="000000" w:sz="4" w:space="0"/>
              <w:bottom w:val="single" w:color="000000" w:sz="4" w:space="0"/>
              <w:right w:val="single" w:color="000000" w:sz="4" w:space="0"/>
            </w:tcBorders>
            <w:vAlign w:val="center"/>
          </w:tcPr>
          <w:p w14:paraId="2E64E670">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Various cancers undergoing chemotherapy with platinum-based drugs</w:t>
            </w:r>
          </w:p>
        </w:tc>
        <w:tc>
          <w:tcPr>
            <w:tcW w:w="499" w:type="pct"/>
            <w:tcBorders>
              <w:top w:val="single" w:color="000000" w:sz="4" w:space="0"/>
              <w:left w:val="single" w:color="000000" w:sz="4" w:space="0"/>
              <w:bottom w:val="single" w:color="000000" w:sz="4" w:space="0"/>
              <w:right w:val="single" w:color="000000" w:sz="4" w:space="0"/>
            </w:tcBorders>
            <w:vAlign w:val="center"/>
          </w:tcPr>
          <w:p w14:paraId="4F6BC6AD">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Acupressure + plaster</w:t>
            </w:r>
          </w:p>
        </w:tc>
        <w:tc>
          <w:tcPr>
            <w:tcW w:w="1391" w:type="pct"/>
            <w:tcBorders>
              <w:top w:val="single" w:color="000000" w:sz="4" w:space="0"/>
              <w:left w:val="single" w:color="000000" w:sz="4" w:space="0"/>
              <w:bottom w:val="single" w:color="000000" w:sz="4" w:space="0"/>
              <w:right w:val="single" w:color="000000" w:sz="4" w:space="0"/>
            </w:tcBorders>
            <w:vAlign w:val="center"/>
          </w:tcPr>
          <w:p w14:paraId="7FBA81A1">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care/usual care): routine nursing care during chemotherapy, including ward environment management, psychological support and patient education, and dietary guidance to ensure adequate nutrition; no traditional Chinese medicine nursing, herbal patch application, or acupoint massage was provided.</w:t>
            </w:r>
          </w:p>
        </w:tc>
        <w:tc>
          <w:tcPr>
            <w:tcW w:w="384" w:type="pct"/>
            <w:tcBorders>
              <w:top w:val="single" w:color="000000" w:sz="4" w:space="0"/>
              <w:left w:val="single" w:color="000000" w:sz="4" w:space="0"/>
              <w:bottom w:val="single" w:color="000000" w:sz="4" w:space="0"/>
              <w:right w:val="single" w:color="000000" w:sz="4" w:space="0"/>
            </w:tcBorders>
            <w:vAlign w:val="center"/>
          </w:tcPr>
          <w:p w14:paraId="2B2D917E">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 week</w:t>
            </w:r>
          </w:p>
        </w:tc>
        <w:tc>
          <w:tcPr>
            <w:tcW w:w="335" w:type="pct"/>
            <w:tcBorders>
              <w:top w:val="single" w:color="000000" w:sz="4" w:space="0"/>
              <w:left w:val="single" w:color="000000" w:sz="4" w:space="0"/>
              <w:bottom w:val="single" w:color="000000" w:sz="4" w:space="0"/>
              <w:right w:val="single" w:color="000000" w:sz="4" w:space="0"/>
            </w:tcBorders>
            <w:vAlign w:val="center"/>
          </w:tcPr>
          <w:p w14:paraId="68736BFB">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Sleep quality, Anxiety, Depression</w:t>
            </w:r>
          </w:p>
        </w:tc>
      </w:tr>
      <w:tr w14:paraId="1D0A2C49">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1A77E44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Wang et al. (2020)</w:t>
            </w:r>
          </w:p>
        </w:tc>
        <w:tc>
          <w:tcPr>
            <w:tcW w:w="451" w:type="pct"/>
            <w:tcBorders>
              <w:top w:val="single" w:color="000000" w:sz="4" w:space="0"/>
              <w:left w:val="single" w:color="000000" w:sz="4" w:space="0"/>
              <w:bottom w:val="single" w:color="000000" w:sz="4" w:space="0"/>
              <w:right w:val="single" w:color="000000" w:sz="4" w:space="0"/>
            </w:tcBorders>
            <w:vAlign w:val="center"/>
          </w:tcPr>
          <w:p w14:paraId="3D27B0B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701427ED">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83 (41/42)</w:t>
            </w:r>
          </w:p>
        </w:tc>
        <w:tc>
          <w:tcPr>
            <w:tcW w:w="393" w:type="pct"/>
            <w:tcBorders>
              <w:top w:val="single" w:color="000000" w:sz="4" w:space="0"/>
              <w:left w:val="single" w:color="000000" w:sz="4" w:space="0"/>
              <w:bottom w:val="single" w:color="000000" w:sz="4" w:space="0"/>
              <w:right w:val="single" w:color="000000" w:sz="4" w:space="0"/>
            </w:tcBorders>
            <w:vAlign w:val="center"/>
          </w:tcPr>
          <w:p w14:paraId="524BF51B">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23/18 vs. 24/18</w:t>
            </w:r>
          </w:p>
        </w:tc>
        <w:tc>
          <w:tcPr>
            <w:tcW w:w="393" w:type="pct"/>
            <w:tcBorders>
              <w:top w:val="single" w:color="000000" w:sz="4" w:space="0"/>
              <w:left w:val="single" w:color="000000" w:sz="4" w:space="0"/>
              <w:bottom w:val="single" w:color="000000" w:sz="4" w:space="0"/>
              <w:right w:val="single" w:color="000000" w:sz="4" w:space="0"/>
            </w:tcBorders>
            <w:vAlign w:val="center"/>
          </w:tcPr>
          <w:p w14:paraId="31D99C41">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50.52 ± 4.05 vs. 50.11 ± 3.94</w:t>
            </w:r>
          </w:p>
        </w:tc>
        <w:tc>
          <w:tcPr>
            <w:tcW w:w="429" w:type="pct"/>
            <w:tcBorders>
              <w:top w:val="single" w:color="000000" w:sz="4" w:space="0"/>
              <w:left w:val="single" w:color="000000" w:sz="4" w:space="0"/>
              <w:bottom w:val="single" w:color="000000" w:sz="4" w:space="0"/>
              <w:right w:val="single" w:color="000000" w:sz="4" w:space="0"/>
            </w:tcBorders>
            <w:vAlign w:val="center"/>
          </w:tcPr>
          <w:p w14:paraId="4D8CDBFB">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Lung cancer</w:t>
            </w:r>
          </w:p>
        </w:tc>
        <w:tc>
          <w:tcPr>
            <w:tcW w:w="499" w:type="pct"/>
            <w:tcBorders>
              <w:top w:val="single" w:color="000000" w:sz="4" w:space="0"/>
              <w:left w:val="single" w:color="000000" w:sz="4" w:space="0"/>
              <w:bottom w:val="single" w:color="000000" w:sz="4" w:space="0"/>
              <w:right w:val="single" w:color="000000" w:sz="4" w:space="0"/>
            </w:tcBorders>
            <w:vAlign w:val="center"/>
          </w:tcPr>
          <w:p w14:paraId="41018F02">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Acupressure</w:t>
            </w:r>
          </w:p>
        </w:tc>
        <w:tc>
          <w:tcPr>
            <w:tcW w:w="1391" w:type="pct"/>
            <w:tcBorders>
              <w:top w:val="single" w:color="000000" w:sz="4" w:space="0"/>
              <w:left w:val="single" w:color="000000" w:sz="4" w:space="0"/>
              <w:bottom w:val="single" w:color="000000" w:sz="4" w:space="0"/>
              <w:right w:val="single" w:color="000000" w:sz="4" w:space="0"/>
            </w:tcBorders>
            <w:vAlign w:val="center"/>
          </w:tcPr>
          <w:p w14:paraId="21F32A08">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care/usual care): routine nursing care during chemotherapy, including pre-chemotherapy health education, medication-assisted management of chemotherapy-related adverse effects, dietary guidance, and oral care; additional supportive measures included sleep-hygiene advice (e.g., warm foot baths before bedtime, quiet ward environment). No traditional Chinese medicine–based emotional nursing or acupoint massage was provided.</w:t>
            </w:r>
          </w:p>
          <w:p w14:paraId="58A6FAFD">
            <w:pPr>
              <w:textAlignment w:val="center"/>
              <w:rPr>
                <w:rFonts w:ascii="Times New Roman" w:hAnsi="Times New Roman" w:eastAsia="微软雅黑" w:cs="Times New Roman"/>
                <w:color w:val="auto"/>
                <w:sz w:val="16"/>
                <w:szCs w:val="16"/>
                <w:lang w:bidi="ar"/>
              </w:rPr>
            </w:pPr>
          </w:p>
        </w:tc>
        <w:tc>
          <w:tcPr>
            <w:tcW w:w="384" w:type="pct"/>
            <w:tcBorders>
              <w:top w:val="single" w:color="000000" w:sz="4" w:space="0"/>
              <w:left w:val="single" w:color="000000" w:sz="4" w:space="0"/>
              <w:bottom w:val="single" w:color="000000" w:sz="4" w:space="0"/>
              <w:right w:val="single" w:color="000000" w:sz="4" w:space="0"/>
            </w:tcBorders>
            <w:vAlign w:val="center"/>
          </w:tcPr>
          <w:p w14:paraId="123A8255">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1-2 weeks</w:t>
            </w:r>
          </w:p>
        </w:tc>
        <w:tc>
          <w:tcPr>
            <w:tcW w:w="335" w:type="pct"/>
            <w:tcBorders>
              <w:top w:val="single" w:color="000000" w:sz="4" w:space="0"/>
              <w:left w:val="single" w:color="000000" w:sz="4" w:space="0"/>
              <w:bottom w:val="single" w:color="000000" w:sz="4" w:space="0"/>
              <w:right w:val="single" w:color="000000" w:sz="4" w:space="0"/>
            </w:tcBorders>
            <w:vAlign w:val="center"/>
          </w:tcPr>
          <w:p w14:paraId="7B4A1705">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Sleep quality, General emotional state</w:t>
            </w:r>
          </w:p>
        </w:tc>
      </w:tr>
      <w:tr w14:paraId="608C3EBF">
        <w:tblPrEx>
          <w:tblCellMar>
            <w:top w:w="0" w:type="dxa"/>
            <w:left w:w="108" w:type="dxa"/>
            <w:bottom w:w="0" w:type="dxa"/>
            <w:right w:w="108" w:type="dxa"/>
          </w:tblCellMar>
        </w:tblPrEx>
        <w:trPr>
          <w:jc w:val="center"/>
        </w:trPr>
        <w:tc>
          <w:tcPr>
            <w:tcW w:w="327" w:type="pct"/>
            <w:tcBorders>
              <w:top w:val="single" w:color="000000" w:sz="4" w:space="0"/>
              <w:left w:val="single" w:color="000000" w:sz="4" w:space="0"/>
              <w:bottom w:val="single" w:color="000000" w:sz="4" w:space="0"/>
              <w:right w:val="single" w:color="000000" w:sz="4" w:space="0"/>
            </w:tcBorders>
            <w:vAlign w:val="center"/>
          </w:tcPr>
          <w:p w14:paraId="67137874">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Xiao et al. (2022)</w:t>
            </w:r>
          </w:p>
        </w:tc>
        <w:tc>
          <w:tcPr>
            <w:tcW w:w="451" w:type="pct"/>
            <w:tcBorders>
              <w:top w:val="single" w:color="000000" w:sz="4" w:space="0"/>
              <w:left w:val="single" w:color="000000" w:sz="4" w:space="0"/>
              <w:bottom w:val="single" w:color="000000" w:sz="4" w:space="0"/>
              <w:right w:val="single" w:color="000000" w:sz="4" w:space="0"/>
            </w:tcBorders>
            <w:vAlign w:val="center"/>
          </w:tcPr>
          <w:p w14:paraId="64D4F058">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China</w:t>
            </w:r>
          </w:p>
        </w:tc>
        <w:tc>
          <w:tcPr>
            <w:tcW w:w="393" w:type="pct"/>
            <w:tcBorders>
              <w:top w:val="single" w:color="000000" w:sz="4" w:space="0"/>
              <w:left w:val="single" w:color="000000" w:sz="4" w:space="0"/>
              <w:bottom w:val="single" w:color="000000" w:sz="4" w:space="0"/>
              <w:right w:val="single" w:color="000000" w:sz="4" w:space="0"/>
            </w:tcBorders>
            <w:vAlign w:val="center"/>
          </w:tcPr>
          <w:p w14:paraId="13523437">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56 (28/28)</w:t>
            </w:r>
          </w:p>
        </w:tc>
        <w:tc>
          <w:tcPr>
            <w:tcW w:w="393" w:type="pct"/>
            <w:tcBorders>
              <w:top w:val="single" w:color="000000" w:sz="4" w:space="0"/>
              <w:left w:val="single" w:color="000000" w:sz="4" w:space="0"/>
              <w:bottom w:val="single" w:color="000000" w:sz="4" w:space="0"/>
              <w:right w:val="single" w:color="000000" w:sz="4" w:space="0"/>
            </w:tcBorders>
            <w:vAlign w:val="center"/>
          </w:tcPr>
          <w:p w14:paraId="47DF2499">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16/12 vs. 17/11</w:t>
            </w:r>
          </w:p>
        </w:tc>
        <w:tc>
          <w:tcPr>
            <w:tcW w:w="393" w:type="pct"/>
            <w:tcBorders>
              <w:top w:val="single" w:color="000000" w:sz="4" w:space="0"/>
              <w:left w:val="single" w:color="000000" w:sz="4" w:space="0"/>
              <w:bottom w:val="single" w:color="000000" w:sz="4" w:space="0"/>
              <w:right w:val="single" w:color="000000" w:sz="4" w:space="0"/>
            </w:tcBorders>
            <w:vAlign w:val="center"/>
          </w:tcPr>
          <w:p w14:paraId="2E6B53AE">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58.48 ± 4.25 vs. 58.51 ± 4.18</w:t>
            </w:r>
          </w:p>
        </w:tc>
        <w:tc>
          <w:tcPr>
            <w:tcW w:w="429" w:type="pct"/>
            <w:tcBorders>
              <w:top w:val="single" w:color="000000" w:sz="4" w:space="0"/>
              <w:left w:val="single" w:color="000000" w:sz="4" w:space="0"/>
              <w:bottom w:val="single" w:color="000000" w:sz="4" w:space="0"/>
              <w:right w:val="single" w:color="000000" w:sz="4" w:space="0"/>
            </w:tcBorders>
            <w:vAlign w:val="center"/>
          </w:tcPr>
          <w:p w14:paraId="170AE16C">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Various malignant tumors undergoing chemotherapy</w:t>
            </w:r>
          </w:p>
        </w:tc>
        <w:tc>
          <w:tcPr>
            <w:tcW w:w="499" w:type="pct"/>
            <w:tcBorders>
              <w:top w:val="single" w:color="000000" w:sz="4" w:space="0"/>
              <w:left w:val="single" w:color="000000" w:sz="4" w:space="0"/>
              <w:bottom w:val="single" w:color="000000" w:sz="4" w:space="0"/>
              <w:right w:val="single" w:color="000000" w:sz="4" w:space="0"/>
            </w:tcBorders>
            <w:vAlign w:val="center"/>
          </w:tcPr>
          <w:p w14:paraId="52D70636">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Acupressure + plaster</w:t>
            </w:r>
          </w:p>
        </w:tc>
        <w:tc>
          <w:tcPr>
            <w:tcW w:w="1391" w:type="pct"/>
            <w:tcBorders>
              <w:top w:val="single" w:color="000000" w:sz="4" w:space="0"/>
              <w:left w:val="single" w:color="000000" w:sz="4" w:space="0"/>
              <w:bottom w:val="single" w:color="000000" w:sz="4" w:space="0"/>
              <w:right w:val="single" w:color="000000" w:sz="4" w:space="0"/>
            </w:tcBorders>
            <w:vAlign w:val="center"/>
          </w:tcPr>
          <w:p w14:paraId="0EE9636D">
            <w:pPr>
              <w:textAlignment w:val="center"/>
              <w:rPr>
                <w:rFonts w:ascii="Times New Roman" w:hAnsi="Times New Roman" w:eastAsia="微软雅黑" w:cs="Times New Roman"/>
                <w:color w:val="auto"/>
                <w:sz w:val="16"/>
                <w:szCs w:val="16"/>
                <w:lang w:bidi="ar"/>
              </w:rPr>
            </w:pPr>
            <w:r>
              <w:rPr>
                <w:rFonts w:ascii="Times New Roman" w:hAnsi="Times New Roman" w:eastAsia="微软雅黑" w:cs="Times New Roman"/>
                <w:color w:val="auto"/>
                <w:sz w:val="16"/>
                <w:szCs w:val="16"/>
                <w:lang w:bidi="ar"/>
              </w:rPr>
              <w:t>Control (routine care/usual care): standard chemotherapy-related pharmacologic management and routine supportive nursing for gastrointestinal reactions, including prophylactic antiemetic therapy (IV tropisetron hydrochloride 5 mg in 100 mL solution once daily before chemotherapy), symptom-directed medications (e.g., metoclopramide, ondansetron, sedatives as needed), dietary guidance, hydration and electrolyte management, oral care, and routine psychological support; no acupoint massage or acupoint application was provided.</w:t>
            </w:r>
          </w:p>
        </w:tc>
        <w:tc>
          <w:tcPr>
            <w:tcW w:w="384" w:type="pct"/>
            <w:tcBorders>
              <w:top w:val="single" w:color="000000" w:sz="4" w:space="0"/>
              <w:left w:val="single" w:color="000000" w:sz="4" w:space="0"/>
              <w:bottom w:val="single" w:color="000000" w:sz="4" w:space="0"/>
              <w:right w:val="single" w:color="000000" w:sz="4" w:space="0"/>
            </w:tcBorders>
            <w:vAlign w:val="center"/>
          </w:tcPr>
          <w:p w14:paraId="3A58BBAD">
            <w:pP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7 days</w:t>
            </w:r>
          </w:p>
        </w:tc>
        <w:tc>
          <w:tcPr>
            <w:tcW w:w="335" w:type="pct"/>
            <w:tcBorders>
              <w:top w:val="single" w:color="000000" w:sz="4" w:space="0"/>
              <w:left w:val="single" w:color="000000" w:sz="4" w:space="0"/>
              <w:bottom w:val="single" w:color="000000" w:sz="4" w:space="0"/>
              <w:right w:val="single" w:color="000000" w:sz="4" w:space="0"/>
            </w:tcBorders>
            <w:vAlign w:val="center"/>
          </w:tcPr>
          <w:p w14:paraId="2FAB6E1A">
            <w:pPr>
              <w:jc w:val="center"/>
              <w:textAlignment w:val="center"/>
              <w:rPr>
                <w:rFonts w:ascii="Times New Roman" w:hAnsi="Times New Roman" w:eastAsia="微软雅黑" w:cs="Times New Roman"/>
                <w:color w:val="auto"/>
                <w:sz w:val="16"/>
                <w:szCs w:val="16"/>
              </w:rPr>
            </w:pPr>
            <w:r>
              <w:rPr>
                <w:rFonts w:ascii="Times New Roman" w:hAnsi="Times New Roman" w:eastAsia="微软雅黑" w:cs="Times New Roman"/>
                <w:color w:val="auto"/>
                <w:sz w:val="16"/>
                <w:szCs w:val="16"/>
                <w:lang w:bidi="ar"/>
              </w:rPr>
              <w:t>QoL, Sleep quality</w:t>
            </w:r>
          </w:p>
        </w:tc>
      </w:tr>
    </w:tbl>
    <w:p w14:paraId="45663DBC">
      <w:pPr>
        <w:rPr>
          <w:rFonts w:ascii="Times New Roman" w:hAnsi="Times New Roman" w:eastAsia="等线" w:cs="Times New Roman"/>
          <w:color w:val="auto"/>
          <w:kern w:val="2"/>
          <w:sz w:val="20"/>
          <w:szCs w:val="20"/>
          <w:lang w:bidi="ar"/>
        </w:rPr>
      </w:pPr>
    </w:p>
    <w:p w14:paraId="11AF5F23">
      <w:pPr>
        <w:rPr>
          <w:rFonts w:ascii="Times New Roman" w:hAnsi="Times New Roman" w:eastAsia="等线" w:cs="Times New Roman"/>
          <w:color w:val="auto"/>
          <w:kern w:val="2"/>
          <w:sz w:val="20"/>
          <w:szCs w:val="20"/>
          <w:lang w:bidi="ar"/>
        </w:rPr>
      </w:pPr>
      <w:r>
        <w:rPr>
          <w:rFonts w:hint="eastAsia" w:ascii="Times New Roman" w:hAnsi="Times New Roman" w:eastAsia="等线" w:cs="Times New Roman"/>
          <w:color w:val="auto"/>
          <w:kern w:val="2"/>
          <w:sz w:val="20"/>
          <w:szCs w:val="20"/>
          <w:lang w:bidi="ar"/>
        </w:rPr>
        <w:t>Note: PICC, Peripherally Inserted Central Catheter. QoL, Quality of Life. NA, Not Available.</w:t>
      </w:r>
    </w:p>
    <w:p w14:paraId="69E02EED">
      <w:pPr>
        <w:rPr>
          <w:rStyle w:val="28"/>
          <w:rFonts w:ascii="Times New Roman" w:hAnsi="Times New Roman" w:cs="Times New Roman"/>
          <w:color w:val="auto"/>
          <w:u w:val="none"/>
          <w:lang w:eastAsia="zh-TW"/>
        </w:rPr>
        <w:sectPr>
          <w:pgSz w:w="16838" w:h="11906" w:orient="landscape"/>
          <w:pgMar w:top="1800" w:right="1440" w:bottom="1800" w:left="1440" w:header="851" w:footer="992" w:gutter="0"/>
          <w:cols w:space="425" w:num="1"/>
          <w:docGrid w:type="lines" w:linePitch="326" w:charSpace="0"/>
        </w:sectPr>
      </w:pPr>
    </w:p>
    <w:p w14:paraId="573F4E9B">
      <w:pPr>
        <w:rPr>
          <w:color w:val="FF0000"/>
        </w:rPr>
      </w:pPr>
      <w:r>
        <w:rPr>
          <w:rFonts w:ascii="Times New Roman" w:hAnsi="Times New Roman" w:cs="Times New Roman"/>
          <w:color w:val="FF0000"/>
        </w:rPr>
        <w:t xml:space="preserve">Supplementary </w:t>
      </w:r>
      <w:r>
        <w:rPr>
          <w:rFonts w:hint="eastAsia" w:ascii="Times New Roman" w:hAnsi="Times New Roman" w:cs="Times New Roman"/>
          <w:color w:val="FF0000"/>
          <w:lang w:val="en-US" w:eastAsia="zh-CN"/>
        </w:rPr>
        <w:t xml:space="preserve">Table </w:t>
      </w:r>
      <w:r>
        <w:rPr>
          <w:rFonts w:hint="eastAsia" w:ascii="Times New Roman" w:hAnsi="Times New Roman" w:eastAsia="宋体" w:cs="Times New Roman"/>
          <w:color w:val="FF0000"/>
        </w:rPr>
        <w:t>6</w:t>
      </w:r>
      <w:r>
        <w:rPr>
          <w:rFonts w:hint="eastAsia" w:ascii="Times New Roman" w:hAnsi="Times New Roman" w:cs="Times New Roman"/>
          <w:color w:val="FF0000"/>
          <w:lang w:val="en-US" w:eastAsia="zh-CN"/>
        </w:rPr>
        <w:t>.2</w:t>
      </w:r>
      <w:r>
        <w:rPr>
          <w:rFonts w:ascii="Times New Roman" w:hAnsi="Times New Roman" w:cs="Times New Roman"/>
          <w:color w:val="FF0000"/>
        </w:rPr>
        <w:t>:</w:t>
      </w:r>
      <w:r>
        <w:rPr>
          <w:rFonts w:hint="eastAsia" w:ascii="Times New Roman" w:hAnsi="Times New Roman" w:cs="Times New Roman"/>
          <w:color w:val="FF0000"/>
          <w:lang w:val="en-US" w:eastAsia="zh-CN"/>
        </w:rPr>
        <w:t xml:space="preserve"> </w:t>
      </w:r>
      <w:r>
        <w:rPr>
          <w:rFonts w:hint="eastAsia" w:ascii="Times New Roman" w:hAnsi="Times New Roman" w:cs="Times New Roman"/>
          <w:color w:val="FF0000"/>
        </w:rPr>
        <w:t>Extracted post-intervention mean ± standard deviation values for outcome measures across study arms</w:t>
      </w:r>
    </w:p>
    <w:tbl>
      <w:tblPr>
        <w:tblW w:w="15122"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Layout w:type="fixed"/>
        <w:tblCellMar>
          <w:top w:w="0" w:type="dxa"/>
          <w:left w:w="108" w:type="dxa"/>
          <w:bottom w:w="0" w:type="dxa"/>
          <w:right w:w="108" w:type="dxa"/>
        </w:tblCellMar>
      </w:tblPr>
      <w:tblGrid>
        <w:gridCol w:w="704"/>
        <w:gridCol w:w="961"/>
        <w:gridCol w:w="790"/>
        <w:gridCol w:w="767"/>
        <w:gridCol w:w="1252"/>
        <w:gridCol w:w="623"/>
        <w:gridCol w:w="622"/>
        <w:gridCol w:w="1281"/>
        <w:gridCol w:w="645"/>
        <w:gridCol w:w="645"/>
        <w:gridCol w:w="749"/>
        <w:gridCol w:w="787"/>
        <w:gridCol w:w="730"/>
        <w:gridCol w:w="860"/>
        <w:gridCol w:w="748"/>
        <w:gridCol w:w="749"/>
        <w:gridCol w:w="990"/>
        <w:gridCol w:w="610"/>
        <w:gridCol w:w="609"/>
      </w:tblGrid>
      <w:tr w14:paraId="2E81FC3E">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312" w:hRule="atLeast"/>
          <w:tblHeader/>
          <w:jc w:val="center"/>
        </w:trPr>
        <w:tc>
          <w:tcPr>
            <w:tcW w:w="0" w:type="auto"/>
            <w:vMerge w:val="restart"/>
            <w:tcBorders>
              <w:top w:val="single" w:color="auto" w:sz="12" w:space="0"/>
              <w:left w:val="nil"/>
              <w:bottom w:val="nil"/>
              <w:right w:val="nil"/>
            </w:tcBorders>
            <w:shd w:val="clear"/>
            <w:noWrap w:val="0"/>
            <w:tcMar>
              <w:top w:w="-1" w:type="dxa"/>
              <w:left w:w="-1" w:type="dxa"/>
              <w:bottom w:w="-1" w:type="dxa"/>
              <w:right w:w="-1" w:type="dxa"/>
            </w:tcMar>
            <w:vAlign w:val="center"/>
          </w:tcPr>
          <w:p w14:paraId="04291FB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b/>
                <w:bCs/>
                <w:i w:val="0"/>
                <w:iCs w:val="0"/>
                <w:color w:val="000000"/>
                <w:sz w:val="22"/>
                <w:szCs w:val="22"/>
                <w:u w:val="none"/>
              </w:rPr>
            </w:pPr>
            <w:r>
              <w:rPr>
                <w:rFonts w:hint="default" w:ascii="Times New Roman" w:hAnsi="Times New Roman" w:eastAsia="微软雅黑" w:cs="Times New Roman"/>
                <w:b/>
                <w:bCs/>
                <w:i w:val="0"/>
                <w:iCs w:val="0"/>
                <w:color w:val="000000"/>
                <w:kern w:val="0"/>
                <w:sz w:val="22"/>
                <w:szCs w:val="22"/>
                <w:u w:val="none"/>
                <w:bdr w:val="none" w:color="auto" w:sz="0" w:space="0"/>
                <w:lang w:val="en-US" w:eastAsia="zh-CN" w:bidi="ar"/>
              </w:rPr>
              <w:t>Study</w:t>
            </w:r>
          </w:p>
        </w:tc>
        <w:tc>
          <w:tcPr>
            <w:tcW w:w="0" w:type="auto"/>
            <w:gridSpan w:val="3"/>
            <w:vMerge w:val="restart"/>
            <w:tcBorders>
              <w:top w:val="single" w:color="auto" w:sz="12" w:space="0"/>
              <w:left w:val="nil"/>
              <w:bottom w:val="nil"/>
              <w:right w:val="nil"/>
            </w:tcBorders>
            <w:shd w:val="clear"/>
            <w:noWrap w:val="0"/>
            <w:tcMar>
              <w:top w:w="-1" w:type="dxa"/>
              <w:left w:w="-1" w:type="dxa"/>
              <w:bottom w:w="-1" w:type="dxa"/>
              <w:right w:w="-1" w:type="dxa"/>
            </w:tcMar>
            <w:vAlign w:val="center"/>
          </w:tcPr>
          <w:p w14:paraId="1A8E782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b/>
                <w:bCs/>
                <w:i w:val="0"/>
                <w:iCs w:val="0"/>
                <w:color w:val="000000"/>
                <w:sz w:val="22"/>
                <w:szCs w:val="22"/>
                <w:u w:val="none"/>
              </w:rPr>
            </w:pPr>
            <w:r>
              <w:rPr>
                <w:rFonts w:hint="default" w:ascii="Times New Roman" w:hAnsi="Times New Roman" w:eastAsia="微软雅黑" w:cs="Times New Roman"/>
                <w:b/>
                <w:bCs/>
                <w:i w:val="0"/>
                <w:iCs w:val="0"/>
                <w:color w:val="000000"/>
                <w:kern w:val="0"/>
                <w:sz w:val="22"/>
                <w:szCs w:val="22"/>
                <w:u w:val="none"/>
                <w:bdr w:val="none" w:color="auto" w:sz="0" w:space="0"/>
                <w:lang w:val="en-US" w:eastAsia="zh-CN" w:bidi="ar"/>
              </w:rPr>
              <w:t>QoL</w:t>
            </w:r>
          </w:p>
        </w:tc>
        <w:tc>
          <w:tcPr>
            <w:tcW w:w="977" w:type="dxa"/>
            <w:gridSpan w:val="3"/>
            <w:vMerge w:val="restart"/>
            <w:tcBorders>
              <w:top w:val="single" w:color="auto" w:sz="12" w:space="0"/>
              <w:left w:val="nil"/>
              <w:bottom w:val="nil"/>
              <w:right w:val="nil"/>
            </w:tcBorders>
            <w:shd w:val="clear"/>
            <w:noWrap w:val="0"/>
            <w:tcMar>
              <w:top w:w="-1" w:type="dxa"/>
              <w:left w:w="-1" w:type="dxa"/>
              <w:bottom w:w="-1" w:type="dxa"/>
              <w:right w:w="-1" w:type="dxa"/>
            </w:tcMar>
            <w:vAlign w:val="center"/>
          </w:tcPr>
          <w:p w14:paraId="1F5B193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b/>
                <w:bCs/>
                <w:i w:val="0"/>
                <w:iCs w:val="0"/>
                <w:color w:val="000000"/>
                <w:sz w:val="22"/>
                <w:szCs w:val="22"/>
                <w:u w:val="none"/>
              </w:rPr>
            </w:pPr>
            <w:r>
              <w:rPr>
                <w:rFonts w:hint="default" w:ascii="Times New Roman" w:hAnsi="Times New Roman" w:eastAsia="微软雅黑" w:cs="Times New Roman"/>
                <w:b/>
                <w:bCs/>
                <w:i w:val="0"/>
                <w:iCs w:val="0"/>
                <w:color w:val="000000"/>
                <w:kern w:val="0"/>
                <w:sz w:val="22"/>
                <w:szCs w:val="22"/>
                <w:u w:val="none"/>
                <w:bdr w:val="none" w:color="auto" w:sz="0" w:space="0"/>
                <w:lang w:val="en-US" w:eastAsia="zh-CN" w:bidi="ar"/>
              </w:rPr>
              <w:t>Sleep Quality</w:t>
            </w:r>
          </w:p>
        </w:tc>
        <w:tc>
          <w:tcPr>
            <w:tcW w:w="1147" w:type="dxa"/>
            <w:gridSpan w:val="3"/>
            <w:vMerge w:val="restart"/>
            <w:tcBorders>
              <w:top w:val="single" w:color="auto" w:sz="12" w:space="0"/>
              <w:left w:val="nil"/>
              <w:bottom w:val="nil"/>
              <w:right w:val="nil"/>
            </w:tcBorders>
            <w:shd w:val="clear"/>
            <w:noWrap w:val="0"/>
            <w:tcMar>
              <w:top w:w="-1" w:type="dxa"/>
              <w:left w:w="-1" w:type="dxa"/>
              <w:bottom w:w="-1" w:type="dxa"/>
              <w:right w:w="-1" w:type="dxa"/>
            </w:tcMar>
            <w:vAlign w:val="center"/>
          </w:tcPr>
          <w:p w14:paraId="3688DB1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b/>
                <w:bCs/>
                <w:i w:val="0"/>
                <w:iCs w:val="0"/>
                <w:color w:val="000000"/>
                <w:sz w:val="22"/>
                <w:szCs w:val="22"/>
                <w:u w:val="none"/>
              </w:rPr>
            </w:pPr>
            <w:r>
              <w:rPr>
                <w:rFonts w:hint="default" w:ascii="Times New Roman" w:hAnsi="Times New Roman" w:eastAsia="微软雅黑" w:cs="Times New Roman"/>
                <w:b/>
                <w:bCs/>
                <w:i w:val="0"/>
                <w:iCs w:val="0"/>
                <w:color w:val="000000"/>
                <w:kern w:val="0"/>
                <w:sz w:val="22"/>
                <w:szCs w:val="22"/>
                <w:u w:val="none"/>
                <w:bdr w:val="none" w:color="auto" w:sz="0" w:space="0"/>
                <w:lang w:val="en-US" w:eastAsia="zh-CN" w:bidi="ar"/>
              </w:rPr>
              <w:t>Fatigue</w:t>
            </w:r>
          </w:p>
        </w:tc>
        <w:tc>
          <w:tcPr>
            <w:tcW w:w="0" w:type="auto"/>
            <w:gridSpan w:val="3"/>
            <w:vMerge w:val="restart"/>
            <w:tcBorders>
              <w:top w:val="single" w:color="auto" w:sz="12" w:space="0"/>
              <w:left w:val="nil"/>
              <w:bottom w:val="nil"/>
              <w:right w:val="nil"/>
            </w:tcBorders>
            <w:shd w:val="clear"/>
            <w:noWrap w:val="0"/>
            <w:tcMar>
              <w:top w:w="-1" w:type="dxa"/>
              <w:left w:w="-1" w:type="dxa"/>
              <w:bottom w:w="-1" w:type="dxa"/>
              <w:right w:w="-1" w:type="dxa"/>
            </w:tcMar>
            <w:vAlign w:val="center"/>
          </w:tcPr>
          <w:p w14:paraId="6410557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b/>
                <w:bCs/>
                <w:i w:val="0"/>
                <w:iCs w:val="0"/>
                <w:color w:val="000000"/>
                <w:sz w:val="22"/>
                <w:szCs w:val="22"/>
                <w:u w:val="none"/>
              </w:rPr>
            </w:pPr>
            <w:r>
              <w:rPr>
                <w:rFonts w:hint="default" w:ascii="Times New Roman" w:hAnsi="Times New Roman" w:eastAsia="微软雅黑" w:cs="Times New Roman"/>
                <w:b/>
                <w:bCs/>
                <w:i w:val="0"/>
                <w:iCs w:val="0"/>
                <w:color w:val="000000"/>
                <w:kern w:val="0"/>
                <w:sz w:val="22"/>
                <w:szCs w:val="22"/>
                <w:u w:val="none"/>
                <w:bdr w:val="none" w:color="auto" w:sz="0" w:space="0"/>
                <w:lang w:val="en-US" w:eastAsia="zh-CN" w:bidi="ar"/>
              </w:rPr>
              <w:t>General Mood</w:t>
            </w:r>
          </w:p>
        </w:tc>
        <w:tc>
          <w:tcPr>
            <w:tcW w:w="0" w:type="auto"/>
            <w:gridSpan w:val="3"/>
            <w:vMerge w:val="restart"/>
            <w:tcBorders>
              <w:top w:val="single" w:color="auto" w:sz="12" w:space="0"/>
              <w:left w:val="nil"/>
              <w:bottom w:val="nil"/>
              <w:right w:val="nil"/>
            </w:tcBorders>
            <w:shd w:val="clear"/>
            <w:noWrap w:val="0"/>
            <w:tcMar>
              <w:top w:w="-1" w:type="dxa"/>
              <w:left w:w="-1" w:type="dxa"/>
              <w:bottom w:w="-1" w:type="dxa"/>
              <w:right w:w="-1" w:type="dxa"/>
            </w:tcMar>
            <w:vAlign w:val="center"/>
          </w:tcPr>
          <w:p w14:paraId="603CF7F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b/>
                <w:bCs/>
                <w:i w:val="0"/>
                <w:iCs w:val="0"/>
                <w:color w:val="000000"/>
                <w:sz w:val="22"/>
                <w:szCs w:val="22"/>
                <w:u w:val="none"/>
              </w:rPr>
            </w:pPr>
            <w:r>
              <w:rPr>
                <w:rFonts w:hint="default" w:ascii="Times New Roman" w:hAnsi="Times New Roman" w:eastAsia="微软雅黑" w:cs="Times New Roman"/>
                <w:b/>
                <w:bCs/>
                <w:i w:val="0"/>
                <w:iCs w:val="0"/>
                <w:color w:val="000000"/>
                <w:kern w:val="0"/>
                <w:sz w:val="22"/>
                <w:szCs w:val="22"/>
                <w:u w:val="none"/>
                <w:bdr w:val="none" w:color="auto" w:sz="0" w:space="0"/>
                <w:lang w:val="en-US" w:eastAsia="zh-CN" w:bidi="ar"/>
              </w:rPr>
              <w:t>Anxiety</w:t>
            </w:r>
          </w:p>
        </w:tc>
        <w:tc>
          <w:tcPr>
            <w:tcW w:w="657" w:type="dxa"/>
            <w:gridSpan w:val="3"/>
            <w:vMerge w:val="restart"/>
            <w:tcBorders>
              <w:top w:val="single" w:color="auto" w:sz="12" w:space="0"/>
              <w:left w:val="nil"/>
              <w:bottom w:val="nil"/>
              <w:right w:val="nil"/>
            </w:tcBorders>
            <w:shd w:val="clear"/>
            <w:noWrap w:val="0"/>
            <w:tcMar>
              <w:top w:w="-1" w:type="dxa"/>
              <w:left w:w="-1" w:type="dxa"/>
              <w:bottom w:w="-1" w:type="dxa"/>
              <w:right w:w="-1" w:type="dxa"/>
            </w:tcMar>
            <w:vAlign w:val="center"/>
          </w:tcPr>
          <w:p w14:paraId="610E22D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b/>
                <w:bCs/>
                <w:i w:val="0"/>
                <w:iCs w:val="0"/>
                <w:color w:val="000000"/>
                <w:sz w:val="22"/>
                <w:szCs w:val="22"/>
                <w:u w:val="none"/>
              </w:rPr>
            </w:pPr>
            <w:r>
              <w:rPr>
                <w:rFonts w:hint="default" w:ascii="Times New Roman" w:hAnsi="Times New Roman" w:eastAsia="微软雅黑" w:cs="Times New Roman"/>
                <w:b/>
                <w:bCs/>
                <w:i w:val="0"/>
                <w:iCs w:val="0"/>
                <w:color w:val="000000"/>
                <w:kern w:val="0"/>
                <w:sz w:val="22"/>
                <w:szCs w:val="22"/>
                <w:u w:val="none"/>
                <w:bdr w:val="none" w:color="auto" w:sz="0" w:space="0"/>
                <w:lang w:val="en-US" w:eastAsia="zh-CN" w:bidi="ar"/>
              </w:rPr>
              <w:t>Depression</w:t>
            </w:r>
          </w:p>
        </w:tc>
      </w:tr>
      <w:tr w14:paraId="199D881A">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312" w:hRule="atLeast"/>
          <w:tblHeader/>
          <w:jc w:val="center"/>
        </w:trPr>
        <w:tc>
          <w:tcPr>
            <w:tcW w:w="0" w:type="auto"/>
            <w:vMerge w:val="continue"/>
            <w:tcBorders>
              <w:top w:val="nil"/>
              <w:left w:val="nil"/>
              <w:bottom w:val="nil"/>
              <w:right w:val="nil"/>
            </w:tcBorders>
            <w:shd w:val="clear"/>
            <w:noWrap w:val="0"/>
            <w:tcMar>
              <w:top w:w="-1" w:type="dxa"/>
              <w:left w:w="-1" w:type="dxa"/>
              <w:bottom w:w="-1" w:type="dxa"/>
              <w:right w:w="-1" w:type="dxa"/>
            </w:tcMar>
            <w:vAlign w:val="center"/>
          </w:tcPr>
          <w:p w14:paraId="68F4AC0D">
            <w:pPr>
              <w:snapToGrid w:val="0"/>
              <w:ind w:left="0" w:leftChars="0" w:right="0" w:rightChars="0" w:firstLine="0" w:firstLineChars="0"/>
              <w:jc w:val="center"/>
              <w:rPr>
                <w:rFonts w:hint="default" w:ascii="Times New Roman" w:hAnsi="Times New Roman" w:eastAsia="微软雅黑" w:cs="Times New Roman"/>
                <w:b/>
                <w:bCs/>
                <w:i w:val="0"/>
                <w:iCs w:val="0"/>
                <w:color w:val="000000"/>
                <w:sz w:val="22"/>
                <w:szCs w:val="22"/>
                <w:u w:val="none"/>
              </w:rPr>
            </w:pPr>
          </w:p>
        </w:tc>
        <w:tc>
          <w:tcPr>
            <w:tcW w:w="0" w:type="auto"/>
            <w:gridSpan w:val="3"/>
            <w:vMerge w:val="continue"/>
            <w:tcBorders>
              <w:top w:val="nil"/>
              <w:left w:val="nil"/>
              <w:bottom w:val="nil"/>
              <w:right w:val="nil"/>
            </w:tcBorders>
            <w:shd w:val="clear"/>
            <w:noWrap w:val="0"/>
            <w:tcMar>
              <w:top w:w="-1" w:type="dxa"/>
              <w:left w:w="-1" w:type="dxa"/>
              <w:bottom w:w="-1" w:type="dxa"/>
              <w:right w:w="-1" w:type="dxa"/>
            </w:tcMar>
            <w:vAlign w:val="center"/>
          </w:tcPr>
          <w:p w14:paraId="2C8B8027">
            <w:pPr>
              <w:snapToGrid w:val="0"/>
              <w:ind w:left="0" w:leftChars="0" w:right="0" w:rightChars="0" w:firstLine="0" w:firstLineChars="0"/>
              <w:jc w:val="center"/>
              <w:rPr>
                <w:rFonts w:hint="default" w:ascii="Times New Roman" w:hAnsi="Times New Roman" w:eastAsia="微软雅黑" w:cs="Times New Roman"/>
                <w:b/>
                <w:bCs/>
                <w:i w:val="0"/>
                <w:iCs w:val="0"/>
                <w:color w:val="000000"/>
                <w:sz w:val="22"/>
                <w:szCs w:val="22"/>
                <w:u w:val="none"/>
              </w:rPr>
            </w:pPr>
          </w:p>
        </w:tc>
        <w:tc>
          <w:tcPr>
            <w:tcW w:w="977" w:type="dxa"/>
            <w:gridSpan w:val="3"/>
            <w:vMerge w:val="continue"/>
            <w:tcBorders>
              <w:top w:val="nil"/>
              <w:left w:val="nil"/>
              <w:bottom w:val="nil"/>
              <w:right w:val="nil"/>
            </w:tcBorders>
            <w:shd w:val="clear"/>
            <w:noWrap w:val="0"/>
            <w:tcMar>
              <w:top w:w="-1" w:type="dxa"/>
              <w:left w:w="-1" w:type="dxa"/>
              <w:bottom w:w="-1" w:type="dxa"/>
              <w:right w:w="-1" w:type="dxa"/>
            </w:tcMar>
            <w:vAlign w:val="center"/>
          </w:tcPr>
          <w:p w14:paraId="54D66948">
            <w:pPr>
              <w:snapToGrid w:val="0"/>
              <w:ind w:left="0" w:leftChars="0" w:right="0" w:rightChars="0" w:firstLine="0" w:firstLineChars="0"/>
              <w:jc w:val="center"/>
              <w:rPr>
                <w:rFonts w:hint="default" w:ascii="Times New Roman" w:hAnsi="Times New Roman" w:eastAsia="微软雅黑" w:cs="Times New Roman"/>
                <w:b/>
                <w:bCs/>
                <w:i w:val="0"/>
                <w:iCs w:val="0"/>
                <w:color w:val="000000"/>
                <w:sz w:val="22"/>
                <w:szCs w:val="22"/>
                <w:u w:val="none"/>
              </w:rPr>
            </w:pPr>
          </w:p>
        </w:tc>
        <w:tc>
          <w:tcPr>
            <w:tcW w:w="1147" w:type="dxa"/>
            <w:gridSpan w:val="3"/>
            <w:vMerge w:val="continue"/>
            <w:tcBorders>
              <w:top w:val="nil"/>
              <w:left w:val="nil"/>
              <w:bottom w:val="nil"/>
              <w:right w:val="nil"/>
            </w:tcBorders>
            <w:shd w:val="clear"/>
            <w:noWrap w:val="0"/>
            <w:tcMar>
              <w:top w:w="-1" w:type="dxa"/>
              <w:left w:w="-1" w:type="dxa"/>
              <w:bottom w:w="-1" w:type="dxa"/>
              <w:right w:w="-1" w:type="dxa"/>
            </w:tcMar>
            <w:vAlign w:val="center"/>
          </w:tcPr>
          <w:p w14:paraId="466602AA">
            <w:pPr>
              <w:snapToGrid w:val="0"/>
              <w:ind w:left="0" w:leftChars="0" w:right="0" w:rightChars="0" w:firstLine="0" w:firstLineChars="0"/>
              <w:jc w:val="center"/>
              <w:rPr>
                <w:rFonts w:hint="default" w:ascii="Times New Roman" w:hAnsi="Times New Roman" w:eastAsia="微软雅黑" w:cs="Times New Roman"/>
                <w:b/>
                <w:bCs/>
                <w:i w:val="0"/>
                <w:iCs w:val="0"/>
                <w:color w:val="000000"/>
                <w:sz w:val="22"/>
                <w:szCs w:val="22"/>
                <w:u w:val="none"/>
              </w:rPr>
            </w:pPr>
          </w:p>
        </w:tc>
        <w:tc>
          <w:tcPr>
            <w:tcW w:w="0" w:type="auto"/>
            <w:gridSpan w:val="3"/>
            <w:vMerge w:val="continue"/>
            <w:tcBorders>
              <w:top w:val="nil"/>
              <w:left w:val="nil"/>
              <w:bottom w:val="nil"/>
              <w:right w:val="nil"/>
            </w:tcBorders>
            <w:shd w:val="clear"/>
            <w:noWrap w:val="0"/>
            <w:tcMar>
              <w:top w:w="-1" w:type="dxa"/>
              <w:left w:w="-1" w:type="dxa"/>
              <w:bottom w:w="-1" w:type="dxa"/>
              <w:right w:w="-1" w:type="dxa"/>
            </w:tcMar>
            <w:vAlign w:val="center"/>
          </w:tcPr>
          <w:p w14:paraId="548C3E39">
            <w:pPr>
              <w:snapToGrid w:val="0"/>
              <w:ind w:left="0" w:leftChars="0" w:right="0" w:rightChars="0" w:firstLine="0" w:firstLineChars="0"/>
              <w:jc w:val="center"/>
              <w:rPr>
                <w:rFonts w:hint="default" w:ascii="Times New Roman" w:hAnsi="Times New Roman" w:eastAsia="微软雅黑" w:cs="Times New Roman"/>
                <w:b/>
                <w:bCs/>
                <w:i w:val="0"/>
                <w:iCs w:val="0"/>
                <w:color w:val="000000"/>
                <w:sz w:val="22"/>
                <w:szCs w:val="22"/>
                <w:u w:val="none"/>
              </w:rPr>
            </w:pPr>
          </w:p>
        </w:tc>
        <w:tc>
          <w:tcPr>
            <w:tcW w:w="0" w:type="auto"/>
            <w:gridSpan w:val="3"/>
            <w:vMerge w:val="continue"/>
            <w:tcBorders>
              <w:top w:val="nil"/>
              <w:left w:val="nil"/>
              <w:bottom w:val="nil"/>
              <w:right w:val="nil"/>
            </w:tcBorders>
            <w:shd w:val="clear"/>
            <w:noWrap w:val="0"/>
            <w:tcMar>
              <w:top w:w="-1" w:type="dxa"/>
              <w:left w:w="-1" w:type="dxa"/>
              <w:bottom w:w="-1" w:type="dxa"/>
              <w:right w:w="-1" w:type="dxa"/>
            </w:tcMar>
            <w:vAlign w:val="center"/>
          </w:tcPr>
          <w:p w14:paraId="639C8264">
            <w:pPr>
              <w:snapToGrid w:val="0"/>
              <w:ind w:left="0" w:leftChars="0" w:right="0" w:rightChars="0" w:firstLine="0" w:firstLineChars="0"/>
              <w:jc w:val="center"/>
              <w:rPr>
                <w:rFonts w:hint="default" w:ascii="Times New Roman" w:hAnsi="Times New Roman" w:eastAsia="微软雅黑" w:cs="Times New Roman"/>
                <w:b/>
                <w:bCs/>
                <w:i w:val="0"/>
                <w:iCs w:val="0"/>
                <w:color w:val="000000"/>
                <w:sz w:val="22"/>
                <w:szCs w:val="22"/>
                <w:u w:val="none"/>
              </w:rPr>
            </w:pPr>
          </w:p>
        </w:tc>
        <w:tc>
          <w:tcPr>
            <w:tcW w:w="657" w:type="dxa"/>
            <w:gridSpan w:val="3"/>
            <w:vMerge w:val="continue"/>
            <w:tcBorders>
              <w:top w:val="nil"/>
              <w:left w:val="nil"/>
              <w:bottom w:val="nil"/>
              <w:right w:val="nil"/>
            </w:tcBorders>
            <w:shd w:val="clear"/>
            <w:noWrap w:val="0"/>
            <w:tcMar>
              <w:top w:w="-1" w:type="dxa"/>
              <w:left w:w="-1" w:type="dxa"/>
              <w:bottom w:w="-1" w:type="dxa"/>
              <w:right w:w="-1" w:type="dxa"/>
            </w:tcMar>
            <w:vAlign w:val="center"/>
          </w:tcPr>
          <w:p w14:paraId="2100B1CF">
            <w:pPr>
              <w:snapToGrid w:val="0"/>
              <w:ind w:left="0" w:leftChars="0" w:right="0" w:rightChars="0" w:firstLine="0" w:firstLineChars="0"/>
              <w:jc w:val="center"/>
              <w:rPr>
                <w:rFonts w:hint="default" w:ascii="Times New Roman" w:hAnsi="Times New Roman" w:eastAsia="微软雅黑" w:cs="Times New Roman"/>
                <w:b/>
                <w:bCs/>
                <w:i w:val="0"/>
                <w:iCs w:val="0"/>
                <w:color w:val="000000"/>
                <w:sz w:val="22"/>
                <w:szCs w:val="22"/>
                <w:u w:val="none"/>
              </w:rPr>
            </w:pPr>
          </w:p>
        </w:tc>
      </w:tr>
      <w:tr w14:paraId="3303F959">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534DBDF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Qiao Xiao et al. (2025)</w:t>
            </w: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65BF79A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7E402C2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(a) 24h：83 ± 13.14</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5d：96.5 ± 8.88</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(b) 24h：97 ± 12.78，5d：92 ± 13.33</w:t>
            </w: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7939D3F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24h：78 ± 3.33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5d：78 ± 2.96</w:t>
            </w:r>
          </w:p>
        </w:tc>
        <w:tc>
          <w:tcPr>
            <w:tcW w:w="977" w:type="dxa"/>
            <w:tcBorders>
              <w:top w:val="single" w:color="auto" w:sz="4" w:space="0"/>
              <w:left w:val="nil"/>
              <w:bottom w:val="nil"/>
              <w:right w:val="nil"/>
            </w:tcBorders>
            <w:shd w:val="clear"/>
            <w:noWrap w:val="0"/>
            <w:tcMar>
              <w:top w:w="-1" w:type="dxa"/>
              <w:left w:w="-1" w:type="dxa"/>
              <w:bottom w:w="-1" w:type="dxa"/>
              <w:right w:w="-1" w:type="dxa"/>
            </w:tcMar>
            <w:vAlign w:val="center"/>
          </w:tcPr>
          <w:p w14:paraId="4DA321C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7F6DDB6C">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3C67D01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single" w:color="auto" w:sz="4" w:space="0"/>
              <w:left w:val="nil"/>
              <w:bottom w:val="nil"/>
              <w:right w:val="nil"/>
            </w:tcBorders>
            <w:shd w:val="clear"/>
            <w:noWrap w:val="0"/>
            <w:tcMar>
              <w:top w:w="-1" w:type="dxa"/>
              <w:left w:w="-1" w:type="dxa"/>
              <w:bottom w:w="-1" w:type="dxa"/>
              <w:right w:w="-1" w:type="dxa"/>
            </w:tcMar>
            <w:vAlign w:val="center"/>
          </w:tcPr>
          <w:p w14:paraId="1017BE7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59DF65D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337C349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79073A1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004681C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6E0E519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bookmarkStart w:id="18" w:name="_GoBack"/>
            <w:bookmarkEnd w:id="18"/>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5E7F1F7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32F79DD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5FDB9EA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03DD8F6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single" w:color="auto" w:sz="4" w:space="0"/>
              <w:left w:val="nil"/>
              <w:bottom w:val="nil"/>
              <w:right w:val="nil"/>
            </w:tcBorders>
            <w:shd w:val="clear"/>
            <w:noWrap w:val="0"/>
            <w:tcMar>
              <w:top w:w="-1" w:type="dxa"/>
              <w:left w:w="-1" w:type="dxa"/>
              <w:bottom w:w="-1" w:type="dxa"/>
              <w:right w:w="-1" w:type="dxa"/>
            </w:tcMar>
            <w:vAlign w:val="center"/>
          </w:tcPr>
          <w:p w14:paraId="127AA8B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single" w:color="auto" w:sz="4" w:space="0"/>
              <w:left w:val="nil"/>
              <w:bottom w:val="nil"/>
              <w:right w:val="nil"/>
            </w:tcBorders>
            <w:shd w:val="clear"/>
            <w:noWrap w:val="0"/>
            <w:tcMar>
              <w:top w:w="-1" w:type="dxa"/>
              <w:left w:w="-1" w:type="dxa"/>
              <w:bottom w:w="-1" w:type="dxa"/>
              <w:right w:w="-1" w:type="dxa"/>
            </w:tcMar>
            <w:vAlign w:val="center"/>
          </w:tcPr>
          <w:p w14:paraId="5B4C1FA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43815C20">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40869B9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Lu et al. (2019)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1E3881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KPS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93C1A9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76.5 ± 11.3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89.3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8.3</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318CE0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74.8 ± 14.1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75.2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11.5</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7F035B6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PSQI</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C32BA2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10.5 ± 1.5</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1.1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BBC3D4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10.5 ± 2.1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6.9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2.0</w:t>
            </w:r>
          </w:p>
        </w:tc>
        <w:tc>
          <w:tcPr>
            <w:tcW w:w="1147" w:type="dxa"/>
            <w:tcBorders>
              <w:top w:val="nil"/>
              <w:left w:val="nil"/>
              <w:bottom w:val="nil"/>
              <w:right w:val="nil"/>
            </w:tcBorders>
            <w:shd w:val="clear"/>
            <w:noWrap w:val="0"/>
            <w:tcMar>
              <w:top w:w="-1" w:type="dxa"/>
              <w:left w:w="-1" w:type="dxa"/>
              <w:bottom w:w="-1" w:type="dxa"/>
              <w:right w:w="-1" w:type="dxa"/>
            </w:tcMar>
            <w:vAlign w:val="center"/>
          </w:tcPr>
          <w:p w14:paraId="3F884E2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BFI</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7F44EE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4.4 ± 2.2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2.7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2.1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A94FF0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4.7 ± 2.5</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1.9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042628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AF3C1C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05F7E3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9E6930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FEA503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D6325C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A2A8C3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919DD2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03DF19A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29DC22B3">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2E00CA2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Molassiotis et al. (2019)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EFF468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FACT-G</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5BC80E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71.5±11.9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76.7±11.1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AC7C2F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72.9±15.9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70.7±16.4</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0FF4580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5A2036F">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806AA2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4C48C5D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5BE323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248D82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25FA58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Symptom Distress Scale</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3EAA8D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16.6±4.6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14.6±3.9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900E63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17.6±5.9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17.6±5.9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860909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FAC5B8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329CCA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BD4B1D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CB5D2F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4483C95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5F725B51">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17AC570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Zhang et al. (2021)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F3BFCD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FACT-B</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2CA309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change: 14.9 ± 8.3</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4E0972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change: 1.3 ± 8</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42B72D5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PSQI</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9ABB65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change: −3.9 ±1.9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BD7A50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change:  -1.6 ±1.9</w:t>
            </w:r>
          </w:p>
        </w:tc>
        <w:tc>
          <w:tcPr>
            <w:tcW w:w="1147" w:type="dxa"/>
            <w:tcBorders>
              <w:top w:val="nil"/>
              <w:left w:val="nil"/>
              <w:bottom w:val="nil"/>
              <w:right w:val="nil"/>
            </w:tcBorders>
            <w:shd w:val="clear"/>
            <w:noWrap w:val="0"/>
            <w:tcMar>
              <w:top w:w="-1" w:type="dxa"/>
              <w:left w:w="-1" w:type="dxa"/>
              <w:bottom w:w="-1" w:type="dxa"/>
              <w:right w:w="-1" w:type="dxa"/>
            </w:tcMar>
            <w:vAlign w:val="center"/>
          </w:tcPr>
          <w:p w14:paraId="494C8DD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1CD14C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8B6BF8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5C0D84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658265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1771FE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B9ACDC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HADS-Anxiety</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A7F8A5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change: -1.4 ±1.5</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68EAE8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change:  -0.4 ±1.4</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C7B902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HADS-Depression</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DDE4CB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change: -2.2 ±1.5</w:t>
            </w:r>
          </w:p>
        </w:tc>
        <w:tc>
          <w:tcPr>
            <w:tcW w:w="657" w:type="dxa"/>
            <w:tcBorders>
              <w:top w:val="nil"/>
              <w:left w:val="nil"/>
              <w:bottom w:val="nil"/>
              <w:right w:val="nil"/>
            </w:tcBorders>
            <w:shd w:val="clear"/>
            <w:noWrap w:val="0"/>
            <w:tcMar>
              <w:top w:w="-1" w:type="dxa"/>
              <w:left w:w="-1" w:type="dxa"/>
              <w:bottom w:w="-1" w:type="dxa"/>
              <w:right w:w="-1" w:type="dxa"/>
            </w:tcMar>
            <w:vAlign w:val="center"/>
          </w:tcPr>
          <w:p w14:paraId="136FCD9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change:  -0.6 ±1.3</w:t>
            </w:r>
          </w:p>
        </w:tc>
      </w:tr>
      <w:tr w14:paraId="4B80805C">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160CC23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Zhuang et al. (2024)</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01DD9D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KPS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15BF70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62.64</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3.21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59.06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4.05</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0725E6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61.94</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3.06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58.48</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3.90</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6BE249E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FFA9524">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00CC79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2093AAE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C58C8D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7D1A34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E2F97E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B6F3B5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5AE595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00B0D9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097E7E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E3B351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6E44A8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A17365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6AA45F2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6AE21187">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2F09734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Tan et al. (2022)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5E70BA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DDE1DB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8518E1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977" w:type="dxa"/>
            <w:tcBorders>
              <w:top w:val="nil"/>
              <w:left w:val="nil"/>
              <w:bottom w:val="nil"/>
              <w:right w:val="nil"/>
            </w:tcBorders>
            <w:shd w:val="clear"/>
            <w:noWrap w:val="0"/>
            <w:tcMar>
              <w:top w:w="-1" w:type="dxa"/>
              <w:left w:w="-1" w:type="dxa"/>
              <w:bottom w:w="-1" w:type="dxa"/>
              <w:right w:w="-1" w:type="dxa"/>
            </w:tcMar>
            <w:vAlign w:val="center"/>
          </w:tcPr>
          <w:p w14:paraId="1D80643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796ADEC">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F32D02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1362F45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FAC169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37A2B6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81D8F5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3DC408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B0880C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5B033C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F8155A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E268C3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CD3728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35915A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1CD7DAD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09DAC17F">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582C97D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Xu et al. (2022)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83EFCC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QLQ-CCC</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5C8C31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125.20 ± 4.01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8days:  119.87 ± 5.52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21days: 118.66 ± 3.87</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65785B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126.01 ± 6.37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8days:  117.80 ± 4.17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21days: 116.92 ± 2.66</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60521B6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7E662B5">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864A5E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1620381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RPFS-CV</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662EA7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5.31 ± 0.48</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8days:  6.28 ± 0.35</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21days:  6.44 ± 0.38</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753096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5.35 ± 0.55</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8days: 6.60 ± 0.32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21days: 6.72 ± 0.41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892D60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B81454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355D3B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BCFA7E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4854E9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2B35B6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2229E1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6DBFC3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30045D7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01532E76">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6F8F11F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Billhult et al. (2007)</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81071B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25DF47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D4D310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977" w:type="dxa"/>
            <w:tcBorders>
              <w:top w:val="nil"/>
              <w:left w:val="nil"/>
              <w:bottom w:val="nil"/>
              <w:right w:val="nil"/>
            </w:tcBorders>
            <w:shd w:val="clear"/>
            <w:noWrap w:val="0"/>
            <w:tcMar>
              <w:top w:w="-1" w:type="dxa"/>
              <w:left w:w="-1" w:type="dxa"/>
              <w:bottom w:w="-1" w:type="dxa"/>
              <w:right w:w="-1" w:type="dxa"/>
            </w:tcMar>
            <w:vAlign w:val="center"/>
          </w:tcPr>
          <w:p w14:paraId="4E2BDDE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1332462">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16E842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0736F46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3D2B04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2392ED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DF7CBF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4AE5FF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5ABE9E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54C268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HADS Anxiety</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81FCF8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change:−0.1 ± 2.9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8A0EEA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change: +1.3 ± 2.6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1F0358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HADS Depression</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B5C505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change:−0.7 ± 2.8</w:t>
            </w:r>
          </w:p>
        </w:tc>
        <w:tc>
          <w:tcPr>
            <w:tcW w:w="657" w:type="dxa"/>
            <w:tcBorders>
              <w:top w:val="nil"/>
              <w:left w:val="nil"/>
              <w:bottom w:val="nil"/>
              <w:right w:val="nil"/>
            </w:tcBorders>
            <w:shd w:val="clear"/>
            <w:noWrap w:val="0"/>
            <w:tcMar>
              <w:top w:w="-1" w:type="dxa"/>
              <w:left w:w="-1" w:type="dxa"/>
              <w:bottom w:w="-1" w:type="dxa"/>
              <w:right w:w="-1" w:type="dxa"/>
            </w:tcMar>
            <w:vAlign w:val="center"/>
          </w:tcPr>
          <w:p w14:paraId="479DE0C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change: +0.6 ± 1.22</w:t>
            </w:r>
          </w:p>
        </w:tc>
      </w:tr>
      <w:tr w14:paraId="4A1B5F3A">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5B41642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Chuang et al. (2017)</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7B3609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EORTC QLQ-C30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9AD976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35.07 ± 10.45</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80.56 ± 14.92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DCE036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34.94 ± 9.84</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36.18 ± 10.17</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0EB7579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VSHSS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8BCD2E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change: +265.83 ± 94.56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A6CA82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change: +0.21 ± 25.75</w:t>
            </w:r>
          </w:p>
        </w:tc>
        <w:tc>
          <w:tcPr>
            <w:tcW w:w="1147" w:type="dxa"/>
            <w:tcBorders>
              <w:top w:val="nil"/>
              <w:left w:val="nil"/>
              <w:bottom w:val="nil"/>
              <w:right w:val="nil"/>
            </w:tcBorders>
            <w:shd w:val="clear"/>
            <w:noWrap w:val="0"/>
            <w:tcMar>
              <w:top w:w="-1" w:type="dxa"/>
              <w:left w:w="-1" w:type="dxa"/>
              <w:bottom w:w="-1" w:type="dxa"/>
              <w:right w:w="-1" w:type="dxa"/>
            </w:tcMar>
            <w:vAlign w:val="center"/>
          </w:tcPr>
          <w:p w14:paraId="31F879E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BFI-TF</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0942A4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5.49 ± 1.02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0.37 ± 1.39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BE9554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6.55 ± 1.42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4.95 ± 1.57</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A0DD0C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C81D0B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BA74D0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3E14CA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DBC84E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19B29C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0B70EF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6A739C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1A314D5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713F9D6D">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0F96C9E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Ding et al. (2020)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A6A46E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SF-36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106287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53.82 ± 14.82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72.50 ± 12.50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2240D9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50.37 ± 13.84</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53.74 ± 15.20</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333B2CB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53B3997">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506EA3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09968E6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2DE505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D64391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994826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SF-36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88D9B2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68.09 ± 10.77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78.77 ± 10.29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5BEFA2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65.82 ± 9.76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68.41 ± 10.73</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1237FF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16E3B2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3364AA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094DCE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A3CDD3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7C6F7CA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3D0C0E80">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5E48213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Wen et al. (2023)</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795E51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FACT-H&amp;N</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71967E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72.67 ± 14.81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101.08 ± 12.20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651D40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68.44 ± 16.99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88.87 ± 18.39</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7094B18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PSQI</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E99184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8.64 ± 3.76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4.58 ± 3.53</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570FE0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9.61 ± 3.67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7.33 ± 4.57</w:t>
            </w:r>
          </w:p>
        </w:tc>
        <w:tc>
          <w:tcPr>
            <w:tcW w:w="1147" w:type="dxa"/>
            <w:tcBorders>
              <w:top w:val="nil"/>
              <w:left w:val="nil"/>
              <w:bottom w:val="nil"/>
              <w:right w:val="nil"/>
            </w:tcBorders>
            <w:shd w:val="clear"/>
            <w:noWrap w:val="0"/>
            <w:tcMar>
              <w:top w:w="-1" w:type="dxa"/>
              <w:left w:w="-1" w:type="dxa"/>
              <w:bottom w:w="-1" w:type="dxa"/>
              <w:right w:w="-1" w:type="dxa"/>
            </w:tcMar>
            <w:vAlign w:val="center"/>
          </w:tcPr>
          <w:p w14:paraId="25B0757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MFI-20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A9C9A5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62.89 ± 8.39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48.08 ± 10.52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BAD407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64.56 ± 9.22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54.95 ± 10.82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355625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Emotional well-being</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211C12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10.33 ± 2.22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16.03 ± 1.56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F69170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9.95 ± 1.76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14.08 ± 1.88</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7FB661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GAD-7</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301890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5.80 ± 2.12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3.64 ± 1.08</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BBC96E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6.09 ± 2.33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4.46 ± 1.51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F00BA1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PHQ-9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0BD36A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7.00 ± 2.43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4.70 ± 1.41</w:t>
            </w:r>
          </w:p>
        </w:tc>
        <w:tc>
          <w:tcPr>
            <w:tcW w:w="657" w:type="dxa"/>
            <w:tcBorders>
              <w:top w:val="nil"/>
              <w:left w:val="nil"/>
              <w:bottom w:val="nil"/>
              <w:right w:val="nil"/>
            </w:tcBorders>
            <w:shd w:val="clear"/>
            <w:noWrap w:val="0"/>
            <w:tcMar>
              <w:top w:w="-1" w:type="dxa"/>
              <w:left w:w="-1" w:type="dxa"/>
              <w:bottom w:w="-1" w:type="dxa"/>
              <w:right w:w="-1" w:type="dxa"/>
            </w:tcMar>
            <w:vAlign w:val="center"/>
          </w:tcPr>
          <w:p w14:paraId="60F0E41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7.27 ± 2.41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5.46 ± 2.17</w:t>
            </w:r>
          </w:p>
        </w:tc>
      </w:tr>
      <w:tr w14:paraId="4E3DB2FE">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00A8F7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Li et al. (2021)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8D8CDD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FACT-B</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36F3E2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87.14 ± 11.40</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101.86 ± 10.79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B5FE0B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85.74 ± 10.86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93.34 ± 11.12</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34D50BC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PSQI</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DA1A6D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10.57 ± 3.05</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6.54 ± 2.49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3C00B5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10.54 ± 2.79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8.71 ± 2.65</w:t>
            </w:r>
          </w:p>
        </w:tc>
        <w:tc>
          <w:tcPr>
            <w:tcW w:w="1147" w:type="dxa"/>
            <w:tcBorders>
              <w:top w:val="nil"/>
              <w:left w:val="nil"/>
              <w:bottom w:val="nil"/>
              <w:right w:val="nil"/>
            </w:tcBorders>
            <w:shd w:val="clear"/>
            <w:noWrap w:val="0"/>
            <w:tcMar>
              <w:top w:w="-1" w:type="dxa"/>
              <w:left w:w="-1" w:type="dxa"/>
              <w:bottom w:w="-1" w:type="dxa"/>
              <w:right w:w="-1" w:type="dxa"/>
            </w:tcMar>
            <w:vAlign w:val="center"/>
          </w:tcPr>
          <w:p w14:paraId="4B6D338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CFS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FFE5BC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40.40 ± 5.77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30.43 ± 5.02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9AD787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39.83 ± 6.09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35.86 ± 6.19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624AAD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2530E6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91439E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634F35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SAS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40E80A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52.06 ± 5.43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44.20 ± 4.95</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B0608F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52.51 ± 4.84</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49.83 ± 4.54</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A5DEDD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SDS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9FB35C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51.57 ± 6.38</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42.66 ± 4.37</w:t>
            </w:r>
          </w:p>
        </w:tc>
        <w:tc>
          <w:tcPr>
            <w:tcW w:w="657" w:type="dxa"/>
            <w:tcBorders>
              <w:top w:val="nil"/>
              <w:left w:val="nil"/>
              <w:bottom w:val="nil"/>
              <w:right w:val="nil"/>
            </w:tcBorders>
            <w:shd w:val="clear"/>
            <w:noWrap w:val="0"/>
            <w:tcMar>
              <w:top w:w="-1" w:type="dxa"/>
              <w:left w:w="-1" w:type="dxa"/>
              <w:bottom w:w="-1" w:type="dxa"/>
              <w:right w:w="-1" w:type="dxa"/>
            </w:tcMar>
            <w:vAlign w:val="center"/>
          </w:tcPr>
          <w:p w14:paraId="13BAEB9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51.40 ± 5.91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48.23 ± 5.23</w:t>
            </w:r>
          </w:p>
        </w:tc>
      </w:tr>
      <w:tr w14:paraId="3A865162">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1014FE7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Zhang et al. (2022)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B186EC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WHOQOL-BREF</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3AC0E0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65.54</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8.66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81.47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8.25</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489A2D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65.33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8.23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72.11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7.45</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1B24050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FCE38A0">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506150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0333638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E4B728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75986B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4DC7DB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8B830D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93BE78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A1FE39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HAMA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3AEF1E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18.65</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3.06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10.49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1.85</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5164FC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18.73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3.02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15.61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2.31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5E304A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FF64B6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67FC8F6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3FAA2C02">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7D6DC1C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Huang et al. (2015)</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9CAEF5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SF-36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8BEBF3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(a) pre:  46.4 ± 6.3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 month: 47.1 ± 6.6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3 month: 47.2 ± 6.0</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(b) pre:  45.3 ± 7.5</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 month: 42.6 ± 7.0</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3 month: 45.8 ± 7.5</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911C55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46.7 ± 10.4</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 month: 44.7 ± 7.2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3 month: 44.7 ± 9.1</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5A8FAA8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74EED50">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F25CE0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3652A0E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A8263E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8DF511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0A64DA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xml:space="preserve">SF-36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Mental Component Score</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72F93B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(a) pre:  28.1 ± 12.4</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 month: 30.7 ± 15.0</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3 month: 36.2 ± 14.8</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(b) pre:  39.5 ± 14.1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 month: 39.2 ± 12.7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3 month: 40.3 ± 13.0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E4129B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38.0 ± 12.7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 month: 35.2 ± 12.0</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3 month: 33.3 ± 14.9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58B82F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A3E5E8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45F013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867C8B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D8D766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034595C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06738C35">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1017394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Huong et al. (2021)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56E8AC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FACT-G</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28A395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52.56 ± 2.44</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4 weeks: 61.25 ± 3.09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8 weeks: 59.46 ± 3.12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0363B0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66.00 ± 1.90</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4 weeks: 61.90 ± 2.58</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8 weeks: 61.49 ± 3.33</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4A3C838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ISI</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1FB6B2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20.2 ± 0.62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8 weeks: 14.71 ± 1.34</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E48304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20.26 ± 0.52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8 weeks:  19.76 ± 0.98</w:t>
            </w:r>
          </w:p>
        </w:tc>
        <w:tc>
          <w:tcPr>
            <w:tcW w:w="1147" w:type="dxa"/>
            <w:tcBorders>
              <w:top w:val="nil"/>
              <w:left w:val="nil"/>
              <w:bottom w:val="nil"/>
              <w:right w:val="nil"/>
            </w:tcBorders>
            <w:shd w:val="clear"/>
            <w:noWrap w:val="0"/>
            <w:tcMar>
              <w:top w:w="-1" w:type="dxa"/>
              <w:left w:w="-1" w:type="dxa"/>
              <w:bottom w:w="-1" w:type="dxa"/>
              <w:right w:w="-1" w:type="dxa"/>
            </w:tcMar>
            <w:vAlign w:val="center"/>
          </w:tcPr>
          <w:p w14:paraId="77BE23C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50D4AA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38000B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AB3CC5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FB6688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21A7AF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CD47EA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HADS-A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82893D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12.13 ± 0.6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8 weeks:   9.26 ± 0.91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9EABAF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11.86 ± 0.61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8 weeks: 10.19 ± 0.85</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F8404F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HADS-D</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20B1D3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11.00 ± 0.48</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4 weeks: 9.58 ± 0.79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8 weeks:  9.30 ± 0.80</w:t>
            </w:r>
          </w:p>
        </w:tc>
        <w:tc>
          <w:tcPr>
            <w:tcW w:w="657" w:type="dxa"/>
            <w:tcBorders>
              <w:top w:val="nil"/>
              <w:left w:val="nil"/>
              <w:bottom w:val="nil"/>
              <w:right w:val="nil"/>
            </w:tcBorders>
            <w:shd w:val="clear"/>
            <w:noWrap w:val="0"/>
            <w:tcMar>
              <w:top w:w="-1" w:type="dxa"/>
              <w:left w:w="-1" w:type="dxa"/>
              <w:bottom w:w="-1" w:type="dxa"/>
              <w:right w:w="-1" w:type="dxa"/>
            </w:tcMar>
            <w:vAlign w:val="center"/>
          </w:tcPr>
          <w:p w14:paraId="6BBC385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10.23 ± 0.43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4 weeks:  10.56 ± 0.85</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8 weeks: 11.35 ± 0.88</w:t>
            </w:r>
          </w:p>
        </w:tc>
      </w:tr>
      <w:tr w14:paraId="7304AC4A">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4AFA00B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Lin et al. (2019)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E94BA0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EB6D3F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8AC6D7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977" w:type="dxa"/>
            <w:tcBorders>
              <w:top w:val="nil"/>
              <w:left w:val="nil"/>
              <w:bottom w:val="nil"/>
              <w:right w:val="nil"/>
            </w:tcBorders>
            <w:shd w:val="clear"/>
            <w:noWrap w:val="0"/>
            <w:tcMar>
              <w:top w:w="-1" w:type="dxa"/>
              <w:left w:w="-1" w:type="dxa"/>
              <w:bottom w:w="-1" w:type="dxa"/>
              <w:right w:w="-1" w:type="dxa"/>
            </w:tcMar>
            <w:vAlign w:val="center"/>
          </w:tcPr>
          <w:p w14:paraId="575859F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PSQI</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79D3C6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9.59 ± 2.09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8.27 ± NA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64EF43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26.29 ± 3.12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9.64 ± NA</w:t>
            </w:r>
          </w:p>
        </w:tc>
        <w:tc>
          <w:tcPr>
            <w:tcW w:w="1147" w:type="dxa"/>
            <w:tcBorders>
              <w:top w:val="nil"/>
              <w:left w:val="nil"/>
              <w:bottom w:val="nil"/>
              <w:right w:val="nil"/>
            </w:tcBorders>
            <w:shd w:val="clear"/>
            <w:noWrap w:val="0"/>
            <w:tcMar>
              <w:top w:w="-1" w:type="dxa"/>
              <w:left w:w="-1" w:type="dxa"/>
              <w:bottom w:w="-1" w:type="dxa"/>
              <w:right w:w="-1" w:type="dxa"/>
            </w:tcMar>
            <w:vAlign w:val="center"/>
          </w:tcPr>
          <w:p w14:paraId="53351FB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CFS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936465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27.18 ± 2.84</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20.29 ± NA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349D40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26.29 ± 3.12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26.49 ± NA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3FF33A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4307A7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7B3A04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A9B314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SAS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2B6D34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49.65 ± 3.39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40.62 ± NA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4B0BA6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47.74 ± 3.96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44.41 ± NA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9E816C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BA5BDE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3E999DD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4182BB6F">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2ECC241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Liu et al. (2022)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AB4653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F5383B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772FBE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977" w:type="dxa"/>
            <w:tcBorders>
              <w:top w:val="nil"/>
              <w:left w:val="nil"/>
              <w:bottom w:val="nil"/>
              <w:right w:val="nil"/>
            </w:tcBorders>
            <w:shd w:val="clear"/>
            <w:noWrap w:val="0"/>
            <w:tcMar>
              <w:top w:w="-1" w:type="dxa"/>
              <w:left w:w="-1" w:type="dxa"/>
              <w:bottom w:w="-1" w:type="dxa"/>
              <w:right w:w="-1" w:type="dxa"/>
            </w:tcMar>
            <w:vAlign w:val="center"/>
          </w:tcPr>
          <w:p w14:paraId="710A55B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PSQI</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5D371A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11.42 ± 2.38</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7.03 ± 2.15</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5709C4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11.15 ± 1.73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11.26 ± 2.84</w:t>
            </w:r>
          </w:p>
        </w:tc>
        <w:tc>
          <w:tcPr>
            <w:tcW w:w="1147" w:type="dxa"/>
            <w:tcBorders>
              <w:top w:val="nil"/>
              <w:left w:val="nil"/>
              <w:bottom w:val="nil"/>
              <w:right w:val="nil"/>
            </w:tcBorders>
            <w:shd w:val="clear"/>
            <w:noWrap w:val="0"/>
            <w:tcMar>
              <w:top w:w="-1" w:type="dxa"/>
              <w:left w:w="-1" w:type="dxa"/>
              <w:bottom w:w="-1" w:type="dxa"/>
              <w:right w:w="-1" w:type="dxa"/>
            </w:tcMar>
            <w:vAlign w:val="center"/>
          </w:tcPr>
          <w:p w14:paraId="11ADD51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BFI-C</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9CD6F2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6.79 ± 1.10</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5.25 ± 1.36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0D04A3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7.00 ± 2.01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7.01 ± 1.54</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9F3066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97768A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648D3B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2C6172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HADS-A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4DD279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11.25 ± 3.07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9.06 ± 3.07</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EB7348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11.18 ± 2.12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11.47 ± 2.29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5B8A3F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HADS-D</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E70D07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10.69 ± 3.38</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10.17 ± 3.46</w:t>
            </w:r>
          </w:p>
        </w:tc>
        <w:tc>
          <w:tcPr>
            <w:tcW w:w="657" w:type="dxa"/>
            <w:tcBorders>
              <w:top w:val="nil"/>
              <w:left w:val="nil"/>
              <w:bottom w:val="nil"/>
              <w:right w:val="nil"/>
            </w:tcBorders>
            <w:shd w:val="clear"/>
            <w:noWrap w:val="0"/>
            <w:tcMar>
              <w:top w:w="-1" w:type="dxa"/>
              <w:left w:w="-1" w:type="dxa"/>
              <w:bottom w:w="-1" w:type="dxa"/>
              <w:right w:w="-1" w:type="dxa"/>
            </w:tcMar>
            <w:vAlign w:val="center"/>
          </w:tcPr>
          <w:p w14:paraId="229341C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10.29 ± 2.26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11.44 ± 3.14</w:t>
            </w:r>
          </w:p>
        </w:tc>
      </w:tr>
      <w:tr w14:paraId="754B379F">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3558220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Molassiotis et al. (2014)</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681597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7DE622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01011D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977" w:type="dxa"/>
            <w:tcBorders>
              <w:top w:val="nil"/>
              <w:left w:val="nil"/>
              <w:bottom w:val="nil"/>
              <w:right w:val="nil"/>
            </w:tcBorders>
            <w:shd w:val="clear"/>
            <w:noWrap w:val="0"/>
            <w:tcMar>
              <w:top w:w="-1" w:type="dxa"/>
              <w:left w:w="-1" w:type="dxa"/>
              <w:bottom w:w="-1" w:type="dxa"/>
              <w:right w:w="-1" w:type="dxa"/>
            </w:tcMar>
            <w:vAlign w:val="center"/>
          </w:tcPr>
          <w:p w14:paraId="2ECB173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4F3C99B">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612566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48B759C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F904F2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7D4EF8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C28132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SCL</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79BBF8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45.9 ± 26.1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29.7 ± 21.1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follow-up: 33.1 ± 27.4</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DA6A1E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42.7 ± 23.6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21.4 ± 18.2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follow-up: 19.7 ± 14.2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65D698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51886E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185AFD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7DEB52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9D9991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34F919B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1FA025BF">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1C00D8D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Nedstrand et al. (2006)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5AD54C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25AC2A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2E71BD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977" w:type="dxa"/>
            <w:tcBorders>
              <w:top w:val="nil"/>
              <w:left w:val="nil"/>
              <w:bottom w:val="nil"/>
              <w:right w:val="nil"/>
            </w:tcBorders>
            <w:shd w:val="clear"/>
            <w:noWrap w:val="0"/>
            <w:tcMar>
              <w:top w:w="-1" w:type="dxa"/>
              <w:left w:w="-1" w:type="dxa"/>
              <w:bottom w:w="-1" w:type="dxa"/>
              <w:right w:w="-1" w:type="dxa"/>
            </w:tcMar>
            <w:vAlign w:val="center"/>
          </w:tcPr>
          <w:p w14:paraId="783E80E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2496E35">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E1953B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5B9748E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47DD09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FB8DEF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8BFA75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668125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63122C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EA26EA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527EAD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14EC20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1A6E5B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22E869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1878A40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42C0103F">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482816E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Yang et al. (2021)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575850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EORTC QLQ-C30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E39C2A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27.29 ± 10.67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43.75 ± 15.87</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893986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31.88 ± 10.32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21.44 ± 12.63</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527DD91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007972D">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498956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50F3643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QLQ-C30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1BBBF9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56.67 ± 14.63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41.39 ± 12.58</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C5605E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51.94 ± 19.71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53.13 ± 16.75</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7C5AAD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EORTC QLQ-C30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BCC593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45.21 ±  17.49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64.17 ±  16.58</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32CF1F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44.79 ±  19.31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44.79 ±  19.31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8D8941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12E73D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D31A5D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02B4E2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SDS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124D81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57.85 ± 5.19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37.68 ± 7.62</w:t>
            </w:r>
          </w:p>
        </w:tc>
        <w:tc>
          <w:tcPr>
            <w:tcW w:w="657" w:type="dxa"/>
            <w:tcBorders>
              <w:top w:val="nil"/>
              <w:left w:val="nil"/>
              <w:bottom w:val="nil"/>
              <w:right w:val="nil"/>
            </w:tcBorders>
            <w:shd w:val="clear"/>
            <w:noWrap w:val="0"/>
            <w:tcMar>
              <w:top w:w="-1" w:type="dxa"/>
              <w:left w:w="-1" w:type="dxa"/>
              <w:bottom w:w="-1" w:type="dxa"/>
              <w:right w:w="-1" w:type="dxa"/>
            </w:tcMar>
            <w:vAlign w:val="center"/>
          </w:tcPr>
          <w:p w14:paraId="359FE38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58.15 ± 4.83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49.16 ± 8.53</w:t>
            </w:r>
          </w:p>
        </w:tc>
      </w:tr>
      <w:tr w14:paraId="3C56FEED">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40ED9EE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Zhang et al. (2023)</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53F9E0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FACT-B</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E67EF0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80.3 ± 21.3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99.4 ± NA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6FE474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82.5 ± 19.7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92.6 ± NA</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3786FB2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PSQI</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D66863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13.6 ± 3.4</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10.2 ± NA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536562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12.7 ± 3.3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9.4 ± NA</w:t>
            </w:r>
          </w:p>
        </w:tc>
        <w:tc>
          <w:tcPr>
            <w:tcW w:w="1147" w:type="dxa"/>
            <w:tcBorders>
              <w:top w:val="nil"/>
              <w:left w:val="nil"/>
              <w:bottom w:val="nil"/>
              <w:right w:val="nil"/>
            </w:tcBorders>
            <w:shd w:val="clear"/>
            <w:noWrap w:val="0"/>
            <w:tcMar>
              <w:top w:w="-1" w:type="dxa"/>
              <w:left w:w="-1" w:type="dxa"/>
              <w:bottom w:w="-1" w:type="dxa"/>
              <w:right w:w="-1" w:type="dxa"/>
            </w:tcMar>
            <w:vAlign w:val="center"/>
          </w:tcPr>
          <w:p w14:paraId="1F43131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BFI</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902D1D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5.6 ± 2.1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2.9 ± NA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6E8C52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5.6 ± 2.1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3.5 ± NA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DF613F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7E95C5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7BC71C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4F3D5A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HADS-A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CFA625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9.2 ± 3.9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6.6 ± NA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7649C9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8.6 ± 3.2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7.6 ± NA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F9F44D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HADS-D</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EDF1C3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8.4 ± 4.1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5.2 ± NA</w:t>
            </w:r>
          </w:p>
        </w:tc>
        <w:tc>
          <w:tcPr>
            <w:tcW w:w="657" w:type="dxa"/>
            <w:tcBorders>
              <w:top w:val="nil"/>
              <w:left w:val="nil"/>
              <w:bottom w:val="nil"/>
              <w:right w:val="nil"/>
            </w:tcBorders>
            <w:shd w:val="clear"/>
            <w:noWrap w:val="0"/>
            <w:tcMar>
              <w:top w:w="-1" w:type="dxa"/>
              <w:left w:w="-1" w:type="dxa"/>
              <w:bottom w:w="-1" w:type="dxa"/>
              <w:right w:w="-1" w:type="dxa"/>
            </w:tcMar>
            <w:vAlign w:val="center"/>
          </w:tcPr>
          <w:p w14:paraId="0DC95B9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xml:space="preserve">pre:  8.1 ± 3.8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6.8 ± NA</w:t>
            </w:r>
          </w:p>
        </w:tc>
      </w:tr>
      <w:tr w14:paraId="77730EE8">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69CB172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Shin et al. (2016)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844971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PAC-QOL</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7D612C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1.85 ± 0.549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0.44 ± 0.324</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ACF9F0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2.21 ± 0.809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1.70 ± 0.815</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140F316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C99A607">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B93C99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2547185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2E4DEB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EA7762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98CE64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87AB0E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F2F1ED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DECC0E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1A424F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BF176E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2EE8CA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3E66D5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2559544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438B1D57">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278CD8D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Tang et al. (2014)</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183A9D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0A7A75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DE4C78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977" w:type="dxa"/>
            <w:tcBorders>
              <w:top w:val="nil"/>
              <w:left w:val="nil"/>
              <w:bottom w:val="nil"/>
              <w:right w:val="nil"/>
            </w:tcBorders>
            <w:shd w:val="clear"/>
            <w:noWrap w:val="0"/>
            <w:tcMar>
              <w:top w:w="-1" w:type="dxa"/>
              <w:left w:w="-1" w:type="dxa"/>
              <w:bottom w:w="-1" w:type="dxa"/>
              <w:right w:w="-1" w:type="dxa"/>
            </w:tcMar>
            <w:vAlign w:val="center"/>
          </w:tcPr>
          <w:p w14:paraId="56A0E55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PSQI</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10FBFC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9.63 ± 4.72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7.47 ± 4.88</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122124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9.44 ± 3.76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10.09 ± 4.76</w:t>
            </w:r>
          </w:p>
        </w:tc>
        <w:tc>
          <w:tcPr>
            <w:tcW w:w="1147" w:type="dxa"/>
            <w:tcBorders>
              <w:top w:val="nil"/>
              <w:left w:val="nil"/>
              <w:bottom w:val="nil"/>
              <w:right w:val="nil"/>
            </w:tcBorders>
            <w:shd w:val="clear"/>
            <w:noWrap w:val="0"/>
            <w:tcMar>
              <w:top w:w="-1" w:type="dxa"/>
              <w:left w:w="-1" w:type="dxa"/>
              <w:bottom w:w="-1" w:type="dxa"/>
              <w:right w:w="-1" w:type="dxa"/>
            </w:tcMar>
            <w:vAlign w:val="center"/>
          </w:tcPr>
          <w:p w14:paraId="78F5259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TFRS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DDFE44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130.2 ± 62.1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135.1 ± 74.1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D7B5BF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150.5 ± 63.2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175.7 ± 75.0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962300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32BAD7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34C91A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809598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HADS-A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490E5F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7.21 ± 3.58</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5.07 ± 3.71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B75856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6.94 ± 3.62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7.18 ± 4.56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586974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HADS-D</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5805E2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7.29 ± 4.39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7.93 ± 2.84</w:t>
            </w:r>
          </w:p>
        </w:tc>
        <w:tc>
          <w:tcPr>
            <w:tcW w:w="657" w:type="dxa"/>
            <w:tcBorders>
              <w:top w:val="nil"/>
              <w:left w:val="nil"/>
              <w:bottom w:val="nil"/>
              <w:right w:val="nil"/>
            </w:tcBorders>
            <w:shd w:val="clear"/>
            <w:noWrap w:val="0"/>
            <w:tcMar>
              <w:top w:w="-1" w:type="dxa"/>
              <w:left w:w="-1" w:type="dxa"/>
              <w:bottom w:w="-1" w:type="dxa"/>
              <w:right w:w="-1" w:type="dxa"/>
            </w:tcMar>
            <w:vAlign w:val="center"/>
          </w:tcPr>
          <w:p w14:paraId="2D3A431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8.75 ± 3.80</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9.73 ± 5.52</w:t>
            </w:r>
          </w:p>
        </w:tc>
      </w:tr>
      <w:tr w14:paraId="47126A2F">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34E39A2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Jung et al. (2023)</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B3EA5A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CIPN-20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8F0ABE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52.58 ± 14.86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40.16 ± 9.95</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3E6ADB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46.96 ± 11.19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43.14 ± 13.99</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574368C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650A09B">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536CE0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48D9FB0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EC06AC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9CB395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505BFE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DB428E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B4BD29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BB3C54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C99EDA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133938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0B49E9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54DFDD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25F175F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50556148">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41C4E7A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Yeh et al. (2016)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5F25E3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4EEC92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1C7E5E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977" w:type="dxa"/>
            <w:tcBorders>
              <w:top w:val="nil"/>
              <w:left w:val="nil"/>
              <w:bottom w:val="nil"/>
              <w:right w:val="nil"/>
            </w:tcBorders>
            <w:shd w:val="clear"/>
            <w:noWrap w:val="0"/>
            <w:tcMar>
              <w:top w:w="-1" w:type="dxa"/>
              <w:left w:w="-1" w:type="dxa"/>
              <w:bottom w:w="-1" w:type="dxa"/>
              <w:right w:w="-1" w:type="dxa"/>
            </w:tcMar>
            <w:vAlign w:val="center"/>
          </w:tcPr>
          <w:p w14:paraId="611E69B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VSHSS</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C7E51C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848.76 ± 150.03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945.49 ± 119.50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F6913A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936.76 ± 104.20</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590.98 ± 72.70</w:t>
            </w:r>
          </w:p>
        </w:tc>
        <w:tc>
          <w:tcPr>
            <w:tcW w:w="1147" w:type="dxa"/>
            <w:tcBorders>
              <w:top w:val="nil"/>
              <w:left w:val="nil"/>
              <w:bottom w:val="nil"/>
              <w:right w:val="nil"/>
            </w:tcBorders>
            <w:shd w:val="clear"/>
            <w:noWrap w:val="0"/>
            <w:tcMar>
              <w:top w:w="-1" w:type="dxa"/>
              <w:left w:w="-1" w:type="dxa"/>
              <w:bottom w:w="-1" w:type="dxa"/>
              <w:right w:w="-1" w:type="dxa"/>
            </w:tcMar>
            <w:vAlign w:val="center"/>
          </w:tcPr>
          <w:p w14:paraId="20F4DBE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QLQ-C30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B23629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5.20 ± 1.06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0.43 ± 1.42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6485C0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7.45 ± 1.57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5.53 ± 1.71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A88BCB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F7DD17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90DB30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A698CD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A04576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9996CE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F73C17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724CD7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04AE305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45571771">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722DA95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Zhang et al. (2016)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A65B21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A28863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27361F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977" w:type="dxa"/>
            <w:tcBorders>
              <w:top w:val="nil"/>
              <w:left w:val="nil"/>
              <w:bottom w:val="nil"/>
              <w:right w:val="nil"/>
            </w:tcBorders>
            <w:shd w:val="clear"/>
            <w:noWrap w:val="0"/>
            <w:tcMar>
              <w:top w:w="-1" w:type="dxa"/>
              <w:left w:w="-1" w:type="dxa"/>
              <w:bottom w:w="-1" w:type="dxa"/>
              <w:right w:w="-1" w:type="dxa"/>
            </w:tcMar>
            <w:vAlign w:val="center"/>
          </w:tcPr>
          <w:p w14:paraId="6EA968F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9E09D03">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C34F4D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069C88A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MFSI-SF</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097DE9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46.0 ± 11.6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53.3 ± 11.8</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B85B5B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46.8 ± 12.2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59.3 ± 12.2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A36C6A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MFSI-SF</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00EF17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18.4 ± 3.2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19.1 ± 3.9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37536B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17.5 ± 3.3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19.3 ± 3.5</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F8B839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5911B4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C0056F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94EBEC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4C2C51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4AF0812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17DA7525">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720CD92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Zhou et al. (2017)</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9B173A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D38CDF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C73914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977" w:type="dxa"/>
            <w:tcBorders>
              <w:top w:val="nil"/>
              <w:left w:val="nil"/>
              <w:bottom w:val="nil"/>
              <w:right w:val="nil"/>
            </w:tcBorders>
            <w:shd w:val="clear"/>
            <w:noWrap w:val="0"/>
            <w:tcMar>
              <w:top w:w="-1" w:type="dxa"/>
              <w:left w:w="-1" w:type="dxa"/>
              <w:bottom w:w="-1" w:type="dxa"/>
              <w:right w:w="-1" w:type="dxa"/>
            </w:tcMar>
            <w:vAlign w:val="center"/>
          </w:tcPr>
          <w:p w14:paraId="490935C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A045ACC">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A1F7CD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5247DB7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MFSI-SF</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679A9D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10.81 ± 7.18</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26.40 ± 14.20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378A0F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10.88 ± 7.66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32.36 ± 11.12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5B2B0F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MFSI-SF</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B4D7D4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7.47 ± 1.31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9.42 ± 2.66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906B73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7.50 ± 1.35</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10.33 ± 2.16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DAD656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7D4CE2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003A56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5DF7D2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6CFB45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171DF74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00BB4213">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6847863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Chen et al. (2021)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86BE5F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FACT-L</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9F8CFA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83.91 ± 6.45</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113.29 ± 7.04</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886CA1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84.44 ± 6.07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101.73 ± 7.18</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59CC9A3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6C3E98C">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FFB9A2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07CB281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C68C8C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26ACA6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561AAE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45FEC6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CB956A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CE46C5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2F1083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BA77EC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A652C0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2C33F4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26D8383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7064825B">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7939505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Zhang et al. (2024)</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CFDDFF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QLQ-C30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27DA9A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45.2 ± 18.9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69.4 ± 18.3</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E2EFB2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50.5 ± 18.0</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51.0 ± 16.6</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6AEFF16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EA17DF5">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9C0C05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0592619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D496A5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D11E34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801303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QLQ-C30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5038D4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44.1 ± 18.1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73.8 ± 16.4</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5FCE70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44.6 ± 24.9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55.4 ± 15.8</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E1C59E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79E232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4DAEDA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40554E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F6846F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4B59941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7B3BA4C6">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4427A58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Zhou et al. (2022)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EEEF16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QLQ-C30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7DFA1F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48.81 ± 3.38</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63.43 ± 6.52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4BEE47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xml:space="preserve">pre: 49.28 ± 3.69 </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54.06 ± 4.27</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4161677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7251A8C">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BDB06B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345411D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19AEED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F12860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19D94F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QLQ-C30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3A3E15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49.76 ± 6.02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70.74 ± 5.82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AEEDB3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50.26 ± 5.52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57.78 ± 4.77</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A1F100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C951FF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839549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5CADD1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B4028C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084C016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1B180ADA">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1513E79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Zhang et al. (2020a)</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448F3E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Karnofsky</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44B168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66.98 ± 9.11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68.10 ± 7.21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3D357C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67.02 ± 8.32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60.88 ± 7.65</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2880348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03BE5C3">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57D7E0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571DEE1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542C5C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D35F88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55FED8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434F87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1FB60C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AF633E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16D323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DB35A1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523D54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224B89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304E83E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4260EA06">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73C9C6E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Zhang et al. (2020b)</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898CFD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Karnofsky</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3F70A2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85.0 ± 5.0</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85.5 ± 5.5</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360157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85.0 ± 5.0</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76.0 ± 6.0</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6E676D8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729EFD2">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63D2A0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34347ED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2FF848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80410E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4FC860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01D64F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7D0D8A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90F604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4CD063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008FAB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DC4988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D711D0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0B6DA60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4D2B70BB">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2BAF567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Peng et al. (2016)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A9E53B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FACT-H&amp;N量</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A7C9EB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87.39 ± 13.791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166024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72.88 ± 8.749</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4FAED09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F28E953">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3F9312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06B1743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322907E">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623FED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DB490F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FACT-H&amp;N量</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6CD3FC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16.70 ± 2.698</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D7D094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13.24 ± 2.016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8CF832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3D64DE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EE0CEC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A95759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4A5E42F">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2FEE95A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110C0798">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4E55E4C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Zhou et al. (2024)</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820AFB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EORTC QLQ-C30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B852C5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65.00 ± 8.01</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69.17 ± 6.62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3D98B8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63.89 ± 5.93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59.72 ± 4.93</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6C0EBCC8">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7944C3F">
            <w:pPr>
              <w:snapToGrid w:val="0"/>
              <w:ind w:left="0" w:leftChars="0" w:right="0" w:rightChars="0" w:firstLine="0" w:firstLineChars="0"/>
              <w:jc w:val="center"/>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4EDF3B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147" w:type="dxa"/>
            <w:tcBorders>
              <w:top w:val="nil"/>
              <w:left w:val="nil"/>
              <w:bottom w:val="nil"/>
              <w:right w:val="nil"/>
            </w:tcBorders>
            <w:shd w:val="clear"/>
            <w:noWrap w:val="0"/>
            <w:tcMar>
              <w:top w:w="-1" w:type="dxa"/>
              <w:left w:w="-1" w:type="dxa"/>
              <w:bottom w:w="-1" w:type="dxa"/>
              <w:right w:w="-1" w:type="dxa"/>
            </w:tcMar>
            <w:vAlign w:val="center"/>
          </w:tcPr>
          <w:p w14:paraId="103D73E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C275EE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3C0228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B2A31E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EORTC QLQ-C30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1FF065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82.22 ± 10.43</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86.94 ± 6.81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F7BD77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80.83 ± 7.94</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76.39 ± 7.61</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4297107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D0791B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6F367A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BC4A840">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AC085C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2C072E5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71D0C9EC">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1726961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Wu et al. (2022)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112E0F7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xml:space="preserve">QLQ-C30 </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07FD9C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75.38 ± 3.49</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E5257B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72.46 ± 3.51</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055491A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Sleep Disorders Diagnostic Scale</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960085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2.41 ± 0.78</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14BE36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3.47 ± 0.84</w:t>
            </w:r>
          </w:p>
        </w:tc>
        <w:tc>
          <w:tcPr>
            <w:tcW w:w="1147" w:type="dxa"/>
            <w:tcBorders>
              <w:top w:val="nil"/>
              <w:left w:val="nil"/>
              <w:bottom w:val="nil"/>
              <w:right w:val="nil"/>
            </w:tcBorders>
            <w:shd w:val="clear"/>
            <w:noWrap w:val="0"/>
            <w:tcMar>
              <w:top w:w="-1" w:type="dxa"/>
              <w:left w:w="-1" w:type="dxa"/>
              <w:bottom w:w="-1" w:type="dxa"/>
              <w:right w:w="-1" w:type="dxa"/>
            </w:tcMar>
            <w:vAlign w:val="center"/>
          </w:tcPr>
          <w:p w14:paraId="545DE55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1E6F2C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7A339D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4FD652A">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3D75F596">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2BB4FD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B2FA68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12D554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60.28 ± 4.97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46.36 ± 3.63</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6C0092E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60.07 ± 4.86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49.76 ± 3.87</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04A72D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4B344AC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60.67 ± 4.86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47.61 ± 3.79</w:t>
            </w:r>
          </w:p>
        </w:tc>
        <w:tc>
          <w:tcPr>
            <w:tcW w:w="657" w:type="dxa"/>
            <w:tcBorders>
              <w:top w:val="nil"/>
              <w:left w:val="nil"/>
              <w:bottom w:val="nil"/>
              <w:right w:val="nil"/>
            </w:tcBorders>
            <w:shd w:val="clear"/>
            <w:noWrap w:val="0"/>
            <w:tcMar>
              <w:top w:w="-1" w:type="dxa"/>
              <w:left w:w="-1" w:type="dxa"/>
              <w:bottom w:w="-1" w:type="dxa"/>
              <w:right w:w="-1" w:type="dxa"/>
            </w:tcMar>
            <w:vAlign w:val="center"/>
          </w:tcPr>
          <w:p w14:paraId="758399D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60.12 ± 4.67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50.35 ± 3.97</w:t>
            </w:r>
          </w:p>
        </w:tc>
      </w:tr>
      <w:tr w14:paraId="064DE709">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shd w:val="clear"/>
            <w:noWrap w:val="0"/>
            <w:tcMar>
              <w:top w:w="-1" w:type="dxa"/>
              <w:left w:w="-1" w:type="dxa"/>
              <w:bottom w:w="-1" w:type="dxa"/>
              <w:right w:w="-1" w:type="dxa"/>
            </w:tcMar>
            <w:vAlign w:val="center"/>
          </w:tcPr>
          <w:p w14:paraId="4D24BC6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Wang et al. (2020)</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1F5EE0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 xml:space="preserve">QLQ-C30 </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B6E124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83.05 ± 5.54</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68.03 ± 4.22</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7AB7347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83.45 ± 5.47</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74.58 ± 5.21</w:t>
            </w:r>
          </w:p>
        </w:tc>
        <w:tc>
          <w:tcPr>
            <w:tcW w:w="977" w:type="dxa"/>
            <w:tcBorders>
              <w:top w:val="nil"/>
              <w:left w:val="nil"/>
              <w:bottom w:val="nil"/>
              <w:right w:val="nil"/>
            </w:tcBorders>
            <w:shd w:val="clear"/>
            <w:noWrap w:val="0"/>
            <w:tcMar>
              <w:top w:w="-1" w:type="dxa"/>
              <w:left w:w="-1" w:type="dxa"/>
              <w:bottom w:w="-1" w:type="dxa"/>
              <w:right w:w="-1" w:type="dxa"/>
            </w:tcMar>
            <w:vAlign w:val="center"/>
          </w:tcPr>
          <w:p w14:paraId="110A2BF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PSQI</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5F1FB2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1.92 ± 0.49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0.95 ± 0.37</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5E10073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1.97 ± 0.44</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1.32 ± 0.42</w:t>
            </w:r>
          </w:p>
        </w:tc>
        <w:tc>
          <w:tcPr>
            <w:tcW w:w="1147" w:type="dxa"/>
            <w:tcBorders>
              <w:top w:val="nil"/>
              <w:left w:val="nil"/>
              <w:bottom w:val="nil"/>
              <w:right w:val="nil"/>
            </w:tcBorders>
            <w:shd w:val="clear"/>
            <w:noWrap w:val="0"/>
            <w:tcMar>
              <w:top w:w="-1" w:type="dxa"/>
              <w:left w:w="-1" w:type="dxa"/>
              <w:bottom w:w="-1" w:type="dxa"/>
              <w:right w:w="-1" w:type="dxa"/>
            </w:tcMar>
            <w:vAlign w:val="center"/>
          </w:tcPr>
          <w:p w14:paraId="5307E17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782F30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577428E4">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719C490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FACT-L</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3FE1845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16.83 ± 3.16</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9.75 ± 2.15</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09F8CBB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16.54 ± 3.19</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12.54 ± 2.66</w:t>
            </w:r>
          </w:p>
        </w:tc>
        <w:tc>
          <w:tcPr>
            <w:tcW w:w="0" w:type="auto"/>
            <w:tcBorders>
              <w:top w:val="nil"/>
              <w:left w:val="nil"/>
              <w:bottom w:val="nil"/>
              <w:right w:val="nil"/>
            </w:tcBorders>
            <w:shd w:val="clear"/>
            <w:noWrap w:val="0"/>
            <w:tcMar>
              <w:top w:w="-1" w:type="dxa"/>
              <w:left w:w="-1" w:type="dxa"/>
              <w:bottom w:w="-1" w:type="dxa"/>
              <w:right w:w="-1" w:type="dxa"/>
            </w:tcMar>
            <w:vAlign w:val="center"/>
          </w:tcPr>
          <w:p w14:paraId="2787BA12">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69EC951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0D539E4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21139597">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0" w:type="auto"/>
            <w:tcBorders>
              <w:top w:val="nil"/>
              <w:left w:val="nil"/>
              <w:bottom w:val="nil"/>
              <w:right w:val="nil"/>
            </w:tcBorders>
            <w:shd w:val="clear"/>
            <w:noWrap w:val="0"/>
            <w:tcMar>
              <w:top w:w="-1" w:type="dxa"/>
              <w:left w:w="-1" w:type="dxa"/>
              <w:bottom w:w="-1" w:type="dxa"/>
              <w:right w:w="-1" w:type="dxa"/>
            </w:tcMar>
            <w:vAlign w:val="center"/>
          </w:tcPr>
          <w:p w14:paraId="1D8B615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nil"/>
              <w:right w:val="nil"/>
            </w:tcBorders>
            <w:shd w:val="clear"/>
            <w:noWrap w:val="0"/>
            <w:tcMar>
              <w:top w:w="-1" w:type="dxa"/>
              <w:left w:w="-1" w:type="dxa"/>
              <w:bottom w:w="-1" w:type="dxa"/>
              <w:right w:w="-1" w:type="dxa"/>
            </w:tcMar>
            <w:vAlign w:val="center"/>
          </w:tcPr>
          <w:p w14:paraId="076BCC9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r w14:paraId="0BAFD328">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tblCellMar>
            <w:top w:w="0" w:type="dxa"/>
            <w:left w:w="108" w:type="dxa"/>
            <w:bottom w:w="0" w:type="dxa"/>
            <w:right w:w="108" w:type="dxa"/>
          </w:tblCellMar>
        </w:tblPrEx>
        <w:trPr>
          <w:trHeight w:val="0" w:hRule="atLeast"/>
          <w:jc w:val="center"/>
        </w:trPr>
        <w:tc>
          <w:tcPr>
            <w:tcW w:w="764" w:type="dxa"/>
            <w:tcBorders>
              <w:top w:val="nil"/>
              <w:left w:val="nil"/>
              <w:bottom w:val="single" w:color="auto" w:sz="12" w:space="0"/>
              <w:right w:val="nil"/>
            </w:tcBorders>
            <w:shd w:val="clear"/>
            <w:noWrap w:val="0"/>
            <w:tcMar>
              <w:top w:w="-1" w:type="dxa"/>
              <w:left w:w="-1" w:type="dxa"/>
              <w:bottom w:w="-1" w:type="dxa"/>
              <w:right w:w="-1" w:type="dxa"/>
            </w:tcMar>
            <w:vAlign w:val="center"/>
          </w:tcPr>
          <w:p w14:paraId="4FD2C9B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Xiao et al. (2022)</w:t>
            </w:r>
          </w:p>
        </w:tc>
        <w:tc>
          <w:tcPr>
            <w:tcW w:w="1053" w:type="dxa"/>
            <w:tcBorders>
              <w:top w:val="nil"/>
              <w:left w:val="nil"/>
              <w:bottom w:val="single" w:color="auto" w:sz="12" w:space="0"/>
              <w:right w:val="nil"/>
            </w:tcBorders>
            <w:shd w:val="clear"/>
            <w:noWrap w:val="0"/>
            <w:tcMar>
              <w:top w:w="-1" w:type="dxa"/>
              <w:left w:w="-1" w:type="dxa"/>
              <w:bottom w:w="-1" w:type="dxa"/>
              <w:right w:w="-1" w:type="dxa"/>
            </w:tcMar>
            <w:vAlign w:val="center"/>
          </w:tcPr>
          <w:p w14:paraId="4485834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QLQ-C30</w:t>
            </w:r>
          </w:p>
        </w:tc>
        <w:tc>
          <w:tcPr>
            <w:tcW w:w="860" w:type="dxa"/>
            <w:tcBorders>
              <w:top w:val="nil"/>
              <w:left w:val="nil"/>
              <w:bottom w:val="single" w:color="auto" w:sz="12" w:space="0"/>
              <w:right w:val="nil"/>
            </w:tcBorders>
            <w:shd w:val="clear"/>
            <w:noWrap w:val="0"/>
            <w:tcMar>
              <w:top w:w="-1" w:type="dxa"/>
              <w:left w:w="-1" w:type="dxa"/>
              <w:bottom w:w="-1" w:type="dxa"/>
              <w:right w:w="-1" w:type="dxa"/>
            </w:tcMar>
            <w:vAlign w:val="center"/>
          </w:tcPr>
          <w:p w14:paraId="0C824C5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46.13 ± 2.15</w:t>
            </w:r>
          </w:p>
        </w:tc>
        <w:tc>
          <w:tcPr>
            <w:tcW w:w="835" w:type="dxa"/>
            <w:tcBorders>
              <w:top w:val="nil"/>
              <w:left w:val="nil"/>
              <w:bottom w:val="single" w:color="auto" w:sz="12" w:space="0"/>
              <w:right w:val="nil"/>
            </w:tcBorders>
            <w:shd w:val="clear"/>
            <w:noWrap w:val="0"/>
            <w:tcMar>
              <w:top w:w="-1" w:type="dxa"/>
              <w:left w:w="-1" w:type="dxa"/>
              <w:bottom w:w="-1" w:type="dxa"/>
              <w:right w:w="-1" w:type="dxa"/>
            </w:tcMar>
            <w:vAlign w:val="center"/>
          </w:tcPr>
          <w:p w14:paraId="3F7E4A1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33.09 ± 2.73</w:t>
            </w:r>
          </w:p>
        </w:tc>
        <w:tc>
          <w:tcPr>
            <w:tcW w:w="977" w:type="dxa"/>
            <w:tcBorders>
              <w:top w:val="nil"/>
              <w:left w:val="nil"/>
              <w:bottom w:val="single" w:color="auto" w:sz="12" w:space="0"/>
              <w:right w:val="nil"/>
            </w:tcBorders>
            <w:shd w:val="clear"/>
            <w:noWrap w:val="0"/>
            <w:tcMar>
              <w:top w:w="-1" w:type="dxa"/>
              <w:left w:w="-1" w:type="dxa"/>
              <w:bottom w:w="-1" w:type="dxa"/>
              <w:right w:w="-1" w:type="dxa"/>
            </w:tcMar>
            <w:vAlign w:val="center"/>
          </w:tcPr>
          <w:p w14:paraId="402EF67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PSQI</w:t>
            </w:r>
          </w:p>
        </w:tc>
        <w:tc>
          <w:tcPr>
            <w:tcW w:w="673" w:type="dxa"/>
            <w:tcBorders>
              <w:top w:val="nil"/>
              <w:left w:val="nil"/>
              <w:bottom w:val="single" w:color="auto" w:sz="12" w:space="0"/>
              <w:right w:val="nil"/>
            </w:tcBorders>
            <w:shd w:val="clear"/>
            <w:noWrap w:val="0"/>
            <w:tcMar>
              <w:top w:w="-1" w:type="dxa"/>
              <w:left w:w="-1" w:type="dxa"/>
              <w:bottom w:w="-1" w:type="dxa"/>
              <w:right w:w="-1" w:type="dxa"/>
            </w:tcMar>
            <w:vAlign w:val="center"/>
          </w:tcPr>
          <w:p w14:paraId="10B5BBC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12.58 ± 2.42</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7.06 ± 1.56</w:t>
            </w:r>
          </w:p>
        </w:tc>
        <w:tc>
          <w:tcPr>
            <w:tcW w:w="672" w:type="dxa"/>
            <w:tcBorders>
              <w:top w:val="nil"/>
              <w:left w:val="nil"/>
              <w:bottom w:val="single" w:color="auto" w:sz="12" w:space="0"/>
              <w:right w:val="nil"/>
            </w:tcBorders>
            <w:shd w:val="clear"/>
            <w:noWrap w:val="0"/>
            <w:tcMar>
              <w:top w:w="-1" w:type="dxa"/>
              <w:left w:w="-1" w:type="dxa"/>
              <w:bottom w:w="-1" w:type="dxa"/>
              <w:right w:w="-1" w:type="dxa"/>
            </w:tcMar>
            <w:vAlign w:val="center"/>
          </w:tcPr>
          <w:p w14:paraId="039A793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pre:  14.95 ± 2.55</w:t>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br w:type="textWrapping"/>
            </w: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post:  11.75 ± 2.07</w:t>
            </w:r>
          </w:p>
        </w:tc>
        <w:tc>
          <w:tcPr>
            <w:tcW w:w="1147" w:type="dxa"/>
            <w:tcBorders>
              <w:top w:val="nil"/>
              <w:left w:val="nil"/>
              <w:bottom w:val="single" w:color="auto" w:sz="12" w:space="0"/>
              <w:right w:val="nil"/>
            </w:tcBorders>
            <w:shd w:val="clear"/>
            <w:noWrap w:val="0"/>
            <w:tcMar>
              <w:top w:w="-1" w:type="dxa"/>
              <w:left w:w="-1" w:type="dxa"/>
              <w:bottom w:w="-1" w:type="dxa"/>
              <w:right w:w="-1" w:type="dxa"/>
            </w:tcMar>
            <w:vAlign w:val="center"/>
          </w:tcPr>
          <w:p w14:paraId="7B6B450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97" w:type="dxa"/>
            <w:tcBorders>
              <w:top w:val="nil"/>
              <w:left w:val="nil"/>
              <w:bottom w:val="single" w:color="auto" w:sz="12" w:space="0"/>
              <w:right w:val="nil"/>
            </w:tcBorders>
            <w:shd w:val="clear"/>
            <w:noWrap w:val="0"/>
            <w:tcMar>
              <w:top w:w="-1" w:type="dxa"/>
              <w:left w:w="-1" w:type="dxa"/>
              <w:bottom w:w="-1" w:type="dxa"/>
              <w:right w:w="-1" w:type="dxa"/>
            </w:tcMar>
            <w:vAlign w:val="center"/>
          </w:tcPr>
          <w:p w14:paraId="60397D2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97" w:type="dxa"/>
            <w:tcBorders>
              <w:top w:val="nil"/>
              <w:left w:val="nil"/>
              <w:bottom w:val="single" w:color="auto" w:sz="12" w:space="0"/>
              <w:right w:val="nil"/>
            </w:tcBorders>
            <w:shd w:val="clear"/>
            <w:noWrap w:val="0"/>
            <w:tcMar>
              <w:top w:w="-1" w:type="dxa"/>
              <w:left w:w="-1" w:type="dxa"/>
              <w:bottom w:w="-1" w:type="dxa"/>
              <w:right w:w="-1" w:type="dxa"/>
            </w:tcMar>
            <w:vAlign w:val="center"/>
          </w:tcPr>
          <w:p w14:paraId="3908B25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814" w:type="dxa"/>
            <w:tcBorders>
              <w:top w:val="nil"/>
              <w:left w:val="nil"/>
              <w:bottom w:val="single" w:color="auto" w:sz="12" w:space="0"/>
              <w:right w:val="nil"/>
            </w:tcBorders>
            <w:shd w:val="clear"/>
            <w:noWrap w:val="0"/>
            <w:tcMar>
              <w:top w:w="-1" w:type="dxa"/>
              <w:left w:w="-1" w:type="dxa"/>
              <w:bottom w:w="-1" w:type="dxa"/>
              <w:right w:w="-1" w:type="dxa"/>
            </w:tcMar>
            <w:vAlign w:val="center"/>
          </w:tcPr>
          <w:p w14:paraId="74D2E22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857" w:type="dxa"/>
            <w:tcBorders>
              <w:top w:val="nil"/>
              <w:left w:val="nil"/>
              <w:bottom w:val="single" w:color="auto" w:sz="12" w:space="0"/>
              <w:right w:val="nil"/>
            </w:tcBorders>
            <w:shd w:val="clear"/>
            <w:noWrap w:val="0"/>
            <w:tcMar>
              <w:top w:w="-1" w:type="dxa"/>
              <w:left w:w="-1" w:type="dxa"/>
              <w:bottom w:w="-1" w:type="dxa"/>
              <w:right w:w="-1" w:type="dxa"/>
            </w:tcMar>
            <w:vAlign w:val="center"/>
          </w:tcPr>
          <w:p w14:paraId="5BDE545B">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793" w:type="dxa"/>
            <w:tcBorders>
              <w:top w:val="nil"/>
              <w:left w:val="nil"/>
              <w:bottom w:val="single" w:color="auto" w:sz="12" w:space="0"/>
              <w:right w:val="nil"/>
            </w:tcBorders>
            <w:shd w:val="clear"/>
            <w:noWrap w:val="0"/>
            <w:tcMar>
              <w:top w:w="-1" w:type="dxa"/>
              <w:left w:w="-1" w:type="dxa"/>
              <w:bottom w:w="-1" w:type="dxa"/>
              <w:right w:w="-1" w:type="dxa"/>
            </w:tcMar>
            <w:vAlign w:val="center"/>
          </w:tcPr>
          <w:p w14:paraId="6C58B665">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939" w:type="dxa"/>
            <w:tcBorders>
              <w:top w:val="nil"/>
              <w:left w:val="nil"/>
              <w:bottom w:val="single" w:color="auto" w:sz="12" w:space="0"/>
              <w:right w:val="nil"/>
            </w:tcBorders>
            <w:shd w:val="clear"/>
            <w:noWrap w:val="0"/>
            <w:tcMar>
              <w:top w:w="-1" w:type="dxa"/>
              <w:left w:w="-1" w:type="dxa"/>
              <w:bottom w:w="-1" w:type="dxa"/>
              <w:right w:w="-1" w:type="dxa"/>
            </w:tcMar>
            <w:vAlign w:val="center"/>
          </w:tcPr>
          <w:p w14:paraId="4A7B7951">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813" w:type="dxa"/>
            <w:tcBorders>
              <w:top w:val="nil"/>
              <w:left w:val="nil"/>
              <w:bottom w:val="single" w:color="auto" w:sz="12" w:space="0"/>
              <w:right w:val="nil"/>
            </w:tcBorders>
            <w:shd w:val="clear"/>
            <w:noWrap w:val="0"/>
            <w:tcMar>
              <w:top w:w="-1" w:type="dxa"/>
              <w:left w:w="-1" w:type="dxa"/>
              <w:bottom w:w="-1" w:type="dxa"/>
              <w:right w:w="-1" w:type="dxa"/>
            </w:tcMar>
            <w:vAlign w:val="center"/>
          </w:tcPr>
          <w:p w14:paraId="169192A9">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814" w:type="dxa"/>
            <w:tcBorders>
              <w:top w:val="nil"/>
              <w:left w:val="nil"/>
              <w:bottom w:val="single" w:color="auto" w:sz="12" w:space="0"/>
              <w:right w:val="nil"/>
            </w:tcBorders>
            <w:shd w:val="clear"/>
            <w:noWrap w:val="0"/>
            <w:tcMar>
              <w:top w:w="-1" w:type="dxa"/>
              <w:left w:w="-1" w:type="dxa"/>
              <w:bottom w:w="-1" w:type="dxa"/>
              <w:right w:w="-1" w:type="dxa"/>
            </w:tcMar>
            <w:vAlign w:val="center"/>
          </w:tcPr>
          <w:p w14:paraId="6C83ECFD">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1085" w:type="dxa"/>
            <w:tcBorders>
              <w:top w:val="nil"/>
              <w:left w:val="nil"/>
              <w:bottom w:val="single" w:color="auto" w:sz="12" w:space="0"/>
              <w:right w:val="nil"/>
            </w:tcBorders>
            <w:shd w:val="clear"/>
            <w:noWrap w:val="0"/>
            <w:tcMar>
              <w:top w:w="-1" w:type="dxa"/>
              <w:left w:w="-1" w:type="dxa"/>
              <w:bottom w:w="-1" w:type="dxa"/>
              <w:right w:w="-1" w:type="dxa"/>
            </w:tcMar>
            <w:vAlign w:val="center"/>
          </w:tcPr>
          <w:p w14:paraId="7F24385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8" w:type="dxa"/>
            <w:tcBorders>
              <w:top w:val="nil"/>
              <w:left w:val="nil"/>
              <w:bottom w:val="single" w:color="auto" w:sz="12" w:space="0"/>
              <w:right w:val="nil"/>
            </w:tcBorders>
            <w:shd w:val="clear"/>
            <w:noWrap w:val="0"/>
            <w:tcMar>
              <w:top w:w="-1" w:type="dxa"/>
              <w:left w:w="-1" w:type="dxa"/>
              <w:bottom w:w="-1" w:type="dxa"/>
              <w:right w:w="-1" w:type="dxa"/>
            </w:tcMar>
            <w:vAlign w:val="center"/>
          </w:tcPr>
          <w:p w14:paraId="3DEF4083">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c>
          <w:tcPr>
            <w:tcW w:w="657" w:type="dxa"/>
            <w:tcBorders>
              <w:top w:val="nil"/>
              <w:left w:val="nil"/>
              <w:bottom w:val="single" w:color="auto" w:sz="12" w:space="0"/>
              <w:right w:val="nil"/>
            </w:tcBorders>
            <w:shd w:val="clear"/>
            <w:noWrap w:val="0"/>
            <w:tcMar>
              <w:top w:w="-1" w:type="dxa"/>
              <w:left w:w="-1" w:type="dxa"/>
              <w:bottom w:w="-1" w:type="dxa"/>
              <w:right w:w="-1" w:type="dxa"/>
            </w:tcMar>
            <w:vAlign w:val="center"/>
          </w:tcPr>
          <w:p w14:paraId="5CB45A2C">
            <w:pPr>
              <w:snapToGrid w:val="0"/>
              <w:ind w:left="0" w:leftChars="0" w:right="0" w:rightChars="0" w:firstLine="0" w:firstLineChars="0"/>
              <w:jc w:val="left"/>
              <w:rPr>
                <w:rFonts w:hint="default" w:ascii="Times New Roman" w:hAnsi="Times New Roman" w:eastAsia="微软雅黑" w:cs="Times New Roman"/>
                <w:i w:val="0"/>
                <w:iCs w:val="0"/>
                <w:color w:val="000000"/>
                <w:sz w:val="20"/>
                <w:szCs w:val="20"/>
                <w:u w:val="none"/>
              </w:rPr>
            </w:pPr>
          </w:p>
        </w:tc>
      </w:tr>
    </w:tbl>
    <w:p w14:paraId="4C4F3946">
      <w:pPr>
        <w:rPr>
          <w:rStyle w:val="28"/>
          <w:rFonts w:ascii="Times New Roman" w:hAnsi="Times New Roman" w:cs="Times New Roman"/>
          <w:color w:val="auto"/>
          <w:u w:val="none"/>
          <w:lang w:eastAsia="zh-TW"/>
        </w:rPr>
      </w:pPr>
    </w:p>
    <w:p w14:paraId="4FC4491A">
      <w:pPr>
        <w:rPr>
          <w:rFonts w:hint="eastAsia"/>
          <w:color w:val="auto"/>
          <w:lang w:eastAsia="zh-TW"/>
        </w:rPr>
      </w:pPr>
    </w:p>
    <w:p w14:paraId="69C468E1">
      <w:pPr>
        <w:jc w:val="both"/>
        <w:rPr>
          <w:rFonts w:ascii="Times New Roman" w:hAnsi="Times New Roman" w:cs="Times New Roman"/>
          <w:color w:val="auto"/>
          <w:sz w:val="20"/>
          <w:szCs w:val="20"/>
        </w:rPr>
        <w:sectPr>
          <w:pgSz w:w="16838" w:h="11906" w:orient="landscape"/>
          <w:pgMar w:top="1800" w:right="1440" w:bottom="1800" w:left="1440" w:header="851" w:footer="992" w:gutter="0"/>
          <w:cols w:space="425" w:num="1"/>
          <w:docGrid w:type="lines" w:linePitch="326" w:charSpace="0"/>
        </w:sectPr>
      </w:pPr>
    </w:p>
    <w:p w14:paraId="6C337B39">
      <w:pPr>
        <w:pStyle w:val="2"/>
        <w:spacing w:line="360" w:lineRule="auto"/>
        <w:rPr>
          <w:rFonts w:ascii="Times New Roman" w:hAnsi="Times New Roman" w:cs="Times New Roman"/>
          <w:color w:val="auto"/>
          <w:szCs w:val="20"/>
        </w:rPr>
      </w:pPr>
      <w:bookmarkStart w:id="9" w:name="_Toc159076752"/>
      <w:bookmarkStart w:id="10" w:name="OLE_LINK209"/>
      <w:bookmarkStart w:id="11" w:name="OLE_LINK210"/>
      <w:bookmarkStart w:id="12" w:name="OLE_LINK468"/>
      <w:bookmarkStart w:id="13" w:name="OLE_LINK467"/>
      <w:r>
        <w:rPr>
          <w:rFonts w:ascii="Times New Roman" w:hAnsi="Times New Roman" w:cs="Times New Roman"/>
          <w:color w:val="auto"/>
          <w:szCs w:val="20"/>
          <w:lang w:eastAsia="zh-TW"/>
        </w:rPr>
        <w:t xml:space="preserve">Supplementary </w:t>
      </w:r>
      <w:r>
        <w:rPr>
          <w:rFonts w:hint="eastAsia" w:ascii="Times New Roman" w:hAnsi="Times New Roman" w:eastAsia="宋体" w:cs="Times New Roman"/>
          <w:color w:val="auto"/>
          <w:szCs w:val="20"/>
        </w:rPr>
        <w:t>7</w:t>
      </w:r>
      <w:r>
        <w:rPr>
          <w:rFonts w:ascii="Times New Roman" w:hAnsi="Times New Roman" w:cs="Times New Roman"/>
          <w:color w:val="auto"/>
          <w:szCs w:val="20"/>
          <w:lang w:eastAsia="zh-TW"/>
        </w:rPr>
        <w:t>: Publication bias</w:t>
      </w:r>
      <w:bookmarkEnd w:id="9"/>
      <w:bookmarkEnd w:id="10"/>
      <w:bookmarkEnd w:id="11"/>
    </w:p>
    <w:p w14:paraId="7E58EAC0">
      <w:pPr>
        <w:jc w:val="center"/>
        <w:rPr>
          <w:rFonts w:ascii="Times New Roman" w:hAnsi="Times New Roman" w:cs="Times New Roman"/>
          <w:color w:val="auto"/>
          <w:sz w:val="20"/>
          <w:szCs w:val="20"/>
        </w:rPr>
      </w:pPr>
      <w:r>
        <w:rPr>
          <w:rFonts w:ascii="Times New Roman" w:hAnsi="Times New Roman" w:cs="Times New Roman"/>
          <w:color w:val="auto"/>
          <w:sz w:val="20"/>
          <w:szCs w:val="20"/>
        </w:rPr>
        <w:drawing>
          <wp:inline distT="0" distB="0" distL="114300" distR="114300">
            <wp:extent cx="5029200" cy="3657600"/>
            <wp:effectExtent l="0" t="0" r="0" b="0"/>
            <wp:docPr id="10" name="图片 10" descr="漏斗图-QoL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漏斗图-QoL_00"/>
                    <pic:cNvPicPr>
                      <a:picLocks noChangeAspect="1"/>
                    </pic:cNvPicPr>
                  </pic:nvPicPr>
                  <pic:blipFill>
                    <a:blip r:embed="rId20"/>
                    <a:stretch>
                      <a:fillRect/>
                    </a:stretch>
                  </pic:blipFill>
                  <pic:spPr>
                    <a:xfrm>
                      <a:off x="0" y="0"/>
                      <a:ext cx="5029200" cy="3657600"/>
                    </a:xfrm>
                    <a:prstGeom prst="rect">
                      <a:avLst/>
                    </a:prstGeom>
                  </pic:spPr>
                </pic:pic>
              </a:graphicData>
            </a:graphic>
          </wp:inline>
        </w:drawing>
      </w:r>
    </w:p>
    <w:p w14:paraId="466288F2">
      <w:pPr>
        <w:jc w:val="center"/>
        <w:rPr>
          <w:rFonts w:ascii="Times New Roman" w:hAnsi="Times New Roman" w:cs="Times New Roman"/>
          <w:color w:val="auto"/>
          <w:sz w:val="20"/>
          <w:szCs w:val="20"/>
          <w:lang w:eastAsia="zh-TW"/>
        </w:rPr>
      </w:pPr>
      <w:bookmarkStart w:id="14" w:name="OLE_LINK28"/>
      <w:bookmarkStart w:id="15" w:name="OLE_LINK27"/>
      <w:r>
        <w:rPr>
          <w:rFonts w:ascii="Times New Roman" w:hAnsi="Times New Roman" w:cs="Times New Roman"/>
          <w:color w:val="auto"/>
          <w:sz w:val="20"/>
          <w:szCs w:val="20"/>
          <w:lang w:eastAsia="zh-TW"/>
        </w:rPr>
        <w:t xml:space="preserve">Figure </w:t>
      </w:r>
      <w:r>
        <w:rPr>
          <w:rFonts w:hint="eastAsia" w:ascii="Times New Roman" w:hAnsi="Times New Roman" w:cs="Times New Roman"/>
          <w:color w:val="auto"/>
          <w:sz w:val="20"/>
          <w:szCs w:val="20"/>
        </w:rPr>
        <w:t>7</w:t>
      </w:r>
      <w:r>
        <w:rPr>
          <w:rFonts w:ascii="Times New Roman" w:hAnsi="Times New Roman" w:cs="Times New Roman"/>
          <w:color w:val="auto"/>
          <w:sz w:val="20"/>
          <w:szCs w:val="20"/>
          <w:lang w:eastAsia="zh-TW"/>
        </w:rPr>
        <w:t>.1 The funnel plot of</w:t>
      </w:r>
      <w:r>
        <w:rPr>
          <w:rFonts w:hint="eastAsia" w:ascii="Times New Roman" w:hAnsi="Times New Roman" w:cs="Times New Roman"/>
          <w:color w:val="auto"/>
          <w:sz w:val="20"/>
          <w:szCs w:val="20"/>
        </w:rPr>
        <w:t xml:space="preserve"> QoL</w:t>
      </w:r>
      <w:r>
        <w:rPr>
          <w:rFonts w:ascii="Times New Roman" w:hAnsi="Times New Roman" w:cs="Times New Roman"/>
          <w:color w:val="auto"/>
          <w:sz w:val="20"/>
          <w:szCs w:val="20"/>
          <w:lang w:eastAsia="zh-TW"/>
        </w:rPr>
        <w:t xml:space="preserve">. </w:t>
      </w:r>
      <w:bookmarkStart w:id="16" w:name="OLE_LINK41"/>
      <w:bookmarkStart w:id="17" w:name="OLE_LINK40"/>
      <w:r>
        <w:rPr>
          <w:rFonts w:ascii="Times New Roman" w:hAnsi="Times New Roman" w:cs="Times New Roman"/>
          <w:color w:val="auto"/>
          <w:sz w:val="20"/>
          <w:szCs w:val="20"/>
          <w:lang w:eastAsia="zh-TW"/>
        </w:rPr>
        <w:t>The result of Egger test showed the p=</w:t>
      </w:r>
      <w:r>
        <w:rPr>
          <w:rFonts w:ascii="Times New Roman" w:hAnsi="Times New Roman" w:cs="Times New Roman"/>
          <w:color w:val="auto"/>
          <w:sz w:val="20"/>
          <w:szCs w:val="20"/>
        </w:rPr>
        <w:t>0.</w:t>
      </w:r>
      <w:r>
        <w:rPr>
          <w:rFonts w:hint="eastAsia" w:ascii="Times New Roman" w:hAnsi="Times New Roman" w:cs="Times New Roman"/>
          <w:color w:val="auto"/>
          <w:sz w:val="20"/>
          <w:szCs w:val="20"/>
        </w:rPr>
        <w:t>049</w:t>
      </w:r>
      <w:r>
        <w:rPr>
          <w:rFonts w:ascii="Times New Roman" w:hAnsi="Times New Roman" w:cs="Times New Roman"/>
          <w:color w:val="auto"/>
          <w:sz w:val="20"/>
          <w:szCs w:val="20"/>
          <w:lang w:eastAsia="zh-TW"/>
        </w:rPr>
        <w:t>.</w:t>
      </w:r>
      <w:bookmarkEnd w:id="16"/>
      <w:bookmarkEnd w:id="17"/>
    </w:p>
    <w:bookmarkEnd w:id="14"/>
    <w:bookmarkEnd w:id="15"/>
    <w:p w14:paraId="69C35B0A">
      <w:pPr>
        <w:jc w:val="center"/>
        <w:rPr>
          <w:rFonts w:ascii="Times New Roman" w:hAnsi="Times New Roman" w:cs="Times New Roman"/>
          <w:color w:val="auto"/>
        </w:rPr>
      </w:pPr>
    </w:p>
    <w:p w14:paraId="750A06D1">
      <w:pPr>
        <w:jc w:val="center"/>
        <w:rPr>
          <w:rFonts w:ascii="Times New Roman" w:hAnsi="Times New Roman" w:cs="Times New Roman"/>
          <w:color w:val="auto"/>
        </w:rPr>
      </w:pPr>
      <w:r>
        <w:rPr>
          <w:rFonts w:ascii="Times New Roman" w:hAnsi="Times New Roman" w:cs="Times New Roman"/>
          <w:color w:val="auto"/>
        </w:rPr>
        <w:drawing>
          <wp:inline distT="0" distB="0" distL="114300" distR="114300">
            <wp:extent cx="5029200" cy="3657600"/>
            <wp:effectExtent l="0" t="0" r="0" b="0"/>
            <wp:docPr id="13" name="图片 13" descr="漏斗图-睡眠质量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漏斗图-睡眠质量_00"/>
                    <pic:cNvPicPr>
                      <a:picLocks noChangeAspect="1"/>
                    </pic:cNvPicPr>
                  </pic:nvPicPr>
                  <pic:blipFill>
                    <a:blip r:embed="rId21"/>
                    <a:stretch>
                      <a:fillRect/>
                    </a:stretch>
                  </pic:blipFill>
                  <pic:spPr>
                    <a:xfrm>
                      <a:off x="0" y="0"/>
                      <a:ext cx="5029200" cy="3657600"/>
                    </a:xfrm>
                    <a:prstGeom prst="rect">
                      <a:avLst/>
                    </a:prstGeom>
                  </pic:spPr>
                </pic:pic>
              </a:graphicData>
            </a:graphic>
          </wp:inline>
        </w:drawing>
      </w:r>
    </w:p>
    <w:p w14:paraId="66448CA1">
      <w:pPr>
        <w:jc w:val="center"/>
        <w:rPr>
          <w:rFonts w:ascii="Times New Roman" w:hAnsi="Times New Roman" w:cs="Times New Roman"/>
          <w:color w:val="auto"/>
          <w:sz w:val="20"/>
          <w:szCs w:val="20"/>
          <w:lang w:eastAsia="zh-TW"/>
        </w:rPr>
        <w:sectPr>
          <w:footerReference r:id="rId11" w:type="default"/>
          <w:pgSz w:w="11906" w:h="16838"/>
          <w:pgMar w:top="1440" w:right="1800" w:bottom="1440" w:left="1800" w:header="851" w:footer="992" w:gutter="0"/>
          <w:cols w:space="425" w:num="1"/>
          <w:docGrid w:type="lines" w:linePitch="326" w:charSpace="0"/>
        </w:sectPr>
      </w:pPr>
      <w:r>
        <w:rPr>
          <w:rFonts w:ascii="Times New Roman" w:hAnsi="Times New Roman" w:cs="Times New Roman"/>
          <w:color w:val="auto"/>
          <w:sz w:val="20"/>
          <w:szCs w:val="20"/>
          <w:lang w:eastAsia="zh-TW"/>
        </w:rPr>
        <w:t xml:space="preserve">Figure </w:t>
      </w:r>
      <w:r>
        <w:rPr>
          <w:rFonts w:hint="eastAsia" w:ascii="Times New Roman" w:hAnsi="Times New Roman" w:cs="Times New Roman"/>
          <w:color w:val="auto"/>
          <w:sz w:val="20"/>
          <w:szCs w:val="20"/>
        </w:rPr>
        <w:t>7</w:t>
      </w:r>
      <w:r>
        <w:rPr>
          <w:rFonts w:ascii="Times New Roman" w:hAnsi="Times New Roman" w:cs="Times New Roman"/>
          <w:color w:val="auto"/>
          <w:sz w:val="20"/>
          <w:szCs w:val="20"/>
          <w:lang w:eastAsia="zh-TW"/>
        </w:rPr>
        <w:t>.2 The funnel plot of</w:t>
      </w:r>
      <w:r>
        <w:rPr>
          <w:rFonts w:hint="eastAsia" w:ascii="Times New Roman" w:hAnsi="Times New Roman" w:cs="Times New Roman"/>
          <w:color w:val="auto"/>
          <w:sz w:val="20"/>
          <w:szCs w:val="20"/>
        </w:rPr>
        <w:t xml:space="preserve"> sleep quality</w:t>
      </w:r>
      <w:r>
        <w:rPr>
          <w:rFonts w:ascii="Times New Roman" w:hAnsi="Times New Roman" w:cs="Times New Roman"/>
          <w:color w:val="auto"/>
          <w:sz w:val="20"/>
          <w:szCs w:val="20"/>
          <w:lang w:eastAsia="zh-TW"/>
        </w:rPr>
        <w:t>. The result of Egger test showed the p=</w:t>
      </w:r>
      <w:r>
        <w:rPr>
          <w:rFonts w:ascii="Times New Roman" w:hAnsi="Times New Roman" w:cs="Times New Roman"/>
          <w:color w:val="auto"/>
          <w:sz w:val="20"/>
          <w:szCs w:val="20"/>
        </w:rPr>
        <w:t>0.</w:t>
      </w:r>
      <w:r>
        <w:rPr>
          <w:rFonts w:hint="eastAsia" w:ascii="Times New Roman" w:hAnsi="Times New Roman" w:cs="Times New Roman"/>
          <w:color w:val="auto"/>
          <w:sz w:val="20"/>
          <w:szCs w:val="20"/>
        </w:rPr>
        <w:t>326</w:t>
      </w:r>
      <w:r>
        <w:rPr>
          <w:rFonts w:ascii="Times New Roman" w:hAnsi="Times New Roman" w:cs="Times New Roman"/>
          <w:color w:val="auto"/>
          <w:sz w:val="20"/>
          <w:szCs w:val="20"/>
          <w:lang w:eastAsia="zh-TW"/>
        </w:rPr>
        <w:t>.</w:t>
      </w:r>
    </w:p>
    <w:p w14:paraId="494DE926">
      <w:pPr>
        <w:jc w:val="center"/>
        <w:rPr>
          <w:rFonts w:ascii="Times New Roman" w:hAnsi="Times New Roman" w:cs="Times New Roman"/>
          <w:color w:val="auto"/>
        </w:rPr>
      </w:pPr>
      <w:r>
        <w:rPr>
          <w:rFonts w:ascii="Times New Roman" w:hAnsi="Times New Roman" w:cs="Times New Roman"/>
          <w:color w:val="auto"/>
        </w:rPr>
        <w:drawing>
          <wp:inline distT="0" distB="0" distL="114300" distR="114300">
            <wp:extent cx="5029200" cy="3657600"/>
            <wp:effectExtent l="0" t="0" r="0" b="0"/>
            <wp:docPr id="14" name="图片 14" descr="漏斗图-疲劳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漏斗图-疲劳_00"/>
                    <pic:cNvPicPr>
                      <a:picLocks noChangeAspect="1"/>
                    </pic:cNvPicPr>
                  </pic:nvPicPr>
                  <pic:blipFill>
                    <a:blip r:embed="rId22"/>
                    <a:stretch>
                      <a:fillRect/>
                    </a:stretch>
                  </pic:blipFill>
                  <pic:spPr>
                    <a:xfrm>
                      <a:off x="0" y="0"/>
                      <a:ext cx="5029200" cy="3657600"/>
                    </a:xfrm>
                    <a:prstGeom prst="rect">
                      <a:avLst/>
                    </a:prstGeom>
                  </pic:spPr>
                </pic:pic>
              </a:graphicData>
            </a:graphic>
          </wp:inline>
        </w:drawing>
      </w:r>
    </w:p>
    <w:p w14:paraId="0031C31A">
      <w:pPr>
        <w:jc w:val="center"/>
        <w:rPr>
          <w:rFonts w:ascii="Times New Roman" w:hAnsi="Times New Roman" w:cs="Times New Roman"/>
          <w:color w:val="auto"/>
          <w:sz w:val="20"/>
          <w:szCs w:val="20"/>
          <w:lang w:eastAsia="zh-TW"/>
        </w:rPr>
      </w:pPr>
      <w:r>
        <w:rPr>
          <w:rFonts w:ascii="Times New Roman" w:hAnsi="Times New Roman" w:cs="Times New Roman"/>
          <w:color w:val="auto"/>
          <w:sz w:val="20"/>
          <w:szCs w:val="20"/>
          <w:lang w:eastAsia="zh-TW"/>
        </w:rPr>
        <w:t xml:space="preserve">Figure </w:t>
      </w:r>
      <w:r>
        <w:rPr>
          <w:rFonts w:hint="eastAsia" w:ascii="Times New Roman" w:hAnsi="Times New Roman" w:cs="Times New Roman"/>
          <w:color w:val="auto"/>
          <w:sz w:val="20"/>
          <w:szCs w:val="20"/>
        </w:rPr>
        <w:t>7</w:t>
      </w:r>
      <w:r>
        <w:rPr>
          <w:rFonts w:ascii="Times New Roman" w:hAnsi="Times New Roman" w:cs="Times New Roman"/>
          <w:color w:val="auto"/>
          <w:sz w:val="20"/>
          <w:szCs w:val="20"/>
          <w:lang w:eastAsia="zh-TW"/>
        </w:rPr>
        <w:t>.</w:t>
      </w:r>
      <w:r>
        <w:rPr>
          <w:rFonts w:hint="eastAsia" w:ascii="Times New Roman" w:hAnsi="Times New Roman" w:cs="Times New Roman"/>
          <w:color w:val="auto"/>
          <w:sz w:val="20"/>
          <w:szCs w:val="20"/>
        </w:rPr>
        <w:t>3</w:t>
      </w:r>
      <w:r>
        <w:rPr>
          <w:rFonts w:ascii="Times New Roman" w:hAnsi="Times New Roman" w:cs="Times New Roman"/>
          <w:color w:val="auto"/>
          <w:sz w:val="20"/>
          <w:szCs w:val="20"/>
          <w:lang w:eastAsia="zh-TW"/>
        </w:rPr>
        <w:t xml:space="preserve"> The funnel plot of </w:t>
      </w:r>
      <w:r>
        <w:rPr>
          <w:rFonts w:hint="eastAsia" w:ascii="Times New Roman" w:hAnsi="Times New Roman" w:cs="Times New Roman"/>
          <w:color w:val="auto"/>
          <w:sz w:val="20"/>
          <w:szCs w:val="20"/>
        </w:rPr>
        <w:t>fatigue</w:t>
      </w:r>
      <w:r>
        <w:rPr>
          <w:rFonts w:ascii="Times New Roman" w:hAnsi="Times New Roman" w:cs="Times New Roman"/>
          <w:color w:val="auto"/>
          <w:sz w:val="20"/>
          <w:szCs w:val="20"/>
          <w:lang w:eastAsia="zh-TW"/>
        </w:rPr>
        <w:t>. The result of Egger test showed the p=</w:t>
      </w:r>
      <w:r>
        <w:rPr>
          <w:rFonts w:ascii="Times New Roman" w:hAnsi="Times New Roman" w:cs="Times New Roman"/>
          <w:color w:val="auto"/>
          <w:sz w:val="20"/>
          <w:szCs w:val="20"/>
        </w:rPr>
        <w:t>0.</w:t>
      </w:r>
      <w:r>
        <w:rPr>
          <w:rFonts w:hint="eastAsia" w:ascii="Times New Roman" w:hAnsi="Times New Roman" w:cs="Times New Roman"/>
          <w:color w:val="auto"/>
          <w:sz w:val="20"/>
          <w:szCs w:val="20"/>
        </w:rPr>
        <w:t>364</w:t>
      </w:r>
      <w:r>
        <w:rPr>
          <w:rFonts w:ascii="Times New Roman" w:hAnsi="Times New Roman" w:cs="Times New Roman"/>
          <w:color w:val="auto"/>
          <w:sz w:val="20"/>
          <w:szCs w:val="20"/>
          <w:lang w:eastAsia="zh-TW"/>
        </w:rPr>
        <w:t>.</w:t>
      </w:r>
    </w:p>
    <w:p w14:paraId="2F7C5888">
      <w:pPr>
        <w:jc w:val="center"/>
        <w:rPr>
          <w:rFonts w:ascii="Times New Roman" w:hAnsi="Times New Roman" w:cs="Times New Roman"/>
          <w:color w:val="auto"/>
          <w:sz w:val="20"/>
          <w:szCs w:val="20"/>
          <w:lang w:eastAsia="zh-TW"/>
        </w:rPr>
      </w:pPr>
    </w:p>
    <w:p w14:paraId="665335F6">
      <w:pPr>
        <w:jc w:val="center"/>
        <w:rPr>
          <w:rFonts w:ascii="Times New Roman" w:hAnsi="Times New Roman" w:cs="Times New Roman"/>
          <w:color w:val="auto"/>
        </w:rPr>
      </w:pPr>
      <w:r>
        <w:rPr>
          <w:rFonts w:ascii="Times New Roman" w:hAnsi="Times New Roman" w:cs="Times New Roman"/>
          <w:color w:val="auto"/>
        </w:rPr>
        <w:drawing>
          <wp:inline distT="0" distB="0" distL="114300" distR="114300">
            <wp:extent cx="5029200" cy="3657600"/>
            <wp:effectExtent l="0" t="0" r="0" b="0"/>
            <wp:docPr id="16" name="图片 16" descr="漏斗图-整体情绪状态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漏斗图-整体情绪状态_00"/>
                    <pic:cNvPicPr>
                      <a:picLocks noChangeAspect="1"/>
                    </pic:cNvPicPr>
                  </pic:nvPicPr>
                  <pic:blipFill>
                    <a:blip r:embed="rId23"/>
                    <a:stretch>
                      <a:fillRect/>
                    </a:stretch>
                  </pic:blipFill>
                  <pic:spPr>
                    <a:xfrm>
                      <a:off x="0" y="0"/>
                      <a:ext cx="5029200" cy="3657600"/>
                    </a:xfrm>
                    <a:prstGeom prst="rect">
                      <a:avLst/>
                    </a:prstGeom>
                  </pic:spPr>
                </pic:pic>
              </a:graphicData>
            </a:graphic>
          </wp:inline>
        </w:drawing>
      </w:r>
    </w:p>
    <w:p w14:paraId="0A6963E4">
      <w:pPr>
        <w:jc w:val="center"/>
        <w:rPr>
          <w:rFonts w:ascii="Times New Roman" w:hAnsi="Times New Roman" w:cs="Times New Roman"/>
          <w:color w:val="auto"/>
          <w:sz w:val="20"/>
          <w:szCs w:val="20"/>
          <w:lang w:eastAsia="zh-TW"/>
        </w:rPr>
      </w:pPr>
      <w:r>
        <w:rPr>
          <w:rFonts w:ascii="Times New Roman" w:hAnsi="Times New Roman" w:cs="Times New Roman"/>
          <w:color w:val="auto"/>
          <w:sz w:val="20"/>
          <w:szCs w:val="20"/>
          <w:lang w:eastAsia="zh-TW"/>
        </w:rPr>
        <w:t xml:space="preserve">Figure </w:t>
      </w:r>
      <w:r>
        <w:rPr>
          <w:rFonts w:hint="eastAsia" w:ascii="Times New Roman" w:hAnsi="Times New Roman" w:cs="Times New Roman"/>
          <w:color w:val="auto"/>
          <w:sz w:val="20"/>
          <w:szCs w:val="20"/>
        </w:rPr>
        <w:t>7</w:t>
      </w:r>
      <w:r>
        <w:rPr>
          <w:rFonts w:ascii="Times New Roman" w:hAnsi="Times New Roman" w:cs="Times New Roman"/>
          <w:color w:val="auto"/>
          <w:sz w:val="20"/>
          <w:szCs w:val="20"/>
          <w:lang w:eastAsia="zh-TW"/>
        </w:rPr>
        <w:t>.</w:t>
      </w:r>
      <w:r>
        <w:rPr>
          <w:rFonts w:hint="eastAsia" w:ascii="Times New Roman" w:hAnsi="Times New Roman" w:cs="Times New Roman"/>
          <w:color w:val="auto"/>
          <w:sz w:val="20"/>
          <w:szCs w:val="20"/>
        </w:rPr>
        <w:t>4</w:t>
      </w:r>
      <w:r>
        <w:rPr>
          <w:rFonts w:ascii="Times New Roman" w:hAnsi="Times New Roman" w:cs="Times New Roman"/>
          <w:color w:val="auto"/>
          <w:sz w:val="20"/>
          <w:szCs w:val="20"/>
          <w:lang w:eastAsia="zh-TW"/>
        </w:rPr>
        <w:t xml:space="preserve"> The funnel plot of </w:t>
      </w:r>
      <w:r>
        <w:rPr>
          <w:rFonts w:hint="eastAsia" w:ascii="Times New Roman" w:hAnsi="Times New Roman" w:cs="Times New Roman"/>
          <w:color w:val="auto"/>
          <w:sz w:val="20"/>
          <w:szCs w:val="20"/>
        </w:rPr>
        <w:t>general mood</w:t>
      </w:r>
      <w:r>
        <w:rPr>
          <w:rFonts w:ascii="Times New Roman" w:hAnsi="Times New Roman" w:cs="Times New Roman"/>
          <w:color w:val="auto"/>
          <w:sz w:val="20"/>
          <w:szCs w:val="20"/>
          <w:lang w:eastAsia="zh-TW"/>
        </w:rPr>
        <w:t>. The result of Egger test showed the p=</w:t>
      </w:r>
      <w:r>
        <w:rPr>
          <w:rFonts w:ascii="Times New Roman" w:hAnsi="Times New Roman" w:cs="Times New Roman"/>
          <w:color w:val="auto"/>
          <w:sz w:val="20"/>
          <w:szCs w:val="20"/>
        </w:rPr>
        <w:t>0.</w:t>
      </w:r>
      <w:r>
        <w:rPr>
          <w:rFonts w:hint="eastAsia" w:ascii="Times New Roman" w:hAnsi="Times New Roman" w:cs="Times New Roman"/>
          <w:color w:val="auto"/>
          <w:sz w:val="20"/>
          <w:szCs w:val="20"/>
        </w:rPr>
        <w:t>183</w:t>
      </w:r>
      <w:r>
        <w:rPr>
          <w:rFonts w:ascii="Times New Roman" w:hAnsi="Times New Roman" w:cs="Times New Roman"/>
          <w:color w:val="auto"/>
          <w:sz w:val="20"/>
          <w:szCs w:val="20"/>
          <w:lang w:eastAsia="zh-TW"/>
        </w:rPr>
        <w:t>.</w:t>
      </w:r>
    </w:p>
    <w:p w14:paraId="49B916C8">
      <w:pPr>
        <w:rPr>
          <w:rFonts w:ascii="Times New Roman" w:hAnsi="Times New Roman" w:cs="Times New Roman"/>
          <w:color w:val="auto"/>
          <w:sz w:val="20"/>
          <w:szCs w:val="20"/>
          <w:lang w:eastAsia="zh-TW"/>
        </w:rPr>
      </w:pPr>
      <w:r>
        <w:rPr>
          <w:rFonts w:ascii="Times New Roman" w:hAnsi="Times New Roman" w:cs="Times New Roman"/>
          <w:color w:val="auto"/>
          <w:sz w:val="20"/>
          <w:szCs w:val="20"/>
          <w:lang w:eastAsia="zh-TW"/>
        </w:rPr>
        <w:br w:type="page"/>
      </w:r>
    </w:p>
    <w:p w14:paraId="0DC0DCA7">
      <w:pPr>
        <w:jc w:val="center"/>
        <w:rPr>
          <w:rFonts w:ascii="Times New Roman" w:hAnsi="Times New Roman" w:cs="Times New Roman"/>
          <w:color w:val="auto"/>
        </w:rPr>
      </w:pPr>
      <w:r>
        <w:rPr>
          <w:rFonts w:ascii="Times New Roman" w:hAnsi="Times New Roman" w:cs="Times New Roman"/>
          <w:color w:val="auto"/>
        </w:rPr>
        <w:drawing>
          <wp:inline distT="0" distB="0" distL="114300" distR="114300">
            <wp:extent cx="5029200" cy="3657600"/>
            <wp:effectExtent l="0" t="0" r="0" b="0"/>
            <wp:docPr id="17" name="图片 17" descr="漏斗图-焦虑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漏斗图-焦虑_00"/>
                    <pic:cNvPicPr>
                      <a:picLocks noChangeAspect="1"/>
                    </pic:cNvPicPr>
                  </pic:nvPicPr>
                  <pic:blipFill>
                    <a:blip r:embed="rId24"/>
                    <a:stretch>
                      <a:fillRect/>
                    </a:stretch>
                  </pic:blipFill>
                  <pic:spPr>
                    <a:xfrm>
                      <a:off x="0" y="0"/>
                      <a:ext cx="5029200" cy="3657600"/>
                    </a:xfrm>
                    <a:prstGeom prst="rect">
                      <a:avLst/>
                    </a:prstGeom>
                  </pic:spPr>
                </pic:pic>
              </a:graphicData>
            </a:graphic>
          </wp:inline>
        </w:drawing>
      </w:r>
    </w:p>
    <w:p w14:paraId="19124F7D">
      <w:pPr>
        <w:rPr>
          <w:rFonts w:ascii="Times New Roman" w:hAnsi="Times New Roman" w:cs="Times New Roman"/>
          <w:color w:val="auto"/>
          <w:sz w:val="20"/>
          <w:szCs w:val="20"/>
          <w:lang w:eastAsia="zh-TW"/>
        </w:rPr>
      </w:pPr>
      <w:r>
        <w:rPr>
          <w:rFonts w:ascii="Times New Roman" w:hAnsi="Times New Roman" w:cs="Times New Roman"/>
          <w:color w:val="auto"/>
          <w:sz w:val="20"/>
          <w:szCs w:val="20"/>
          <w:lang w:eastAsia="zh-TW"/>
        </w:rPr>
        <w:t xml:space="preserve">Figure </w:t>
      </w:r>
      <w:r>
        <w:rPr>
          <w:rFonts w:hint="eastAsia" w:ascii="Times New Roman" w:hAnsi="Times New Roman" w:cs="Times New Roman"/>
          <w:color w:val="auto"/>
          <w:sz w:val="20"/>
          <w:szCs w:val="20"/>
        </w:rPr>
        <w:t>7</w:t>
      </w:r>
      <w:r>
        <w:rPr>
          <w:rFonts w:ascii="Times New Roman" w:hAnsi="Times New Roman" w:cs="Times New Roman"/>
          <w:color w:val="auto"/>
          <w:sz w:val="20"/>
          <w:szCs w:val="20"/>
          <w:lang w:eastAsia="zh-TW"/>
        </w:rPr>
        <w:t>.</w:t>
      </w:r>
      <w:r>
        <w:rPr>
          <w:rFonts w:hint="eastAsia" w:ascii="Times New Roman" w:hAnsi="Times New Roman" w:cs="Times New Roman"/>
          <w:color w:val="auto"/>
          <w:sz w:val="20"/>
          <w:szCs w:val="20"/>
        </w:rPr>
        <w:t>5</w:t>
      </w:r>
      <w:r>
        <w:rPr>
          <w:rFonts w:ascii="Times New Roman" w:hAnsi="Times New Roman" w:cs="Times New Roman"/>
          <w:color w:val="auto"/>
          <w:sz w:val="20"/>
          <w:szCs w:val="20"/>
          <w:lang w:eastAsia="zh-TW"/>
        </w:rPr>
        <w:t xml:space="preserve"> The funnel plot of </w:t>
      </w:r>
      <w:r>
        <w:rPr>
          <w:rFonts w:hint="eastAsia" w:ascii="Times New Roman" w:hAnsi="Times New Roman" w:cs="Times New Roman"/>
          <w:color w:val="auto"/>
          <w:sz w:val="20"/>
          <w:szCs w:val="20"/>
        </w:rPr>
        <w:t>anxiety</w:t>
      </w:r>
      <w:r>
        <w:rPr>
          <w:rFonts w:ascii="Times New Roman" w:hAnsi="Times New Roman" w:cs="Times New Roman"/>
          <w:color w:val="auto"/>
          <w:sz w:val="20"/>
          <w:szCs w:val="20"/>
          <w:lang w:eastAsia="zh-TW"/>
        </w:rPr>
        <w:t>. The result of Egger test showed the p=</w:t>
      </w:r>
      <w:r>
        <w:rPr>
          <w:rFonts w:ascii="Times New Roman" w:hAnsi="Times New Roman" w:cs="Times New Roman"/>
          <w:color w:val="auto"/>
          <w:sz w:val="20"/>
          <w:szCs w:val="20"/>
        </w:rPr>
        <w:t>0</w:t>
      </w:r>
      <w:r>
        <w:rPr>
          <w:rFonts w:hint="eastAsia" w:ascii="Times New Roman" w:hAnsi="Times New Roman" w:cs="Times New Roman"/>
          <w:color w:val="auto"/>
          <w:sz w:val="20"/>
          <w:szCs w:val="20"/>
        </w:rPr>
        <w:t>.800</w:t>
      </w:r>
      <w:r>
        <w:rPr>
          <w:rFonts w:ascii="Times New Roman" w:hAnsi="Times New Roman" w:cs="Times New Roman"/>
          <w:color w:val="auto"/>
          <w:sz w:val="20"/>
          <w:szCs w:val="20"/>
          <w:lang w:eastAsia="zh-TW"/>
        </w:rPr>
        <w:t>.</w:t>
      </w:r>
    </w:p>
    <w:p w14:paraId="263E9F35">
      <w:pPr>
        <w:rPr>
          <w:rFonts w:ascii="Times New Roman" w:hAnsi="Times New Roman" w:cs="Times New Roman"/>
          <w:color w:val="auto"/>
          <w:sz w:val="20"/>
          <w:szCs w:val="20"/>
          <w:lang w:eastAsia="zh-TW"/>
        </w:rPr>
      </w:pPr>
    </w:p>
    <w:p w14:paraId="319D1C4C">
      <w:pPr>
        <w:jc w:val="center"/>
        <w:rPr>
          <w:rFonts w:ascii="Times New Roman" w:hAnsi="Times New Roman" w:cs="Times New Roman"/>
          <w:color w:val="auto"/>
        </w:rPr>
      </w:pPr>
      <w:r>
        <w:rPr>
          <w:rFonts w:ascii="Times New Roman" w:hAnsi="Times New Roman" w:cs="Times New Roman"/>
          <w:color w:val="auto"/>
        </w:rPr>
        <w:drawing>
          <wp:inline distT="0" distB="0" distL="114300" distR="114300">
            <wp:extent cx="5029200" cy="3657600"/>
            <wp:effectExtent l="0" t="0" r="0" b="0"/>
            <wp:docPr id="18" name="图片 18" descr="漏斗图-抑郁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漏斗图-抑郁_00"/>
                    <pic:cNvPicPr>
                      <a:picLocks noChangeAspect="1"/>
                    </pic:cNvPicPr>
                  </pic:nvPicPr>
                  <pic:blipFill>
                    <a:blip r:embed="rId25"/>
                    <a:stretch>
                      <a:fillRect/>
                    </a:stretch>
                  </pic:blipFill>
                  <pic:spPr>
                    <a:xfrm>
                      <a:off x="0" y="0"/>
                      <a:ext cx="5029200" cy="3657600"/>
                    </a:xfrm>
                    <a:prstGeom prst="rect">
                      <a:avLst/>
                    </a:prstGeom>
                  </pic:spPr>
                </pic:pic>
              </a:graphicData>
            </a:graphic>
          </wp:inline>
        </w:drawing>
      </w:r>
    </w:p>
    <w:p w14:paraId="5C49EFDB">
      <w:pPr>
        <w:jc w:val="center"/>
        <w:rPr>
          <w:rFonts w:hint="eastAsia" w:ascii="Times New Roman" w:hAnsi="Times New Roman" w:cs="Times New Roman" w:eastAsiaTheme="minorEastAsia"/>
          <w:color w:val="auto"/>
          <w:sz w:val="20"/>
          <w:szCs w:val="20"/>
        </w:rPr>
      </w:pPr>
      <w:r>
        <w:rPr>
          <w:rFonts w:ascii="Times New Roman" w:hAnsi="Times New Roman" w:cs="Times New Roman"/>
          <w:color w:val="auto"/>
          <w:sz w:val="20"/>
          <w:szCs w:val="20"/>
          <w:lang w:eastAsia="zh-TW"/>
        </w:rPr>
        <w:t xml:space="preserve">Figure </w:t>
      </w:r>
      <w:r>
        <w:rPr>
          <w:rFonts w:hint="eastAsia" w:ascii="Times New Roman" w:hAnsi="Times New Roman" w:cs="Times New Roman"/>
          <w:color w:val="auto"/>
          <w:sz w:val="20"/>
          <w:szCs w:val="20"/>
        </w:rPr>
        <w:t>7</w:t>
      </w:r>
      <w:r>
        <w:rPr>
          <w:rFonts w:ascii="Times New Roman" w:hAnsi="Times New Roman" w:cs="Times New Roman"/>
          <w:color w:val="auto"/>
          <w:sz w:val="20"/>
          <w:szCs w:val="20"/>
          <w:lang w:eastAsia="zh-TW"/>
        </w:rPr>
        <w:t>.</w:t>
      </w:r>
      <w:r>
        <w:rPr>
          <w:rFonts w:hint="eastAsia" w:ascii="Times New Roman" w:hAnsi="Times New Roman" w:cs="Times New Roman"/>
          <w:color w:val="auto"/>
          <w:sz w:val="20"/>
          <w:szCs w:val="20"/>
        </w:rPr>
        <w:t>6</w:t>
      </w:r>
      <w:r>
        <w:rPr>
          <w:rFonts w:ascii="Times New Roman" w:hAnsi="Times New Roman" w:cs="Times New Roman"/>
          <w:color w:val="auto"/>
          <w:sz w:val="20"/>
          <w:szCs w:val="20"/>
          <w:lang w:eastAsia="zh-TW"/>
        </w:rPr>
        <w:t xml:space="preserve"> The funnel plot of </w:t>
      </w:r>
      <w:r>
        <w:rPr>
          <w:rFonts w:hint="eastAsia" w:ascii="Times New Roman" w:hAnsi="Times New Roman" w:cs="Times New Roman"/>
          <w:color w:val="auto"/>
          <w:sz w:val="20"/>
          <w:szCs w:val="20"/>
        </w:rPr>
        <w:t>depression</w:t>
      </w:r>
      <w:r>
        <w:rPr>
          <w:rFonts w:ascii="Times New Roman" w:hAnsi="Times New Roman" w:cs="Times New Roman"/>
          <w:color w:val="auto"/>
          <w:sz w:val="20"/>
          <w:szCs w:val="20"/>
          <w:lang w:eastAsia="zh-TW"/>
        </w:rPr>
        <w:t>. The result of Egger test showed the p=</w:t>
      </w:r>
      <w:r>
        <w:rPr>
          <w:rFonts w:ascii="Times New Roman" w:hAnsi="Times New Roman" w:cs="Times New Roman"/>
          <w:color w:val="auto"/>
          <w:sz w:val="20"/>
          <w:szCs w:val="20"/>
        </w:rPr>
        <w:t>0</w:t>
      </w:r>
      <w:r>
        <w:rPr>
          <w:rFonts w:hint="eastAsia" w:ascii="Times New Roman" w:hAnsi="Times New Roman" w:cs="Times New Roman"/>
          <w:color w:val="auto"/>
          <w:sz w:val="20"/>
          <w:szCs w:val="20"/>
        </w:rPr>
        <w:t>.403</w:t>
      </w:r>
      <w:r>
        <w:rPr>
          <w:rFonts w:ascii="Times New Roman" w:hAnsi="Times New Roman" w:cs="Times New Roman"/>
          <w:color w:val="auto"/>
          <w:sz w:val="20"/>
          <w:szCs w:val="20"/>
          <w:lang w:eastAsia="zh-TW"/>
        </w:rPr>
        <w:t>.</w:t>
      </w:r>
      <w:bookmarkEnd w:id="12"/>
      <w:bookmarkEnd w:id="13"/>
    </w:p>
    <w:sectPr>
      <w:footerReference r:id="rId12" w:type="default"/>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06DBF">
    <w:pPr>
      <w:pStyle w:val="12"/>
      <w:ind w:right="360"/>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Style w:val="26"/>
                            </w:rPr>
                            <w:id w:val="147454974"/>
                          </w:sdtPr>
                          <w:sdtEndPr>
                            <w:rPr>
                              <w:rStyle w:val="26"/>
                            </w:rPr>
                          </w:sdtEndPr>
                          <w:sdtContent>
                            <w:p w14:paraId="330F3CF5">
                              <w:pPr>
                                <w:pStyle w:val="12"/>
                                <w:rPr>
                                  <w:rStyle w:val="26"/>
                                  <w:rFonts w:hint="eastAsia"/>
                                </w:rPr>
                              </w:pPr>
                              <w:r>
                                <w:rPr>
                                  <w:rStyle w:val="26"/>
                                </w:rPr>
                                <w:fldChar w:fldCharType="begin"/>
                              </w:r>
                              <w:r>
                                <w:rPr>
                                  <w:rStyle w:val="26"/>
                                </w:rPr>
                                <w:instrText xml:space="preserve"> PAGE </w:instrText>
                              </w:r>
                              <w:r>
                                <w:rPr>
                                  <w:rStyle w:val="26"/>
                                </w:rPr>
                                <w:fldChar w:fldCharType="separate"/>
                              </w:r>
                              <w:r>
                                <w:rPr>
                                  <w:rStyle w:val="26"/>
                                </w:rPr>
                                <w:t>1</w:t>
                              </w:r>
                              <w:r>
                                <w:rPr>
                                  <w:rStyle w:val="26"/>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rPr>
                        <w:rStyle w:val="26"/>
                      </w:rPr>
                      <w:id w:val="147454974"/>
                    </w:sdtPr>
                    <w:sdtEndPr>
                      <w:rPr>
                        <w:rStyle w:val="26"/>
                      </w:rPr>
                    </w:sdtEndPr>
                    <w:sdtContent>
                      <w:p w14:paraId="330F3CF5">
                        <w:pPr>
                          <w:pStyle w:val="12"/>
                          <w:rPr>
                            <w:rStyle w:val="26"/>
                            <w:rFonts w:hint="eastAsia"/>
                          </w:rPr>
                        </w:pPr>
                        <w:r>
                          <w:rPr>
                            <w:rStyle w:val="26"/>
                          </w:rPr>
                          <w:fldChar w:fldCharType="begin"/>
                        </w:r>
                        <w:r>
                          <w:rPr>
                            <w:rStyle w:val="26"/>
                          </w:rPr>
                          <w:instrText xml:space="preserve"> PAGE </w:instrText>
                        </w:r>
                        <w:r>
                          <w:rPr>
                            <w:rStyle w:val="26"/>
                          </w:rPr>
                          <w:fldChar w:fldCharType="separate"/>
                        </w:r>
                        <w:r>
                          <w:rPr>
                            <w:rStyle w:val="26"/>
                          </w:rPr>
                          <w:t>1</w:t>
                        </w:r>
                        <w:r>
                          <w:rPr>
                            <w:rStyle w:val="26"/>
                          </w:rPr>
                          <w:fldChar w:fldCharType="end"/>
                        </w:r>
                      </w:p>
                    </w:sdtContent>
                  </w:sdt>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6"/>
      </w:rPr>
      <w:id w:val="-201944301"/>
    </w:sdtPr>
    <w:sdtEndPr>
      <w:rPr>
        <w:rStyle w:val="26"/>
      </w:rPr>
    </w:sdtEndPr>
    <w:sdtContent>
      <w:p w14:paraId="5335FA7D">
        <w:pPr>
          <w:pStyle w:val="12"/>
          <w:framePr w:wrap="auto" w:vAnchor="text" w:hAnchor="margin" w:xAlign="center" w:y="1"/>
          <w:rPr>
            <w:rStyle w:val="26"/>
            <w:rFonts w:hint="eastAsia"/>
          </w:rPr>
        </w:pPr>
        <w:r>
          <w:rPr>
            <w:rStyle w:val="26"/>
          </w:rPr>
          <w:fldChar w:fldCharType="begin"/>
        </w:r>
        <w:r>
          <w:rPr>
            <w:rStyle w:val="26"/>
          </w:rPr>
          <w:instrText xml:space="preserve"> PAGE </w:instrText>
        </w:r>
        <w:r>
          <w:rPr>
            <w:rStyle w:val="26"/>
          </w:rPr>
          <w:fldChar w:fldCharType="end"/>
        </w:r>
      </w:p>
    </w:sdtContent>
  </w:sdt>
  <w:p w14:paraId="46895FFD">
    <w:pPr>
      <w:pStyle w:val="12"/>
      <w:ind w:right="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513F5">
    <w:pPr>
      <w:pStyle w:val="12"/>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28A23">
    <w:pPr>
      <w:pStyle w:val="12"/>
      <w:ind w:right="360"/>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3995272" name="文本框 1839952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Style w:val="26"/>
                            </w:rPr>
                            <w:id w:val="1007013786"/>
                          </w:sdtPr>
                          <w:sdtEndPr>
                            <w:rPr>
                              <w:rStyle w:val="26"/>
                            </w:rPr>
                          </w:sdtEndPr>
                          <w:sdtContent>
                            <w:p w14:paraId="239A4516">
                              <w:pPr>
                                <w:pStyle w:val="12"/>
                                <w:rPr>
                                  <w:rStyle w:val="26"/>
                                  <w:rFonts w:hint="eastAsia"/>
                                </w:rPr>
                              </w:pPr>
                              <w:r>
                                <w:rPr>
                                  <w:rStyle w:val="26"/>
                                </w:rPr>
                                <w:fldChar w:fldCharType="begin"/>
                              </w:r>
                              <w:r>
                                <w:rPr>
                                  <w:rStyle w:val="26"/>
                                </w:rPr>
                                <w:instrText xml:space="preserve"> PAGE </w:instrText>
                              </w:r>
                              <w:r>
                                <w:rPr>
                                  <w:rStyle w:val="26"/>
                                </w:rPr>
                                <w:fldChar w:fldCharType="separate"/>
                              </w:r>
                              <w:r>
                                <w:rPr>
                                  <w:rStyle w:val="26"/>
                                </w:rPr>
                                <w:t>1</w:t>
                              </w:r>
                              <w:r>
                                <w:rPr>
                                  <w:rStyle w:val="26"/>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O3wLCDUCAABlBAAADgAAAAAAAAABACAAAAAfAQAAZHJzL2Uyb0RvYy54bWxQ&#10;SwUGAAAAAAYABgBZAQAAxgUAAAAA&#10;">
              <v:fill on="f" focussize="0,0"/>
              <v:stroke on="f" weight="0.5pt"/>
              <v:imagedata o:title=""/>
              <o:lock v:ext="edit" aspectratio="f"/>
              <v:textbox inset="0mm,0mm,0mm,0mm" style="mso-fit-shape-to-text:t;">
                <w:txbxContent>
                  <w:sdt>
                    <w:sdtPr>
                      <w:rPr>
                        <w:rStyle w:val="26"/>
                      </w:rPr>
                      <w:id w:val="1007013786"/>
                    </w:sdtPr>
                    <w:sdtEndPr>
                      <w:rPr>
                        <w:rStyle w:val="26"/>
                      </w:rPr>
                    </w:sdtEndPr>
                    <w:sdtContent>
                      <w:p w14:paraId="239A4516">
                        <w:pPr>
                          <w:pStyle w:val="12"/>
                          <w:rPr>
                            <w:rStyle w:val="26"/>
                            <w:rFonts w:hint="eastAsia"/>
                          </w:rPr>
                        </w:pPr>
                        <w:r>
                          <w:rPr>
                            <w:rStyle w:val="26"/>
                          </w:rPr>
                          <w:fldChar w:fldCharType="begin"/>
                        </w:r>
                        <w:r>
                          <w:rPr>
                            <w:rStyle w:val="26"/>
                          </w:rPr>
                          <w:instrText xml:space="preserve"> PAGE </w:instrText>
                        </w:r>
                        <w:r>
                          <w:rPr>
                            <w:rStyle w:val="26"/>
                          </w:rPr>
                          <w:fldChar w:fldCharType="separate"/>
                        </w:r>
                        <w:r>
                          <w:rPr>
                            <w:rStyle w:val="26"/>
                          </w:rPr>
                          <w:t>1</w:t>
                        </w:r>
                        <w:r>
                          <w:rPr>
                            <w:rStyle w:val="26"/>
                          </w:rPr>
                          <w:fldChar w:fldCharType="end"/>
                        </w:r>
                      </w:p>
                    </w:sdtContent>
                  </w:sdt>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84844">
    <w:pPr>
      <w:pStyle w:val="12"/>
      <w:ind w:right="360"/>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Style w:val="26"/>
                            </w:rPr>
                            <w:id w:val="147481315"/>
                          </w:sdtPr>
                          <w:sdtEndPr>
                            <w:rPr>
                              <w:rStyle w:val="26"/>
                            </w:rPr>
                          </w:sdtEndPr>
                          <w:sdtContent>
                            <w:p w14:paraId="6A650601">
                              <w:pPr>
                                <w:pStyle w:val="12"/>
                                <w:rPr>
                                  <w:rStyle w:val="26"/>
                                  <w:rFonts w:hint="eastAsia"/>
                                </w:rPr>
                              </w:pPr>
                              <w:r>
                                <w:rPr>
                                  <w:rStyle w:val="26"/>
                                </w:rPr>
                                <w:fldChar w:fldCharType="begin"/>
                              </w:r>
                              <w:r>
                                <w:rPr>
                                  <w:rStyle w:val="26"/>
                                </w:rPr>
                                <w:instrText xml:space="preserve"> PAGE </w:instrText>
                              </w:r>
                              <w:r>
                                <w:rPr>
                                  <w:rStyle w:val="26"/>
                                </w:rPr>
                                <w:fldChar w:fldCharType="separate"/>
                              </w:r>
                              <w:r>
                                <w:rPr>
                                  <w:rStyle w:val="26"/>
                                </w:rPr>
                                <w:t>1</w:t>
                              </w:r>
                              <w:r>
                                <w:rPr>
                                  <w:rStyle w:val="26"/>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sdt>
                    <w:sdtPr>
                      <w:rPr>
                        <w:rStyle w:val="26"/>
                      </w:rPr>
                      <w:id w:val="147481315"/>
                    </w:sdtPr>
                    <w:sdtEndPr>
                      <w:rPr>
                        <w:rStyle w:val="26"/>
                      </w:rPr>
                    </w:sdtEndPr>
                    <w:sdtContent>
                      <w:p w14:paraId="6A650601">
                        <w:pPr>
                          <w:pStyle w:val="12"/>
                          <w:rPr>
                            <w:rStyle w:val="26"/>
                            <w:rFonts w:hint="eastAsia"/>
                          </w:rPr>
                        </w:pPr>
                        <w:r>
                          <w:rPr>
                            <w:rStyle w:val="26"/>
                          </w:rPr>
                          <w:fldChar w:fldCharType="begin"/>
                        </w:r>
                        <w:r>
                          <w:rPr>
                            <w:rStyle w:val="26"/>
                          </w:rPr>
                          <w:instrText xml:space="preserve"> PAGE </w:instrText>
                        </w:r>
                        <w:r>
                          <w:rPr>
                            <w:rStyle w:val="26"/>
                          </w:rPr>
                          <w:fldChar w:fldCharType="separate"/>
                        </w:r>
                        <w:r>
                          <w:rPr>
                            <w:rStyle w:val="26"/>
                          </w:rPr>
                          <w:t>1</w:t>
                        </w:r>
                        <w:r>
                          <w:rPr>
                            <w:rStyle w:val="26"/>
                          </w:rPr>
                          <w:fldChar w:fldCharType="end"/>
                        </w:r>
                      </w:p>
                    </w:sdtContent>
                  </w:sdt>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11EF0">
    <w:pPr>
      <w:pStyle w:val="12"/>
      <w:ind w:right="360"/>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Style w:val="26"/>
                            </w:rPr>
                            <w:id w:val="147477731"/>
                          </w:sdtPr>
                          <w:sdtEndPr>
                            <w:rPr>
                              <w:rStyle w:val="26"/>
                            </w:rPr>
                          </w:sdtEndPr>
                          <w:sdtContent>
                            <w:p w14:paraId="768FA2CE">
                              <w:pPr>
                                <w:pStyle w:val="12"/>
                                <w:rPr>
                                  <w:rStyle w:val="26"/>
                                  <w:rFonts w:hint="eastAsia"/>
                                </w:rPr>
                              </w:pPr>
                              <w:r>
                                <w:rPr>
                                  <w:rStyle w:val="26"/>
                                </w:rPr>
                                <w:fldChar w:fldCharType="begin"/>
                              </w:r>
                              <w:r>
                                <w:rPr>
                                  <w:rStyle w:val="26"/>
                                </w:rPr>
                                <w:instrText xml:space="preserve"> PAGE </w:instrText>
                              </w:r>
                              <w:r>
                                <w:rPr>
                                  <w:rStyle w:val="26"/>
                                </w:rPr>
                                <w:fldChar w:fldCharType="separate"/>
                              </w:r>
                              <w:r>
                                <w:rPr>
                                  <w:rStyle w:val="26"/>
                                </w:rPr>
                                <w:t>1</w:t>
                              </w:r>
                              <w:r>
                                <w:rPr>
                                  <w:rStyle w:val="26"/>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sdt>
                    <w:sdtPr>
                      <w:rPr>
                        <w:rStyle w:val="26"/>
                      </w:rPr>
                      <w:id w:val="147477731"/>
                    </w:sdtPr>
                    <w:sdtEndPr>
                      <w:rPr>
                        <w:rStyle w:val="26"/>
                      </w:rPr>
                    </w:sdtEndPr>
                    <w:sdtContent>
                      <w:p w14:paraId="768FA2CE">
                        <w:pPr>
                          <w:pStyle w:val="12"/>
                          <w:rPr>
                            <w:rStyle w:val="26"/>
                            <w:rFonts w:hint="eastAsia"/>
                          </w:rPr>
                        </w:pPr>
                        <w:r>
                          <w:rPr>
                            <w:rStyle w:val="26"/>
                          </w:rPr>
                          <w:fldChar w:fldCharType="begin"/>
                        </w:r>
                        <w:r>
                          <w:rPr>
                            <w:rStyle w:val="26"/>
                          </w:rPr>
                          <w:instrText xml:space="preserve"> PAGE </w:instrText>
                        </w:r>
                        <w:r>
                          <w:rPr>
                            <w:rStyle w:val="26"/>
                          </w:rPr>
                          <w:fldChar w:fldCharType="separate"/>
                        </w:r>
                        <w:r>
                          <w:rPr>
                            <w:rStyle w:val="26"/>
                          </w:rPr>
                          <w:t>1</w:t>
                        </w:r>
                        <w:r>
                          <w:rPr>
                            <w:rStyle w:val="26"/>
                          </w:rPr>
                          <w:fldChar w:fldCharType="end"/>
                        </w:r>
                      </w:p>
                    </w:sdtContent>
                  </w:sdt>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F51CE">
    <w:pPr>
      <w:pStyle w:val="12"/>
      <w:ind w:right="360"/>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Style w:val="26"/>
                            </w:rPr>
                            <w:id w:val="147465475"/>
                          </w:sdtPr>
                          <w:sdtEndPr>
                            <w:rPr>
                              <w:rStyle w:val="26"/>
                            </w:rPr>
                          </w:sdtEndPr>
                          <w:sdtContent>
                            <w:p w14:paraId="120D1CCF">
                              <w:pPr>
                                <w:pStyle w:val="12"/>
                                <w:rPr>
                                  <w:rStyle w:val="26"/>
                                  <w:rFonts w:hint="eastAsia"/>
                                </w:rPr>
                              </w:pPr>
                              <w:r>
                                <w:rPr>
                                  <w:rStyle w:val="26"/>
                                </w:rPr>
                                <w:fldChar w:fldCharType="begin"/>
                              </w:r>
                              <w:r>
                                <w:rPr>
                                  <w:rStyle w:val="26"/>
                                </w:rPr>
                                <w:instrText xml:space="preserve"> PAGE </w:instrText>
                              </w:r>
                              <w:r>
                                <w:rPr>
                                  <w:rStyle w:val="26"/>
                                </w:rPr>
                                <w:fldChar w:fldCharType="separate"/>
                              </w:r>
                              <w:r>
                                <w:rPr>
                                  <w:rStyle w:val="26"/>
                                </w:rPr>
                                <w:t>1</w:t>
                              </w:r>
                              <w:r>
                                <w:rPr>
                                  <w:rStyle w:val="26"/>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sdt>
                    <w:sdtPr>
                      <w:rPr>
                        <w:rStyle w:val="26"/>
                      </w:rPr>
                      <w:id w:val="147465475"/>
                    </w:sdtPr>
                    <w:sdtEndPr>
                      <w:rPr>
                        <w:rStyle w:val="26"/>
                      </w:rPr>
                    </w:sdtEndPr>
                    <w:sdtContent>
                      <w:p w14:paraId="120D1CCF">
                        <w:pPr>
                          <w:pStyle w:val="12"/>
                          <w:rPr>
                            <w:rStyle w:val="26"/>
                            <w:rFonts w:hint="eastAsia"/>
                          </w:rPr>
                        </w:pPr>
                        <w:r>
                          <w:rPr>
                            <w:rStyle w:val="26"/>
                          </w:rPr>
                          <w:fldChar w:fldCharType="begin"/>
                        </w:r>
                        <w:r>
                          <w:rPr>
                            <w:rStyle w:val="26"/>
                          </w:rPr>
                          <w:instrText xml:space="preserve"> PAGE </w:instrText>
                        </w:r>
                        <w:r>
                          <w:rPr>
                            <w:rStyle w:val="26"/>
                          </w:rPr>
                          <w:fldChar w:fldCharType="separate"/>
                        </w:r>
                        <w:r>
                          <w:rPr>
                            <w:rStyle w:val="26"/>
                          </w:rPr>
                          <w:t>1</w:t>
                        </w:r>
                        <w:r>
                          <w:rPr>
                            <w:rStyle w:val="26"/>
                          </w:rPr>
                          <w:fldChar w:fldCharType="end"/>
                        </w:r>
                      </w:p>
                    </w:sdtContent>
                  </w:sdt>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5C448">
    <w:pPr>
      <w:pStyle w:val="13"/>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30F72">
    <w:pPr>
      <w:pStyle w:val="13"/>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5396B">
    <w:pPr>
      <w:pStyle w:val="13"/>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00EEAB"/>
    <w:multiLevelType w:val="singleLevel"/>
    <w:tmpl w:val="ED00EEA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0"/>
  <w:bordersDoNotSurroundFooter w:val="0"/>
  <w:hideSpellingErrors/>
  <w:hideGrammatical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FE731D"/>
    <w:rsid w:val="00000229"/>
    <w:rsid w:val="00001C13"/>
    <w:rsid w:val="00003D0A"/>
    <w:rsid w:val="00007CEC"/>
    <w:rsid w:val="000133F4"/>
    <w:rsid w:val="00016D0E"/>
    <w:rsid w:val="0001702B"/>
    <w:rsid w:val="00020FD1"/>
    <w:rsid w:val="0002354F"/>
    <w:rsid w:val="00023668"/>
    <w:rsid w:val="0002442E"/>
    <w:rsid w:val="000246A3"/>
    <w:rsid w:val="00024D7F"/>
    <w:rsid w:val="0002563E"/>
    <w:rsid w:val="00025AB6"/>
    <w:rsid w:val="00032F8B"/>
    <w:rsid w:val="00040FDE"/>
    <w:rsid w:val="00041BFA"/>
    <w:rsid w:val="00044395"/>
    <w:rsid w:val="00046AF7"/>
    <w:rsid w:val="000473CD"/>
    <w:rsid w:val="000479E3"/>
    <w:rsid w:val="000502A9"/>
    <w:rsid w:val="00050EDF"/>
    <w:rsid w:val="00055C63"/>
    <w:rsid w:val="00055FCE"/>
    <w:rsid w:val="000575A4"/>
    <w:rsid w:val="00065E05"/>
    <w:rsid w:val="00072E21"/>
    <w:rsid w:val="000736EF"/>
    <w:rsid w:val="00073F55"/>
    <w:rsid w:val="000743D8"/>
    <w:rsid w:val="0007490E"/>
    <w:rsid w:val="00074D44"/>
    <w:rsid w:val="00074E42"/>
    <w:rsid w:val="0007588D"/>
    <w:rsid w:val="0007605B"/>
    <w:rsid w:val="000762C9"/>
    <w:rsid w:val="00077202"/>
    <w:rsid w:val="0008015C"/>
    <w:rsid w:val="000821B6"/>
    <w:rsid w:val="00083D37"/>
    <w:rsid w:val="00083E3E"/>
    <w:rsid w:val="00084A21"/>
    <w:rsid w:val="00086636"/>
    <w:rsid w:val="000867E1"/>
    <w:rsid w:val="00090B18"/>
    <w:rsid w:val="00091030"/>
    <w:rsid w:val="00091430"/>
    <w:rsid w:val="00091D11"/>
    <w:rsid w:val="0009333F"/>
    <w:rsid w:val="000979E6"/>
    <w:rsid w:val="00097A5C"/>
    <w:rsid w:val="000A1D6F"/>
    <w:rsid w:val="000A229B"/>
    <w:rsid w:val="000A3534"/>
    <w:rsid w:val="000A6F13"/>
    <w:rsid w:val="000B3BA1"/>
    <w:rsid w:val="000B3E5C"/>
    <w:rsid w:val="000B7482"/>
    <w:rsid w:val="000C0479"/>
    <w:rsid w:val="000C0991"/>
    <w:rsid w:val="000C142A"/>
    <w:rsid w:val="000C5BFB"/>
    <w:rsid w:val="000C5D3A"/>
    <w:rsid w:val="000C77DB"/>
    <w:rsid w:val="000D102F"/>
    <w:rsid w:val="000D12F1"/>
    <w:rsid w:val="000D151F"/>
    <w:rsid w:val="000D2699"/>
    <w:rsid w:val="000D2D41"/>
    <w:rsid w:val="000D2F81"/>
    <w:rsid w:val="000D6D78"/>
    <w:rsid w:val="000D722E"/>
    <w:rsid w:val="000D77FE"/>
    <w:rsid w:val="000D7AFE"/>
    <w:rsid w:val="000D7C2E"/>
    <w:rsid w:val="000E265C"/>
    <w:rsid w:val="000E40D0"/>
    <w:rsid w:val="000E44AB"/>
    <w:rsid w:val="000E5B56"/>
    <w:rsid w:val="000F1D1C"/>
    <w:rsid w:val="000F3BE8"/>
    <w:rsid w:val="000F4AFA"/>
    <w:rsid w:val="000F66FE"/>
    <w:rsid w:val="000F6843"/>
    <w:rsid w:val="00100482"/>
    <w:rsid w:val="001012A2"/>
    <w:rsid w:val="0010235B"/>
    <w:rsid w:val="00104D9E"/>
    <w:rsid w:val="00105405"/>
    <w:rsid w:val="00105C01"/>
    <w:rsid w:val="0010655E"/>
    <w:rsid w:val="00106868"/>
    <w:rsid w:val="00106C26"/>
    <w:rsid w:val="0010711A"/>
    <w:rsid w:val="001079F8"/>
    <w:rsid w:val="00111F59"/>
    <w:rsid w:val="001143D7"/>
    <w:rsid w:val="00116FC8"/>
    <w:rsid w:val="0012248A"/>
    <w:rsid w:val="00123072"/>
    <w:rsid w:val="001237E4"/>
    <w:rsid w:val="00123A75"/>
    <w:rsid w:val="00123B30"/>
    <w:rsid w:val="00125C11"/>
    <w:rsid w:val="00125FA6"/>
    <w:rsid w:val="001267DF"/>
    <w:rsid w:val="00126981"/>
    <w:rsid w:val="00130777"/>
    <w:rsid w:val="00130BA8"/>
    <w:rsid w:val="00130DDC"/>
    <w:rsid w:val="001336EA"/>
    <w:rsid w:val="0013464C"/>
    <w:rsid w:val="00136CA0"/>
    <w:rsid w:val="00140480"/>
    <w:rsid w:val="001411D7"/>
    <w:rsid w:val="00141539"/>
    <w:rsid w:val="00144A7E"/>
    <w:rsid w:val="00145553"/>
    <w:rsid w:val="00145627"/>
    <w:rsid w:val="00145C82"/>
    <w:rsid w:val="001466EA"/>
    <w:rsid w:val="00146F1D"/>
    <w:rsid w:val="00152050"/>
    <w:rsid w:val="00154C8C"/>
    <w:rsid w:val="00155105"/>
    <w:rsid w:val="00155967"/>
    <w:rsid w:val="00155A68"/>
    <w:rsid w:val="0015688C"/>
    <w:rsid w:val="0016079E"/>
    <w:rsid w:val="001640EF"/>
    <w:rsid w:val="001650A8"/>
    <w:rsid w:val="00166603"/>
    <w:rsid w:val="00170021"/>
    <w:rsid w:val="00170066"/>
    <w:rsid w:val="00170D60"/>
    <w:rsid w:val="00176CE9"/>
    <w:rsid w:val="0017772E"/>
    <w:rsid w:val="00186DA4"/>
    <w:rsid w:val="001872A6"/>
    <w:rsid w:val="00190A75"/>
    <w:rsid w:val="00193704"/>
    <w:rsid w:val="0019387C"/>
    <w:rsid w:val="001945E9"/>
    <w:rsid w:val="001948E2"/>
    <w:rsid w:val="00194EF4"/>
    <w:rsid w:val="00195ABF"/>
    <w:rsid w:val="001966D8"/>
    <w:rsid w:val="001A1332"/>
    <w:rsid w:val="001A16EF"/>
    <w:rsid w:val="001A1CE1"/>
    <w:rsid w:val="001A36E3"/>
    <w:rsid w:val="001A4D80"/>
    <w:rsid w:val="001A5AFE"/>
    <w:rsid w:val="001B1084"/>
    <w:rsid w:val="001B19BD"/>
    <w:rsid w:val="001B24F0"/>
    <w:rsid w:val="001B4839"/>
    <w:rsid w:val="001C1B20"/>
    <w:rsid w:val="001C239C"/>
    <w:rsid w:val="001C3268"/>
    <w:rsid w:val="001C349D"/>
    <w:rsid w:val="001C3AAB"/>
    <w:rsid w:val="001C659D"/>
    <w:rsid w:val="001D4556"/>
    <w:rsid w:val="001D4B84"/>
    <w:rsid w:val="001D5010"/>
    <w:rsid w:val="001D5338"/>
    <w:rsid w:val="001D5460"/>
    <w:rsid w:val="001D55A8"/>
    <w:rsid w:val="001D5AA2"/>
    <w:rsid w:val="001D5EB6"/>
    <w:rsid w:val="001E04E6"/>
    <w:rsid w:val="001E2C11"/>
    <w:rsid w:val="001E3845"/>
    <w:rsid w:val="001E6D98"/>
    <w:rsid w:val="001E7E93"/>
    <w:rsid w:val="001F15AB"/>
    <w:rsid w:val="001F3AB3"/>
    <w:rsid w:val="001F4247"/>
    <w:rsid w:val="001F7329"/>
    <w:rsid w:val="001F7672"/>
    <w:rsid w:val="0020066A"/>
    <w:rsid w:val="00201904"/>
    <w:rsid w:val="00201B67"/>
    <w:rsid w:val="00202EE4"/>
    <w:rsid w:val="00204BB5"/>
    <w:rsid w:val="00204CE4"/>
    <w:rsid w:val="002105AC"/>
    <w:rsid w:val="00210923"/>
    <w:rsid w:val="002130CF"/>
    <w:rsid w:val="00213E8A"/>
    <w:rsid w:val="00214DFD"/>
    <w:rsid w:val="00215BB2"/>
    <w:rsid w:val="00215C13"/>
    <w:rsid w:val="00216300"/>
    <w:rsid w:val="00217F42"/>
    <w:rsid w:val="002201F9"/>
    <w:rsid w:val="00222E7C"/>
    <w:rsid w:val="00224DEE"/>
    <w:rsid w:val="002252FE"/>
    <w:rsid w:val="00225985"/>
    <w:rsid w:val="0022611C"/>
    <w:rsid w:val="002264AE"/>
    <w:rsid w:val="00231B01"/>
    <w:rsid w:val="00232F8D"/>
    <w:rsid w:val="00233B46"/>
    <w:rsid w:val="00234CE9"/>
    <w:rsid w:val="00235844"/>
    <w:rsid w:val="00235C0A"/>
    <w:rsid w:val="002432C2"/>
    <w:rsid w:val="0024457A"/>
    <w:rsid w:val="00245033"/>
    <w:rsid w:val="0024506B"/>
    <w:rsid w:val="00246346"/>
    <w:rsid w:val="00247098"/>
    <w:rsid w:val="00252692"/>
    <w:rsid w:val="00256224"/>
    <w:rsid w:val="00262E02"/>
    <w:rsid w:val="002667FD"/>
    <w:rsid w:val="00266B8B"/>
    <w:rsid w:val="00266BC8"/>
    <w:rsid w:val="00267765"/>
    <w:rsid w:val="002707CD"/>
    <w:rsid w:val="00273534"/>
    <w:rsid w:val="00274662"/>
    <w:rsid w:val="0027723B"/>
    <w:rsid w:val="0028181C"/>
    <w:rsid w:val="00282A20"/>
    <w:rsid w:val="00283600"/>
    <w:rsid w:val="0028485E"/>
    <w:rsid w:val="00287577"/>
    <w:rsid w:val="00296397"/>
    <w:rsid w:val="00296460"/>
    <w:rsid w:val="002A09FF"/>
    <w:rsid w:val="002A475F"/>
    <w:rsid w:val="002A6940"/>
    <w:rsid w:val="002A7DA6"/>
    <w:rsid w:val="002B141E"/>
    <w:rsid w:val="002B1EDC"/>
    <w:rsid w:val="002B2A81"/>
    <w:rsid w:val="002B443F"/>
    <w:rsid w:val="002B5E83"/>
    <w:rsid w:val="002B6414"/>
    <w:rsid w:val="002B7BB5"/>
    <w:rsid w:val="002C0C40"/>
    <w:rsid w:val="002C3358"/>
    <w:rsid w:val="002C46FC"/>
    <w:rsid w:val="002C5B84"/>
    <w:rsid w:val="002D1843"/>
    <w:rsid w:val="002D20BA"/>
    <w:rsid w:val="002D44A0"/>
    <w:rsid w:val="002D79E4"/>
    <w:rsid w:val="002E04D1"/>
    <w:rsid w:val="002E49EB"/>
    <w:rsid w:val="002E50FE"/>
    <w:rsid w:val="002F394E"/>
    <w:rsid w:val="002F52C5"/>
    <w:rsid w:val="002F5FBE"/>
    <w:rsid w:val="002F7435"/>
    <w:rsid w:val="003034A3"/>
    <w:rsid w:val="00305688"/>
    <w:rsid w:val="00306061"/>
    <w:rsid w:val="00306EE7"/>
    <w:rsid w:val="00310C05"/>
    <w:rsid w:val="0031204C"/>
    <w:rsid w:val="00312C27"/>
    <w:rsid w:val="00313738"/>
    <w:rsid w:val="0031594C"/>
    <w:rsid w:val="0031595B"/>
    <w:rsid w:val="00317C72"/>
    <w:rsid w:val="003203D1"/>
    <w:rsid w:val="00323674"/>
    <w:rsid w:val="00323CF0"/>
    <w:rsid w:val="00326B68"/>
    <w:rsid w:val="00326BC4"/>
    <w:rsid w:val="00327395"/>
    <w:rsid w:val="00327F33"/>
    <w:rsid w:val="003304D9"/>
    <w:rsid w:val="00332224"/>
    <w:rsid w:val="003324A2"/>
    <w:rsid w:val="00334B9D"/>
    <w:rsid w:val="00336E0A"/>
    <w:rsid w:val="0034240A"/>
    <w:rsid w:val="00344CB3"/>
    <w:rsid w:val="003455E5"/>
    <w:rsid w:val="00345C3F"/>
    <w:rsid w:val="0034733C"/>
    <w:rsid w:val="00351EA8"/>
    <w:rsid w:val="00352511"/>
    <w:rsid w:val="00352A1A"/>
    <w:rsid w:val="0035380A"/>
    <w:rsid w:val="00355E2C"/>
    <w:rsid w:val="003572D9"/>
    <w:rsid w:val="00363892"/>
    <w:rsid w:val="00364AA0"/>
    <w:rsid w:val="00365829"/>
    <w:rsid w:val="00366EB5"/>
    <w:rsid w:val="0037146D"/>
    <w:rsid w:val="003716C9"/>
    <w:rsid w:val="00372FAC"/>
    <w:rsid w:val="00374EC3"/>
    <w:rsid w:val="0038537A"/>
    <w:rsid w:val="003863E5"/>
    <w:rsid w:val="003877F0"/>
    <w:rsid w:val="00387C3F"/>
    <w:rsid w:val="0039291D"/>
    <w:rsid w:val="00397A73"/>
    <w:rsid w:val="003A02B9"/>
    <w:rsid w:val="003A14C4"/>
    <w:rsid w:val="003A201A"/>
    <w:rsid w:val="003A31D5"/>
    <w:rsid w:val="003A475A"/>
    <w:rsid w:val="003A4E17"/>
    <w:rsid w:val="003A5059"/>
    <w:rsid w:val="003A6A35"/>
    <w:rsid w:val="003B061F"/>
    <w:rsid w:val="003B1685"/>
    <w:rsid w:val="003B34D8"/>
    <w:rsid w:val="003B44FA"/>
    <w:rsid w:val="003B4FB8"/>
    <w:rsid w:val="003B612A"/>
    <w:rsid w:val="003C5D4F"/>
    <w:rsid w:val="003D2575"/>
    <w:rsid w:val="003D446C"/>
    <w:rsid w:val="003D4571"/>
    <w:rsid w:val="003D55F4"/>
    <w:rsid w:val="003E0ADF"/>
    <w:rsid w:val="003E1336"/>
    <w:rsid w:val="003E1AB4"/>
    <w:rsid w:val="003E31C0"/>
    <w:rsid w:val="003E3934"/>
    <w:rsid w:val="003E3CB9"/>
    <w:rsid w:val="003E3F28"/>
    <w:rsid w:val="003E4739"/>
    <w:rsid w:val="003E6326"/>
    <w:rsid w:val="003F2A3D"/>
    <w:rsid w:val="003F33F2"/>
    <w:rsid w:val="003F45F7"/>
    <w:rsid w:val="00400C74"/>
    <w:rsid w:val="00401267"/>
    <w:rsid w:val="00401EE6"/>
    <w:rsid w:val="004024F4"/>
    <w:rsid w:val="00403F97"/>
    <w:rsid w:val="00404568"/>
    <w:rsid w:val="00404D87"/>
    <w:rsid w:val="00410CEF"/>
    <w:rsid w:val="00414986"/>
    <w:rsid w:val="00415918"/>
    <w:rsid w:val="004160D8"/>
    <w:rsid w:val="0041721C"/>
    <w:rsid w:val="00421FA8"/>
    <w:rsid w:val="00423B78"/>
    <w:rsid w:val="004241BE"/>
    <w:rsid w:val="004242FC"/>
    <w:rsid w:val="004316D3"/>
    <w:rsid w:val="004342B8"/>
    <w:rsid w:val="004356BB"/>
    <w:rsid w:val="0043682B"/>
    <w:rsid w:val="00441CF4"/>
    <w:rsid w:val="00443A5C"/>
    <w:rsid w:val="00443E84"/>
    <w:rsid w:val="00446284"/>
    <w:rsid w:val="00446D96"/>
    <w:rsid w:val="00450BE7"/>
    <w:rsid w:val="0045134E"/>
    <w:rsid w:val="00451EA0"/>
    <w:rsid w:val="004545BA"/>
    <w:rsid w:val="00461428"/>
    <w:rsid w:val="00462D42"/>
    <w:rsid w:val="004646F8"/>
    <w:rsid w:val="00465501"/>
    <w:rsid w:val="00467738"/>
    <w:rsid w:val="004703CB"/>
    <w:rsid w:val="0047074B"/>
    <w:rsid w:val="00470886"/>
    <w:rsid w:val="00471479"/>
    <w:rsid w:val="00474691"/>
    <w:rsid w:val="00476504"/>
    <w:rsid w:val="00480C6E"/>
    <w:rsid w:val="004834E8"/>
    <w:rsid w:val="00483BEC"/>
    <w:rsid w:val="00483EC6"/>
    <w:rsid w:val="00484BAD"/>
    <w:rsid w:val="00487429"/>
    <w:rsid w:val="00491059"/>
    <w:rsid w:val="0049310D"/>
    <w:rsid w:val="004946CB"/>
    <w:rsid w:val="00495165"/>
    <w:rsid w:val="004A07DD"/>
    <w:rsid w:val="004A0E92"/>
    <w:rsid w:val="004A2499"/>
    <w:rsid w:val="004A2DC6"/>
    <w:rsid w:val="004A3EAC"/>
    <w:rsid w:val="004A5613"/>
    <w:rsid w:val="004A726E"/>
    <w:rsid w:val="004B0489"/>
    <w:rsid w:val="004B122D"/>
    <w:rsid w:val="004B1B9B"/>
    <w:rsid w:val="004B28F8"/>
    <w:rsid w:val="004B33B4"/>
    <w:rsid w:val="004B3E57"/>
    <w:rsid w:val="004B4B9D"/>
    <w:rsid w:val="004C03C0"/>
    <w:rsid w:val="004C0E99"/>
    <w:rsid w:val="004C16C7"/>
    <w:rsid w:val="004C1D05"/>
    <w:rsid w:val="004C45A4"/>
    <w:rsid w:val="004C74E4"/>
    <w:rsid w:val="004D1D16"/>
    <w:rsid w:val="004D2699"/>
    <w:rsid w:val="004D5DE5"/>
    <w:rsid w:val="004D61AC"/>
    <w:rsid w:val="004D6BB4"/>
    <w:rsid w:val="004D6C68"/>
    <w:rsid w:val="004D7FB6"/>
    <w:rsid w:val="004E1425"/>
    <w:rsid w:val="004E37D8"/>
    <w:rsid w:val="004E4A48"/>
    <w:rsid w:val="004E6198"/>
    <w:rsid w:val="004E69A8"/>
    <w:rsid w:val="004E6C37"/>
    <w:rsid w:val="004E7BDB"/>
    <w:rsid w:val="004F1034"/>
    <w:rsid w:val="004F26F0"/>
    <w:rsid w:val="004F3E36"/>
    <w:rsid w:val="004F3F07"/>
    <w:rsid w:val="004F4F5B"/>
    <w:rsid w:val="004F52A2"/>
    <w:rsid w:val="004F546B"/>
    <w:rsid w:val="004F6A10"/>
    <w:rsid w:val="004F6C0F"/>
    <w:rsid w:val="005027CD"/>
    <w:rsid w:val="00503C12"/>
    <w:rsid w:val="00507218"/>
    <w:rsid w:val="0050743C"/>
    <w:rsid w:val="00510148"/>
    <w:rsid w:val="00510F64"/>
    <w:rsid w:val="00511624"/>
    <w:rsid w:val="00511DAE"/>
    <w:rsid w:val="0051568E"/>
    <w:rsid w:val="00520701"/>
    <w:rsid w:val="0052404A"/>
    <w:rsid w:val="00524B2D"/>
    <w:rsid w:val="00527BA6"/>
    <w:rsid w:val="00531FB3"/>
    <w:rsid w:val="00532568"/>
    <w:rsid w:val="005332C5"/>
    <w:rsid w:val="005338BC"/>
    <w:rsid w:val="00534561"/>
    <w:rsid w:val="005417CC"/>
    <w:rsid w:val="0054260B"/>
    <w:rsid w:val="0054292B"/>
    <w:rsid w:val="00543A3C"/>
    <w:rsid w:val="005476EE"/>
    <w:rsid w:val="00550080"/>
    <w:rsid w:val="00550409"/>
    <w:rsid w:val="00551791"/>
    <w:rsid w:val="00552DE0"/>
    <w:rsid w:val="005534A7"/>
    <w:rsid w:val="0055438E"/>
    <w:rsid w:val="00554433"/>
    <w:rsid w:val="00554755"/>
    <w:rsid w:val="00554F0D"/>
    <w:rsid w:val="00557FE3"/>
    <w:rsid w:val="00561F06"/>
    <w:rsid w:val="00563341"/>
    <w:rsid w:val="00563B9E"/>
    <w:rsid w:val="005654CF"/>
    <w:rsid w:val="0057054B"/>
    <w:rsid w:val="0057213E"/>
    <w:rsid w:val="005726E0"/>
    <w:rsid w:val="005773CD"/>
    <w:rsid w:val="00581794"/>
    <w:rsid w:val="005825A7"/>
    <w:rsid w:val="00585376"/>
    <w:rsid w:val="00585E84"/>
    <w:rsid w:val="00586CB1"/>
    <w:rsid w:val="005878F9"/>
    <w:rsid w:val="00591EAA"/>
    <w:rsid w:val="00592DF7"/>
    <w:rsid w:val="00593810"/>
    <w:rsid w:val="00593A72"/>
    <w:rsid w:val="00595F5B"/>
    <w:rsid w:val="005A2FD6"/>
    <w:rsid w:val="005A3CF3"/>
    <w:rsid w:val="005A537D"/>
    <w:rsid w:val="005B1278"/>
    <w:rsid w:val="005B1796"/>
    <w:rsid w:val="005B2860"/>
    <w:rsid w:val="005B621E"/>
    <w:rsid w:val="005C152C"/>
    <w:rsid w:val="005C2423"/>
    <w:rsid w:val="005C2C6A"/>
    <w:rsid w:val="005C562C"/>
    <w:rsid w:val="005C57F2"/>
    <w:rsid w:val="005C7C60"/>
    <w:rsid w:val="005D2C17"/>
    <w:rsid w:val="005D2FF1"/>
    <w:rsid w:val="005D4B8A"/>
    <w:rsid w:val="005D63B1"/>
    <w:rsid w:val="005D6545"/>
    <w:rsid w:val="005E1E19"/>
    <w:rsid w:val="005E1ED6"/>
    <w:rsid w:val="005E279D"/>
    <w:rsid w:val="005E29DB"/>
    <w:rsid w:val="005E38C0"/>
    <w:rsid w:val="005E4B9A"/>
    <w:rsid w:val="005E5C21"/>
    <w:rsid w:val="005F122D"/>
    <w:rsid w:val="005F4287"/>
    <w:rsid w:val="005F5BC8"/>
    <w:rsid w:val="006003ED"/>
    <w:rsid w:val="006018B5"/>
    <w:rsid w:val="00601E21"/>
    <w:rsid w:val="0060203C"/>
    <w:rsid w:val="00602087"/>
    <w:rsid w:val="00607058"/>
    <w:rsid w:val="006070CD"/>
    <w:rsid w:val="00607865"/>
    <w:rsid w:val="00612DA0"/>
    <w:rsid w:val="00613EC1"/>
    <w:rsid w:val="00614CED"/>
    <w:rsid w:val="00616C85"/>
    <w:rsid w:val="00620592"/>
    <w:rsid w:val="006209C2"/>
    <w:rsid w:val="00622272"/>
    <w:rsid w:val="0062462B"/>
    <w:rsid w:val="006273C4"/>
    <w:rsid w:val="006273D8"/>
    <w:rsid w:val="006332B8"/>
    <w:rsid w:val="00634847"/>
    <w:rsid w:val="006374F2"/>
    <w:rsid w:val="006376E5"/>
    <w:rsid w:val="00640FD5"/>
    <w:rsid w:val="00643E6D"/>
    <w:rsid w:val="00645E28"/>
    <w:rsid w:val="006539FD"/>
    <w:rsid w:val="00654012"/>
    <w:rsid w:val="006543A1"/>
    <w:rsid w:val="00654B3E"/>
    <w:rsid w:val="00657BC8"/>
    <w:rsid w:val="0066068A"/>
    <w:rsid w:val="00660E86"/>
    <w:rsid w:val="00661115"/>
    <w:rsid w:val="00662F40"/>
    <w:rsid w:val="006634EF"/>
    <w:rsid w:val="00666876"/>
    <w:rsid w:val="00670299"/>
    <w:rsid w:val="00671992"/>
    <w:rsid w:val="00671D23"/>
    <w:rsid w:val="00672BA7"/>
    <w:rsid w:val="00672CBD"/>
    <w:rsid w:val="00674BB6"/>
    <w:rsid w:val="00680795"/>
    <w:rsid w:val="006834F0"/>
    <w:rsid w:val="00692146"/>
    <w:rsid w:val="0069473F"/>
    <w:rsid w:val="00694C62"/>
    <w:rsid w:val="00695098"/>
    <w:rsid w:val="00695C4F"/>
    <w:rsid w:val="0069615C"/>
    <w:rsid w:val="00696DF8"/>
    <w:rsid w:val="006A0488"/>
    <w:rsid w:val="006A0968"/>
    <w:rsid w:val="006A0B4E"/>
    <w:rsid w:val="006A1006"/>
    <w:rsid w:val="006A2F8D"/>
    <w:rsid w:val="006A33DA"/>
    <w:rsid w:val="006A3A74"/>
    <w:rsid w:val="006A4E55"/>
    <w:rsid w:val="006A5FB0"/>
    <w:rsid w:val="006A6609"/>
    <w:rsid w:val="006A71D2"/>
    <w:rsid w:val="006B0155"/>
    <w:rsid w:val="006B2248"/>
    <w:rsid w:val="006B2793"/>
    <w:rsid w:val="006B5614"/>
    <w:rsid w:val="006B6CDA"/>
    <w:rsid w:val="006B78EE"/>
    <w:rsid w:val="006C3322"/>
    <w:rsid w:val="006C4D5E"/>
    <w:rsid w:val="006C7711"/>
    <w:rsid w:val="006D458A"/>
    <w:rsid w:val="006D5628"/>
    <w:rsid w:val="006D714E"/>
    <w:rsid w:val="006E187A"/>
    <w:rsid w:val="006F0EBD"/>
    <w:rsid w:val="006F1154"/>
    <w:rsid w:val="006F1296"/>
    <w:rsid w:val="006F2D1C"/>
    <w:rsid w:val="006F5D80"/>
    <w:rsid w:val="006F6D04"/>
    <w:rsid w:val="00701F95"/>
    <w:rsid w:val="00702CC6"/>
    <w:rsid w:val="00703169"/>
    <w:rsid w:val="00704562"/>
    <w:rsid w:val="0070798C"/>
    <w:rsid w:val="007118D6"/>
    <w:rsid w:val="00712F44"/>
    <w:rsid w:val="00713173"/>
    <w:rsid w:val="00714FCC"/>
    <w:rsid w:val="00715BF0"/>
    <w:rsid w:val="00716329"/>
    <w:rsid w:val="00717085"/>
    <w:rsid w:val="007170BF"/>
    <w:rsid w:val="00720A99"/>
    <w:rsid w:val="00722A0E"/>
    <w:rsid w:val="00723D3A"/>
    <w:rsid w:val="00723F0A"/>
    <w:rsid w:val="007242EC"/>
    <w:rsid w:val="00725D5B"/>
    <w:rsid w:val="007264D2"/>
    <w:rsid w:val="0072732E"/>
    <w:rsid w:val="007300B4"/>
    <w:rsid w:val="00731A38"/>
    <w:rsid w:val="00732178"/>
    <w:rsid w:val="007337A3"/>
    <w:rsid w:val="00737242"/>
    <w:rsid w:val="007412FF"/>
    <w:rsid w:val="0074301D"/>
    <w:rsid w:val="00745722"/>
    <w:rsid w:val="00746132"/>
    <w:rsid w:val="00747469"/>
    <w:rsid w:val="00750CF5"/>
    <w:rsid w:val="00756E72"/>
    <w:rsid w:val="0076011B"/>
    <w:rsid w:val="00763576"/>
    <w:rsid w:val="00763F1F"/>
    <w:rsid w:val="007652EA"/>
    <w:rsid w:val="0076745F"/>
    <w:rsid w:val="00770606"/>
    <w:rsid w:val="007710E1"/>
    <w:rsid w:val="00772144"/>
    <w:rsid w:val="007749E5"/>
    <w:rsid w:val="00774F7D"/>
    <w:rsid w:val="007752EE"/>
    <w:rsid w:val="0077715C"/>
    <w:rsid w:val="0077779D"/>
    <w:rsid w:val="00782248"/>
    <w:rsid w:val="00784F31"/>
    <w:rsid w:val="00785F3E"/>
    <w:rsid w:val="007900F8"/>
    <w:rsid w:val="00791B47"/>
    <w:rsid w:val="00793EAD"/>
    <w:rsid w:val="00794D27"/>
    <w:rsid w:val="007A11B2"/>
    <w:rsid w:val="007A1279"/>
    <w:rsid w:val="007A13B9"/>
    <w:rsid w:val="007A1C7D"/>
    <w:rsid w:val="007A285D"/>
    <w:rsid w:val="007A40D5"/>
    <w:rsid w:val="007A53D4"/>
    <w:rsid w:val="007B2A6E"/>
    <w:rsid w:val="007B4AFB"/>
    <w:rsid w:val="007B73E7"/>
    <w:rsid w:val="007C04D7"/>
    <w:rsid w:val="007C0959"/>
    <w:rsid w:val="007C108D"/>
    <w:rsid w:val="007C11C7"/>
    <w:rsid w:val="007C1771"/>
    <w:rsid w:val="007C254B"/>
    <w:rsid w:val="007C289F"/>
    <w:rsid w:val="007C5D29"/>
    <w:rsid w:val="007D3ED5"/>
    <w:rsid w:val="007D5364"/>
    <w:rsid w:val="007D5C11"/>
    <w:rsid w:val="007D77AD"/>
    <w:rsid w:val="007D7820"/>
    <w:rsid w:val="007D7A0F"/>
    <w:rsid w:val="007E020F"/>
    <w:rsid w:val="007E39EC"/>
    <w:rsid w:val="007E4BB4"/>
    <w:rsid w:val="007E5311"/>
    <w:rsid w:val="007E5A4A"/>
    <w:rsid w:val="007E63D8"/>
    <w:rsid w:val="007F03A0"/>
    <w:rsid w:val="007F17AF"/>
    <w:rsid w:val="007F2053"/>
    <w:rsid w:val="007F338D"/>
    <w:rsid w:val="007F3D34"/>
    <w:rsid w:val="007F6D0E"/>
    <w:rsid w:val="00800572"/>
    <w:rsid w:val="0080126E"/>
    <w:rsid w:val="00802311"/>
    <w:rsid w:val="00805C68"/>
    <w:rsid w:val="00810C14"/>
    <w:rsid w:val="008128E4"/>
    <w:rsid w:val="00820037"/>
    <w:rsid w:val="008205FF"/>
    <w:rsid w:val="00820C7B"/>
    <w:rsid w:val="008220ED"/>
    <w:rsid w:val="00822CC8"/>
    <w:rsid w:val="00824128"/>
    <w:rsid w:val="00824F72"/>
    <w:rsid w:val="00826B2F"/>
    <w:rsid w:val="00830764"/>
    <w:rsid w:val="00830C12"/>
    <w:rsid w:val="00831792"/>
    <w:rsid w:val="00832131"/>
    <w:rsid w:val="0083329E"/>
    <w:rsid w:val="00833343"/>
    <w:rsid w:val="00834BCE"/>
    <w:rsid w:val="0083713F"/>
    <w:rsid w:val="00837936"/>
    <w:rsid w:val="008419D5"/>
    <w:rsid w:val="00841C38"/>
    <w:rsid w:val="00841F27"/>
    <w:rsid w:val="00844CB7"/>
    <w:rsid w:val="008465EE"/>
    <w:rsid w:val="00850573"/>
    <w:rsid w:val="00852B8A"/>
    <w:rsid w:val="00857BA9"/>
    <w:rsid w:val="00862145"/>
    <w:rsid w:val="008637F1"/>
    <w:rsid w:val="00863B5B"/>
    <w:rsid w:val="00863DB6"/>
    <w:rsid w:val="008658A0"/>
    <w:rsid w:val="00865AD9"/>
    <w:rsid w:val="00866BDB"/>
    <w:rsid w:val="00873B85"/>
    <w:rsid w:val="00873C7F"/>
    <w:rsid w:val="00882D44"/>
    <w:rsid w:val="00883B1A"/>
    <w:rsid w:val="00884B0E"/>
    <w:rsid w:val="008864E4"/>
    <w:rsid w:val="0089117B"/>
    <w:rsid w:val="00893456"/>
    <w:rsid w:val="008934AD"/>
    <w:rsid w:val="00893DDB"/>
    <w:rsid w:val="0089523A"/>
    <w:rsid w:val="00895C44"/>
    <w:rsid w:val="008A29A4"/>
    <w:rsid w:val="008A3372"/>
    <w:rsid w:val="008A365C"/>
    <w:rsid w:val="008A38EA"/>
    <w:rsid w:val="008A4682"/>
    <w:rsid w:val="008A7680"/>
    <w:rsid w:val="008A7B29"/>
    <w:rsid w:val="008B24D5"/>
    <w:rsid w:val="008B2722"/>
    <w:rsid w:val="008B551C"/>
    <w:rsid w:val="008B5F0E"/>
    <w:rsid w:val="008B76D4"/>
    <w:rsid w:val="008C23C6"/>
    <w:rsid w:val="008C47DA"/>
    <w:rsid w:val="008C4E38"/>
    <w:rsid w:val="008C6902"/>
    <w:rsid w:val="008C7429"/>
    <w:rsid w:val="008C7FE1"/>
    <w:rsid w:val="008D58A7"/>
    <w:rsid w:val="008D60FF"/>
    <w:rsid w:val="008D6A8B"/>
    <w:rsid w:val="008E1802"/>
    <w:rsid w:val="008F061C"/>
    <w:rsid w:val="008F198F"/>
    <w:rsid w:val="008F1995"/>
    <w:rsid w:val="008F30D3"/>
    <w:rsid w:val="008F4B28"/>
    <w:rsid w:val="008F598E"/>
    <w:rsid w:val="008F5FAC"/>
    <w:rsid w:val="008F7502"/>
    <w:rsid w:val="0090521F"/>
    <w:rsid w:val="00905F1A"/>
    <w:rsid w:val="009060F7"/>
    <w:rsid w:val="00906800"/>
    <w:rsid w:val="00906F97"/>
    <w:rsid w:val="00911B8B"/>
    <w:rsid w:val="00920454"/>
    <w:rsid w:val="009215CC"/>
    <w:rsid w:val="0092276A"/>
    <w:rsid w:val="0092365C"/>
    <w:rsid w:val="009249F7"/>
    <w:rsid w:val="00925A3A"/>
    <w:rsid w:val="009307C9"/>
    <w:rsid w:val="00933708"/>
    <w:rsid w:val="00933CBE"/>
    <w:rsid w:val="009371B1"/>
    <w:rsid w:val="009423F1"/>
    <w:rsid w:val="0094255B"/>
    <w:rsid w:val="009435E2"/>
    <w:rsid w:val="00944ABB"/>
    <w:rsid w:val="00944E19"/>
    <w:rsid w:val="00944F92"/>
    <w:rsid w:val="009468D9"/>
    <w:rsid w:val="0095396B"/>
    <w:rsid w:val="009545BB"/>
    <w:rsid w:val="0095488A"/>
    <w:rsid w:val="009551E6"/>
    <w:rsid w:val="009563A9"/>
    <w:rsid w:val="00962351"/>
    <w:rsid w:val="00963671"/>
    <w:rsid w:val="00964A41"/>
    <w:rsid w:val="00964B4A"/>
    <w:rsid w:val="00966DDE"/>
    <w:rsid w:val="00970030"/>
    <w:rsid w:val="00971480"/>
    <w:rsid w:val="00971532"/>
    <w:rsid w:val="00972B79"/>
    <w:rsid w:val="00972E32"/>
    <w:rsid w:val="00973A50"/>
    <w:rsid w:val="009745A7"/>
    <w:rsid w:val="009774C6"/>
    <w:rsid w:val="00977E59"/>
    <w:rsid w:val="009800D3"/>
    <w:rsid w:val="00982BFA"/>
    <w:rsid w:val="00982FAE"/>
    <w:rsid w:val="00983F4D"/>
    <w:rsid w:val="00984CE3"/>
    <w:rsid w:val="00986670"/>
    <w:rsid w:val="00986D5A"/>
    <w:rsid w:val="00992AFA"/>
    <w:rsid w:val="00996B1F"/>
    <w:rsid w:val="009A01B4"/>
    <w:rsid w:val="009A0F19"/>
    <w:rsid w:val="009A145F"/>
    <w:rsid w:val="009A27DC"/>
    <w:rsid w:val="009A30F3"/>
    <w:rsid w:val="009A63C4"/>
    <w:rsid w:val="009A65EE"/>
    <w:rsid w:val="009B1FC4"/>
    <w:rsid w:val="009B2180"/>
    <w:rsid w:val="009B26B8"/>
    <w:rsid w:val="009B2CC4"/>
    <w:rsid w:val="009B4A64"/>
    <w:rsid w:val="009C4BA2"/>
    <w:rsid w:val="009C6879"/>
    <w:rsid w:val="009C7438"/>
    <w:rsid w:val="009C744D"/>
    <w:rsid w:val="009D0A4E"/>
    <w:rsid w:val="009D530C"/>
    <w:rsid w:val="009D653A"/>
    <w:rsid w:val="009D69A4"/>
    <w:rsid w:val="009D6E9D"/>
    <w:rsid w:val="009E0747"/>
    <w:rsid w:val="009E176F"/>
    <w:rsid w:val="009E1D4C"/>
    <w:rsid w:val="009E2904"/>
    <w:rsid w:val="009E3ADB"/>
    <w:rsid w:val="009E491D"/>
    <w:rsid w:val="009E7390"/>
    <w:rsid w:val="009F0F6E"/>
    <w:rsid w:val="009F43AA"/>
    <w:rsid w:val="009F754B"/>
    <w:rsid w:val="00A001CD"/>
    <w:rsid w:val="00A023D9"/>
    <w:rsid w:val="00A03142"/>
    <w:rsid w:val="00A04150"/>
    <w:rsid w:val="00A04FE2"/>
    <w:rsid w:val="00A05178"/>
    <w:rsid w:val="00A05316"/>
    <w:rsid w:val="00A0591C"/>
    <w:rsid w:val="00A1017E"/>
    <w:rsid w:val="00A135FD"/>
    <w:rsid w:val="00A13A2B"/>
    <w:rsid w:val="00A14D54"/>
    <w:rsid w:val="00A1571E"/>
    <w:rsid w:val="00A1748F"/>
    <w:rsid w:val="00A20288"/>
    <w:rsid w:val="00A2212E"/>
    <w:rsid w:val="00A231E8"/>
    <w:rsid w:val="00A239A8"/>
    <w:rsid w:val="00A240D5"/>
    <w:rsid w:val="00A255E4"/>
    <w:rsid w:val="00A25DC5"/>
    <w:rsid w:val="00A33649"/>
    <w:rsid w:val="00A374A6"/>
    <w:rsid w:val="00A378CC"/>
    <w:rsid w:val="00A40010"/>
    <w:rsid w:val="00A42594"/>
    <w:rsid w:val="00A44D37"/>
    <w:rsid w:val="00A4517A"/>
    <w:rsid w:val="00A46542"/>
    <w:rsid w:val="00A4736D"/>
    <w:rsid w:val="00A51756"/>
    <w:rsid w:val="00A51882"/>
    <w:rsid w:val="00A5318C"/>
    <w:rsid w:val="00A56926"/>
    <w:rsid w:val="00A56AC6"/>
    <w:rsid w:val="00A56B94"/>
    <w:rsid w:val="00A614A6"/>
    <w:rsid w:val="00A615F5"/>
    <w:rsid w:val="00A617E5"/>
    <w:rsid w:val="00A66336"/>
    <w:rsid w:val="00A66C93"/>
    <w:rsid w:val="00A66FF8"/>
    <w:rsid w:val="00A67595"/>
    <w:rsid w:val="00A67900"/>
    <w:rsid w:val="00A70518"/>
    <w:rsid w:val="00A74AAA"/>
    <w:rsid w:val="00A76223"/>
    <w:rsid w:val="00A76330"/>
    <w:rsid w:val="00A776A6"/>
    <w:rsid w:val="00A8194C"/>
    <w:rsid w:val="00A81E60"/>
    <w:rsid w:val="00A84854"/>
    <w:rsid w:val="00A84E79"/>
    <w:rsid w:val="00A8594B"/>
    <w:rsid w:val="00A8597B"/>
    <w:rsid w:val="00A85FDC"/>
    <w:rsid w:val="00A87E10"/>
    <w:rsid w:val="00A90DDE"/>
    <w:rsid w:val="00A9282C"/>
    <w:rsid w:val="00A92887"/>
    <w:rsid w:val="00A92C10"/>
    <w:rsid w:val="00A93DCF"/>
    <w:rsid w:val="00A96024"/>
    <w:rsid w:val="00A97290"/>
    <w:rsid w:val="00AA176C"/>
    <w:rsid w:val="00AA3C78"/>
    <w:rsid w:val="00AB1013"/>
    <w:rsid w:val="00AB18BD"/>
    <w:rsid w:val="00AB20C6"/>
    <w:rsid w:val="00AB21B3"/>
    <w:rsid w:val="00AB6E3B"/>
    <w:rsid w:val="00AC2130"/>
    <w:rsid w:val="00AC2C35"/>
    <w:rsid w:val="00AC2F59"/>
    <w:rsid w:val="00AC4521"/>
    <w:rsid w:val="00AC4DC1"/>
    <w:rsid w:val="00AC6D20"/>
    <w:rsid w:val="00AD0937"/>
    <w:rsid w:val="00AD26CF"/>
    <w:rsid w:val="00AD33CE"/>
    <w:rsid w:val="00AE189D"/>
    <w:rsid w:val="00AE465C"/>
    <w:rsid w:val="00AE4BE2"/>
    <w:rsid w:val="00AE617A"/>
    <w:rsid w:val="00AE7205"/>
    <w:rsid w:val="00AE73E9"/>
    <w:rsid w:val="00AF0CC7"/>
    <w:rsid w:val="00AF1157"/>
    <w:rsid w:val="00AF255A"/>
    <w:rsid w:val="00AF6191"/>
    <w:rsid w:val="00AF78BC"/>
    <w:rsid w:val="00B03779"/>
    <w:rsid w:val="00B04190"/>
    <w:rsid w:val="00B07AF0"/>
    <w:rsid w:val="00B14398"/>
    <w:rsid w:val="00B169F3"/>
    <w:rsid w:val="00B16E72"/>
    <w:rsid w:val="00B17A4A"/>
    <w:rsid w:val="00B20846"/>
    <w:rsid w:val="00B20FFA"/>
    <w:rsid w:val="00B243B6"/>
    <w:rsid w:val="00B24DA6"/>
    <w:rsid w:val="00B25126"/>
    <w:rsid w:val="00B26AFF"/>
    <w:rsid w:val="00B26CAE"/>
    <w:rsid w:val="00B272A1"/>
    <w:rsid w:val="00B30559"/>
    <w:rsid w:val="00B3125F"/>
    <w:rsid w:val="00B33746"/>
    <w:rsid w:val="00B3573F"/>
    <w:rsid w:val="00B35BD5"/>
    <w:rsid w:val="00B3793D"/>
    <w:rsid w:val="00B4224B"/>
    <w:rsid w:val="00B425C2"/>
    <w:rsid w:val="00B438C2"/>
    <w:rsid w:val="00B43DE4"/>
    <w:rsid w:val="00B43E6E"/>
    <w:rsid w:val="00B448B4"/>
    <w:rsid w:val="00B453FA"/>
    <w:rsid w:val="00B476CF"/>
    <w:rsid w:val="00B545B3"/>
    <w:rsid w:val="00B60333"/>
    <w:rsid w:val="00B60F33"/>
    <w:rsid w:val="00B61B3A"/>
    <w:rsid w:val="00B64727"/>
    <w:rsid w:val="00B652D2"/>
    <w:rsid w:val="00B656B9"/>
    <w:rsid w:val="00B65F8F"/>
    <w:rsid w:val="00B67D04"/>
    <w:rsid w:val="00B70C59"/>
    <w:rsid w:val="00B70F65"/>
    <w:rsid w:val="00B712E8"/>
    <w:rsid w:val="00B7163D"/>
    <w:rsid w:val="00B72DB4"/>
    <w:rsid w:val="00B75ED3"/>
    <w:rsid w:val="00B8190B"/>
    <w:rsid w:val="00B82C0C"/>
    <w:rsid w:val="00B830F8"/>
    <w:rsid w:val="00B84824"/>
    <w:rsid w:val="00B85F1F"/>
    <w:rsid w:val="00B85F4D"/>
    <w:rsid w:val="00B86EAC"/>
    <w:rsid w:val="00B8736C"/>
    <w:rsid w:val="00B87472"/>
    <w:rsid w:val="00B87BC6"/>
    <w:rsid w:val="00B9176A"/>
    <w:rsid w:val="00B94724"/>
    <w:rsid w:val="00B95AC7"/>
    <w:rsid w:val="00B97866"/>
    <w:rsid w:val="00BA3284"/>
    <w:rsid w:val="00BA3990"/>
    <w:rsid w:val="00BA4A07"/>
    <w:rsid w:val="00BA531E"/>
    <w:rsid w:val="00BA79A9"/>
    <w:rsid w:val="00BA7FE9"/>
    <w:rsid w:val="00BB132B"/>
    <w:rsid w:val="00BB2B41"/>
    <w:rsid w:val="00BB2BFA"/>
    <w:rsid w:val="00BB2E21"/>
    <w:rsid w:val="00BB6C22"/>
    <w:rsid w:val="00BB7659"/>
    <w:rsid w:val="00BC1FA0"/>
    <w:rsid w:val="00BC3FE2"/>
    <w:rsid w:val="00BC577C"/>
    <w:rsid w:val="00BC629E"/>
    <w:rsid w:val="00BC6901"/>
    <w:rsid w:val="00BC79D7"/>
    <w:rsid w:val="00BC7CB6"/>
    <w:rsid w:val="00BD14ED"/>
    <w:rsid w:val="00BD3007"/>
    <w:rsid w:val="00BD3394"/>
    <w:rsid w:val="00BD3431"/>
    <w:rsid w:val="00BD3B4B"/>
    <w:rsid w:val="00BD491E"/>
    <w:rsid w:val="00BD6E9F"/>
    <w:rsid w:val="00BE09B2"/>
    <w:rsid w:val="00BE152E"/>
    <w:rsid w:val="00BE558F"/>
    <w:rsid w:val="00BE656D"/>
    <w:rsid w:val="00BE6A04"/>
    <w:rsid w:val="00BE759F"/>
    <w:rsid w:val="00BF1027"/>
    <w:rsid w:val="00BF29C5"/>
    <w:rsid w:val="00BF4700"/>
    <w:rsid w:val="00BF718A"/>
    <w:rsid w:val="00BF7A36"/>
    <w:rsid w:val="00C028A8"/>
    <w:rsid w:val="00C03A92"/>
    <w:rsid w:val="00C045FC"/>
    <w:rsid w:val="00C04D45"/>
    <w:rsid w:val="00C055CB"/>
    <w:rsid w:val="00C05AC2"/>
    <w:rsid w:val="00C06422"/>
    <w:rsid w:val="00C076BD"/>
    <w:rsid w:val="00C07E71"/>
    <w:rsid w:val="00C10884"/>
    <w:rsid w:val="00C140DF"/>
    <w:rsid w:val="00C15735"/>
    <w:rsid w:val="00C16066"/>
    <w:rsid w:val="00C16F65"/>
    <w:rsid w:val="00C22D65"/>
    <w:rsid w:val="00C25022"/>
    <w:rsid w:val="00C25269"/>
    <w:rsid w:val="00C26E10"/>
    <w:rsid w:val="00C26F3C"/>
    <w:rsid w:val="00C277D8"/>
    <w:rsid w:val="00C332CC"/>
    <w:rsid w:val="00C33CD3"/>
    <w:rsid w:val="00C34AC7"/>
    <w:rsid w:val="00C35DD3"/>
    <w:rsid w:val="00C36A88"/>
    <w:rsid w:val="00C4170F"/>
    <w:rsid w:val="00C43874"/>
    <w:rsid w:val="00C45A2F"/>
    <w:rsid w:val="00C45C22"/>
    <w:rsid w:val="00C51585"/>
    <w:rsid w:val="00C5356A"/>
    <w:rsid w:val="00C61EB1"/>
    <w:rsid w:val="00C66DAC"/>
    <w:rsid w:val="00C66F4F"/>
    <w:rsid w:val="00C67577"/>
    <w:rsid w:val="00C70A59"/>
    <w:rsid w:val="00C70DBB"/>
    <w:rsid w:val="00C70FBB"/>
    <w:rsid w:val="00C7166A"/>
    <w:rsid w:val="00C72413"/>
    <w:rsid w:val="00C755F4"/>
    <w:rsid w:val="00C75DCD"/>
    <w:rsid w:val="00C77231"/>
    <w:rsid w:val="00C81171"/>
    <w:rsid w:val="00C81E75"/>
    <w:rsid w:val="00C82F6B"/>
    <w:rsid w:val="00C83675"/>
    <w:rsid w:val="00C83DD9"/>
    <w:rsid w:val="00C85D8D"/>
    <w:rsid w:val="00C92489"/>
    <w:rsid w:val="00C929A1"/>
    <w:rsid w:val="00C93BB6"/>
    <w:rsid w:val="00C96B2C"/>
    <w:rsid w:val="00CA070E"/>
    <w:rsid w:val="00CA113D"/>
    <w:rsid w:val="00CA1AF2"/>
    <w:rsid w:val="00CA2429"/>
    <w:rsid w:val="00CA3CCD"/>
    <w:rsid w:val="00CA5DFF"/>
    <w:rsid w:val="00CA63C2"/>
    <w:rsid w:val="00CA66AD"/>
    <w:rsid w:val="00CB077B"/>
    <w:rsid w:val="00CB6A10"/>
    <w:rsid w:val="00CC0D02"/>
    <w:rsid w:val="00CC2651"/>
    <w:rsid w:val="00CC52D0"/>
    <w:rsid w:val="00CC6607"/>
    <w:rsid w:val="00CC67FE"/>
    <w:rsid w:val="00CC6AEC"/>
    <w:rsid w:val="00CC7C86"/>
    <w:rsid w:val="00CD04E1"/>
    <w:rsid w:val="00CD0AFF"/>
    <w:rsid w:val="00CD0C57"/>
    <w:rsid w:val="00CD1EA0"/>
    <w:rsid w:val="00CD67B8"/>
    <w:rsid w:val="00CD6A8A"/>
    <w:rsid w:val="00CE2410"/>
    <w:rsid w:val="00CE34AC"/>
    <w:rsid w:val="00CE3DE0"/>
    <w:rsid w:val="00CE63AE"/>
    <w:rsid w:val="00CE6E21"/>
    <w:rsid w:val="00CE7A24"/>
    <w:rsid w:val="00CF115E"/>
    <w:rsid w:val="00CF53AB"/>
    <w:rsid w:val="00CF7868"/>
    <w:rsid w:val="00CF7E9A"/>
    <w:rsid w:val="00D05273"/>
    <w:rsid w:val="00D06C86"/>
    <w:rsid w:val="00D109C6"/>
    <w:rsid w:val="00D10C70"/>
    <w:rsid w:val="00D114F3"/>
    <w:rsid w:val="00D169B1"/>
    <w:rsid w:val="00D22E9A"/>
    <w:rsid w:val="00D2389D"/>
    <w:rsid w:val="00D24283"/>
    <w:rsid w:val="00D26BAF"/>
    <w:rsid w:val="00D27F15"/>
    <w:rsid w:val="00D32216"/>
    <w:rsid w:val="00D342FA"/>
    <w:rsid w:val="00D34D35"/>
    <w:rsid w:val="00D3678C"/>
    <w:rsid w:val="00D36DB7"/>
    <w:rsid w:val="00D40D69"/>
    <w:rsid w:val="00D41407"/>
    <w:rsid w:val="00D45651"/>
    <w:rsid w:val="00D458F0"/>
    <w:rsid w:val="00D46F49"/>
    <w:rsid w:val="00D50A30"/>
    <w:rsid w:val="00D52B42"/>
    <w:rsid w:val="00D52BAC"/>
    <w:rsid w:val="00D54257"/>
    <w:rsid w:val="00D6219C"/>
    <w:rsid w:val="00D6528B"/>
    <w:rsid w:val="00D66262"/>
    <w:rsid w:val="00D66965"/>
    <w:rsid w:val="00D66EF5"/>
    <w:rsid w:val="00D67D9D"/>
    <w:rsid w:val="00D7113F"/>
    <w:rsid w:val="00D71B24"/>
    <w:rsid w:val="00D72BF2"/>
    <w:rsid w:val="00D7715B"/>
    <w:rsid w:val="00D80246"/>
    <w:rsid w:val="00D82490"/>
    <w:rsid w:val="00D8361E"/>
    <w:rsid w:val="00D853BB"/>
    <w:rsid w:val="00D91231"/>
    <w:rsid w:val="00D920F4"/>
    <w:rsid w:val="00D92E80"/>
    <w:rsid w:val="00D93522"/>
    <w:rsid w:val="00D9559F"/>
    <w:rsid w:val="00D95C42"/>
    <w:rsid w:val="00D960D0"/>
    <w:rsid w:val="00D97E7A"/>
    <w:rsid w:val="00DA1369"/>
    <w:rsid w:val="00DA5929"/>
    <w:rsid w:val="00DA5AA6"/>
    <w:rsid w:val="00DB06ED"/>
    <w:rsid w:val="00DB0D9D"/>
    <w:rsid w:val="00DB1019"/>
    <w:rsid w:val="00DB734E"/>
    <w:rsid w:val="00DB7395"/>
    <w:rsid w:val="00DB76D1"/>
    <w:rsid w:val="00DB7CF8"/>
    <w:rsid w:val="00DC17C4"/>
    <w:rsid w:val="00DC5383"/>
    <w:rsid w:val="00DC54AA"/>
    <w:rsid w:val="00DC683F"/>
    <w:rsid w:val="00DD0326"/>
    <w:rsid w:val="00DD0497"/>
    <w:rsid w:val="00DD1547"/>
    <w:rsid w:val="00DD1ACB"/>
    <w:rsid w:val="00DD7CB3"/>
    <w:rsid w:val="00DE3DD4"/>
    <w:rsid w:val="00DE3E2F"/>
    <w:rsid w:val="00DE3E7C"/>
    <w:rsid w:val="00DE3F07"/>
    <w:rsid w:val="00DE4D8C"/>
    <w:rsid w:val="00DE6704"/>
    <w:rsid w:val="00DE676B"/>
    <w:rsid w:val="00DE799F"/>
    <w:rsid w:val="00DF03D4"/>
    <w:rsid w:val="00DF0E5C"/>
    <w:rsid w:val="00DF2999"/>
    <w:rsid w:val="00DF3610"/>
    <w:rsid w:val="00DF46D0"/>
    <w:rsid w:val="00DF4D7B"/>
    <w:rsid w:val="00DF5364"/>
    <w:rsid w:val="00DF6A60"/>
    <w:rsid w:val="00DF7082"/>
    <w:rsid w:val="00E00FD5"/>
    <w:rsid w:val="00E04BE6"/>
    <w:rsid w:val="00E0712E"/>
    <w:rsid w:val="00E07E9F"/>
    <w:rsid w:val="00E109A8"/>
    <w:rsid w:val="00E10D6E"/>
    <w:rsid w:val="00E14F69"/>
    <w:rsid w:val="00E15077"/>
    <w:rsid w:val="00E15A1C"/>
    <w:rsid w:val="00E16CFF"/>
    <w:rsid w:val="00E229AD"/>
    <w:rsid w:val="00E255D7"/>
    <w:rsid w:val="00E271D2"/>
    <w:rsid w:val="00E30169"/>
    <w:rsid w:val="00E31B75"/>
    <w:rsid w:val="00E3219C"/>
    <w:rsid w:val="00E32597"/>
    <w:rsid w:val="00E33269"/>
    <w:rsid w:val="00E343CF"/>
    <w:rsid w:val="00E35533"/>
    <w:rsid w:val="00E37607"/>
    <w:rsid w:val="00E37BD1"/>
    <w:rsid w:val="00E37DD9"/>
    <w:rsid w:val="00E400F2"/>
    <w:rsid w:val="00E40409"/>
    <w:rsid w:val="00E40D23"/>
    <w:rsid w:val="00E4144C"/>
    <w:rsid w:val="00E43113"/>
    <w:rsid w:val="00E44374"/>
    <w:rsid w:val="00E50612"/>
    <w:rsid w:val="00E50D02"/>
    <w:rsid w:val="00E50D76"/>
    <w:rsid w:val="00E51AF6"/>
    <w:rsid w:val="00E52183"/>
    <w:rsid w:val="00E52D94"/>
    <w:rsid w:val="00E55414"/>
    <w:rsid w:val="00E5738E"/>
    <w:rsid w:val="00E57C3D"/>
    <w:rsid w:val="00E57CD9"/>
    <w:rsid w:val="00E614F7"/>
    <w:rsid w:val="00E6292A"/>
    <w:rsid w:val="00E6509E"/>
    <w:rsid w:val="00E65B33"/>
    <w:rsid w:val="00E65F17"/>
    <w:rsid w:val="00E7112B"/>
    <w:rsid w:val="00E746DF"/>
    <w:rsid w:val="00E74C08"/>
    <w:rsid w:val="00E800E5"/>
    <w:rsid w:val="00E806FB"/>
    <w:rsid w:val="00E807D5"/>
    <w:rsid w:val="00E80B54"/>
    <w:rsid w:val="00E814BD"/>
    <w:rsid w:val="00E83A2E"/>
    <w:rsid w:val="00E84AE9"/>
    <w:rsid w:val="00E85E7A"/>
    <w:rsid w:val="00E92797"/>
    <w:rsid w:val="00E9679F"/>
    <w:rsid w:val="00E97B63"/>
    <w:rsid w:val="00EA0224"/>
    <w:rsid w:val="00EA0C73"/>
    <w:rsid w:val="00EA4F3B"/>
    <w:rsid w:val="00EA630D"/>
    <w:rsid w:val="00EA67EA"/>
    <w:rsid w:val="00EA7A03"/>
    <w:rsid w:val="00EB25E4"/>
    <w:rsid w:val="00EB5F75"/>
    <w:rsid w:val="00EB68A3"/>
    <w:rsid w:val="00EB6AE4"/>
    <w:rsid w:val="00EC0148"/>
    <w:rsid w:val="00EC029E"/>
    <w:rsid w:val="00EC1D90"/>
    <w:rsid w:val="00EC228E"/>
    <w:rsid w:val="00EC31F9"/>
    <w:rsid w:val="00EC5806"/>
    <w:rsid w:val="00EC6BE3"/>
    <w:rsid w:val="00EC7326"/>
    <w:rsid w:val="00EC7B5E"/>
    <w:rsid w:val="00ED0773"/>
    <w:rsid w:val="00ED11C8"/>
    <w:rsid w:val="00ED2B30"/>
    <w:rsid w:val="00ED4224"/>
    <w:rsid w:val="00ED58FA"/>
    <w:rsid w:val="00ED5D1E"/>
    <w:rsid w:val="00ED6802"/>
    <w:rsid w:val="00ED7F9F"/>
    <w:rsid w:val="00EE0021"/>
    <w:rsid w:val="00EE07F4"/>
    <w:rsid w:val="00EE20BF"/>
    <w:rsid w:val="00EE2C04"/>
    <w:rsid w:val="00EE3F39"/>
    <w:rsid w:val="00EE5A19"/>
    <w:rsid w:val="00EE6773"/>
    <w:rsid w:val="00EF093F"/>
    <w:rsid w:val="00EF2C7E"/>
    <w:rsid w:val="00EF37F6"/>
    <w:rsid w:val="00EF5B6F"/>
    <w:rsid w:val="00F01299"/>
    <w:rsid w:val="00F012A7"/>
    <w:rsid w:val="00F01B20"/>
    <w:rsid w:val="00F0273F"/>
    <w:rsid w:val="00F029A5"/>
    <w:rsid w:val="00F039BE"/>
    <w:rsid w:val="00F03F7D"/>
    <w:rsid w:val="00F051EE"/>
    <w:rsid w:val="00F12AFF"/>
    <w:rsid w:val="00F12D14"/>
    <w:rsid w:val="00F13197"/>
    <w:rsid w:val="00F132A3"/>
    <w:rsid w:val="00F2122C"/>
    <w:rsid w:val="00F22F57"/>
    <w:rsid w:val="00F26331"/>
    <w:rsid w:val="00F26A48"/>
    <w:rsid w:val="00F2751B"/>
    <w:rsid w:val="00F316D9"/>
    <w:rsid w:val="00F347A9"/>
    <w:rsid w:val="00F3782E"/>
    <w:rsid w:val="00F40650"/>
    <w:rsid w:val="00F44290"/>
    <w:rsid w:val="00F4474E"/>
    <w:rsid w:val="00F44AA6"/>
    <w:rsid w:val="00F45885"/>
    <w:rsid w:val="00F47414"/>
    <w:rsid w:val="00F477DE"/>
    <w:rsid w:val="00F52A98"/>
    <w:rsid w:val="00F5313B"/>
    <w:rsid w:val="00F53237"/>
    <w:rsid w:val="00F545CF"/>
    <w:rsid w:val="00F55148"/>
    <w:rsid w:val="00F56895"/>
    <w:rsid w:val="00F60F07"/>
    <w:rsid w:val="00F63183"/>
    <w:rsid w:val="00F63E12"/>
    <w:rsid w:val="00F6478F"/>
    <w:rsid w:val="00F66291"/>
    <w:rsid w:val="00F74B61"/>
    <w:rsid w:val="00F74DD2"/>
    <w:rsid w:val="00F912FC"/>
    <w:rsid w:val="00F9146C"/>
    <w:rsid w:val="00F94941"/>
    <w:rsid w:val="00F94EBC"/>
    <w:rsid w:val="00F9602A"/>
    <w:rsid w:val="00FA2B73"/>
    <w:rsid w:val="00FA5FCC"/>
    <w:rsid w:val="00FA769E"/>
    <w:rsid w:val="00FA7B77"/>
    <w:rsid w:val="00FA7CBE"/>
    <w:rsid w:val="00FA7F27"/>
    <w:rsid w:val="00FB0289"/>
    <w:rsid w:val="00FB0C49"/>
    <w:rsid w:val="00FB2663"/>
    <w:rsid w:val="00FB5425"/>
    <w:rsid w:val="00FB5DED"/>
    <w:rsid w:val="00FC0EA6"/>
    <w:rsid w:val="00FC1DDF"/>
    <w:rsid w:val="00FC1E3C"/>
    <w:rsid w:val="00FC47C0"/>
    <w:rsid w:val="00FC4979"/>
    <w:rsid w:val="00FD29BC"/>
    <w:rsid w:val="00FD50BD"/>
    <w:rsid w:val="00FD5199"/>
    <w:rsid w:val="00FD5286"/>
    <w:rsid w:val="00FD67E3"/>
    <w:rsid w:val="00FD68E3"/>
    <w:rsid w:val="00FD7AD3"/>
    <w:rsid w:val="00FE01A0"/>
    <w:rsid w:val="00FE02A1"/>
    <w:rsid w:val="00FE187B"/>
    <w:rsid w:val="00FE239F"/>
    <w:rsid w:val="00FE3C35"/>
    <w:rsid w:val="00FE4AB6"/>
    <w:rsid w:val="00FE731D"/>
    <w:rsid w:val="00FE7A26"/>
    <w:rsid w:val="00FF3DEF"/>
    <w:rsid w:val="00FF4627"/>
    <w:rsid w:val="00FF49BE"/>
    <w:rsid w:val="00FF5267"/>
    <w:rsid w:val="00FF58DE"/>
    <w:rsid w:val="047821D9"/>
    <w:rsid w:val="060E52EF"/>
    <w:rsid w:val="077F3CE2"/>
    <w:rsid w:val="08122176"/>
    <w:rsid w:val="08BB45BC"/>
    <w:rsid w:val="0946657C"/>
    <w:rsid w:val="0A711EE9"/>
    <w:rsid w:val="0AD559E2"/>
    <w:rsid w:val="0B3501DC"/>
    <w:rsid w:val="0D766D04"/>
    <w:rsid w:val="0FCC498E"/>
    <w:rsid w:val="10751A5B"/>
    <w:rsid w:val="11F33019"/>
    <w:rsid w:val="12BE7CDF"/>
    <w:rsid w:val="1645002A"/>
    <w:rsid w:val="16593BE4"/>
    <w:rsid w:val="179C5F76"/>
    <w:rsid w:val="17D254A3"/>
    <w:rsid w:val="18E056E8"/>
    <w:rsid w:val="1B0342CC"/>
    <w:rsid w:val="1BD01CD5"/>
    <w:rsid w:val="1C157F65"/>
    <w:rsid w:val="1C676E69"/>
    <w:rsid w:val="1D185ADC"/>
    <w:rsid w:val="1D3764AF"/>
    <w:rsid w:val="20532FFA"/>
    <w:rsid w:val="20577E1E"/>
    <w:rsid w:val="232C4863"/>
    <w:rsid w:val="267260E4"/>
    <w:rsid w:val="26C1503C"/>
    <w:rsid w:val="287702CA"/>
    <w:rsid w:val="29AC71BC"/>
    <w:rsid w:val="2FAF45CB"/>
    <w:rsid w:val="321C3D27"/>
    <w:rsid w:val="32FF13C6"/>
    <w:rsid w:val="33D47566"/>
    <w:rsid w:val="35117C0B"/>
    <w:rsid w:val="35907029"/>
    <w:rsid w:val="366F0610"/>
    <w:rsid w:val="38207E14"/>
    <w:rsid w:val="38394F8B"/>
    <w:rsid w:val="3A3A5DC4"/>
    <w:rsid w:val="3AF13E85"/>
    <w:rsid w:val="3C7E4501"/>
    <w:rsid w:val="3DC15BF5"/>
    <w:rsid w:val="3DEF6B4B"/>
    <w:rsid w:val="409C7882"/>
    <w:rsid w:val="42C252CA"/>
    <w:rsid w:val="43B35F95"/>
    <w:rsid w:val="48E63562"/>
    <w:rsid w:val="4901159C"/>
    <w:rsid w:val="4A6B2D85"/>
    <w:rsid w:val="4B3519D1"/>
    <w:rsid w:val="4C5115FD"/>
    <w:rsid w:val="4E584096"/>
    <w:rsid w:val="52B77F0E"/>
    <w:rsid w:val="543177F1"/>
    <w:rsid w:val="543376E3"/>
    <w:rsid w:val="58631C0E"/>
    <w:rsid w:val="5AE23D02"/>
    <w:rsid w:val="5BD66CD5"/>
    <w:rsid w:val="5C2F0035"/>
    <w:rsid w:val="5E641CDC"/>
    <w:rsid w:val="60506406"/>
    <w:rsid w:val="61680007"/>
    <w:rsid w:val="61A23CDB"/>
    <w:rsid w:val="61B01959"/>
    <w:rsid w:val="61C91196"/>
    <w:rsid w:val="62393D45"/>
    <w:rsid w:val="625E13B5"/>
    <w:rsid w:val="62C10F78"/>
    <w:rsid w:val="63600C93"/>
    <w:rsid w:val="63D55A8A"/>
    <w:rsid w:val="658E5B0E"/>
    <w:rsid w:val="6A2B4273"/>
    <w:rsid w:val="6B167BB4"/>
    <w:rsid w:val="6B685053"/>
    <w:rsid w:val="6DC36570"/>
    <w:rsid w:val="6DE36C13"/>
    <w:rsid w:val="70652539"/>
    <w:rsid w:val="708B4DA8"/>
    <w:rsid w:val="735760D9"/>
    <w:rsid w:val="747F068A"/>
    <w:rsid w:val="750D2EF3"/>
    <w:rsid w:val="767F88DB"/>
    <w:rsid w:val="7BA5204D"/>
    <w:rsid w:val="7D5D61DB"/>
    <w:rsid w:val="7ECE417E"/>
    <w:rsid w:val="7F77B8A9"/>
    <w:rsid w:val="BBF9E22B"/>
    <w:rsid w:val="DADE9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30"/>
    <w:autoRedefine/>
    <w:qFormat/>
    <w:uiPriority w:val="9"/>
    <w:pPr>
      <w:keepNext/>
      <w:keepLines/>
      <w:spacing w:before="340" w:after="330" w:line="578" w:lineRule="auto"/>
      <w:outlineLvl w:val="0"/>
    </w:pPr>
    <w:rPr>
      <w:rFonts w:eastAsia="Times New Roman"/>
      <w:b/>
      <w:bCs/>
      <w:kern w:val="44"/>
      <w:sz w:val="20"/>
      <w:szCs w:val="44"/>
    </w:rPr>
  </w:style>
  <w:style w:type="paragraph" w:styleId="3">
    <w:name w:val="heading 2"/>
    <w:basedOn w:val="1"/>
    <w:next w:val="1"/>
    <w:link w:val="31"/>
    <w:autoRedefine/>
    <w:unhideWhenUsed/>
    <w:qFormat/>
    <w:uiPriority w:val="9"/>
    <w:pPr>
      <w:keepNext/>
      <w:keepLines/>
      <w:spacing w:before="260" w:after="260" w:line="416" w:lineRule="auto"/>
      <w:outlineLvl w:val="1"/>
    </w:pPr>
    <w:rPr>
      <w:rFonts w:eastAsia="Times New Roman" w:asciiTheme="majorHAnsi" w:hAnsiTheme="majorHAnsi" w:cstheme="majorBidi"/>
      <w:b/>
      <w:bCs/>
      <w:sz w:val="20"/>
      <w:szCs w:val="32"/>
    </w:rPr>
  </w:style>
  <w:style w:type="paragraph" w:styleId="4">
    <w:name w:val="heading 3"/>
    <w:basedOn w:val="1"/>
    <w:next w:val="1"/>
    <w:link w:val="64"/>
    <w:autoRedefine/>
    <w:semiHidden/>
    <w:unhideWhenUsed/>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1440"/>
    </w:pPr>
    <w:rPr>
      <w:rFonts w:asciiTheme="minorHAnsi" w:eastAsiaTheme="minorHAnsi"/>
      <w:sz w:val="20"/>
      <w:szCs w:val="20"/>
    </w:rPr>
  </w:style>
  <w:style w:type="paragraph" w:styleId="6">
    <w:name w:val="annotation text"/>
    <w:basedOn w:val="1"/>
    <w:link w:val="34"/>
    <w:autoRedefine/>
    <w:semiHidden/>
    <w:unhideWhenUsed/>
    <w:qFormat/>
    <w:uiPriority w:val="99"/>
    <w:pPr>
      <w:widowControl w:val="0"/>
    </w:pPr>
    <w:rPr>
      <w:rFonts w:asciiTheme="minorHAnsi" w:hAnsiTheme="minorHAnsi" w:eastAsiaTheme="minorEastAsia" w:cstheme="minorBidi"/>
      <w:kern w:val="2"/>
      <w:sz w:val="21"/>
    </w:rPr>
  </w:style>
  <w:style w:type="paragraph" w:styleId="7">
    <w:name w:val="toc 5"/>
    <w:basedOn w:val="1"/>
    <w:next w:val="1"/>
    <w:autoRedefine/>
    <w:unhideWhenUsed/>
    <w:qFormat/>
    <w:uiPriority w:val="39"/>
    <w:pPr>
      <w:ind w:left="960"/>
    </w:pPr>
    <w:rPr>
      <w:rFonts w:asciiTheme="minorHAnsi" w:eastAsiaTheme="minorHAnsi"/>
      <w:sz w:val="20"/>
      <w:szCs w:val="20"/>
    </w:rPr>
  </w:style>
  <w:style w:type="paragraph" w:styleId="8">
    <w:name w:val="toc 3"/>
    <w:basedOn w:val="1"/>
    <w:next w:val="1"/>
    <w:autoRedefine/>
    <w:unhideWhenUsed/>
    <w:qFormat/>
    <w:uiPriority w:val="39"/>
    <w:pPr>
      <w:ind w:left="480"/>
    </w:pPr>
    <w:rPr>
      <w:rFonts w:asciiTheme="minorHAnsi" w:eastAsiaTheme="minorHAnsi"/>
      <w:sz w:val="20"/>
      <w:szCs w:val="20"/>
    </w:rPr>
  </w:style>
  <w:style w:type="paragraph" w:styleId="9">
    <w:name w:val="toc 8"/>
    <w:basedOn w:val="1"/>
    <w:next w:val="1"/>
    <w:autoRedefine/>
    <w:unhideWhenUsed/>
    <w:qFormat/>
    <w:uiPriority w:val="39"/>
    <w:pPr>
      <w:ind w:left="1680"/>
    </w:pPr>
    <w:rPr>
      <w:rFonts w:asciiTheme="minorHAnsi" w:eastAsiaTheme="minorHAnsi"/>
      <w:sz w:val="20"/>
      <w:szCs w:val="20"/>
    </w:rPr>
  </w:style>
  <w:style w:type="paragraph" w:styleId="10">
    <w:name w:val="Date"/>
    <w:basedOn w:val="1"/>
    <w:next w:val="1"/>
    <w:link w:val="56"/>
    <w:autoRedefine/>
    <w:semiHidden/>
    <w:unhideWhenUsed/>
    <w:qFormat/>
    <w:uiPriority w:val="99"/>
    <w:pPr>
      <w:ind w:left="100" w:leftChars="2500"/>
    </w:pPr>
  </w:style>
  <w:style w:type="paragraph" w:styleId="11">
    <w:name w:val="Balloon Text"/>
    <w:basedOn w:val="1"/>
    <w:link w:val="33"/>
    <w:autoRedefine/>
    <w:semiHidden/>
    <w:unhideWhenUsed/>
    <w:qFormat/>
    <w:uiPriority w:val="99"/>
    <w:rPr>
      <w:sz w:val="18"/>
      <w:szCs w:val="18"/>
    </w:rPr>
  </w:style>
  <w:style w:type="paragraph" w:styleId="12">
    <w:name w:val="footer"/>
    <w:basedOn w:val="1"/>
    <w:link w:val="55"/>
    <w:autoRedefine/>
    <w:unhideWhenUsed/>
    <w:qFormat/>
    <w:uiPriority w:val="99"/>
    <w:pPr>
      <w:tabs>
        <w:tab w:val="center" w:pos="4153"/>
        <w:tab w:val="right" w:pos="8306"/>
      </w:tabs>
      <w:snapToGrid w:val="0"/>
    </w:pPr>
    <w:rPr>
      <w:sz w:val="18"/>
      <w:szCs w:val="18"/>
    </w:rPr>
  </w:style>
  <w:style w:type="paragraph" w:styleId="13">
    <w:name w:val="header"/>
    <w:basedOn w:val="1"/>
    <w:link w:val="5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unhideWhenUsed/>
    <w:qFormat/>
    <w:uiPriority w:val="39"/>
    <w:pPr>
      <w:spacing w:before="240" w:after="120"/>
    </w:pPr>
    <w:rPr>
      <w:rFonts w:asciiTheme="minorHAnsi" w:eastAsiaTheme="minorHAnsi"/>
      <w:b/>
      <w:bCs/>
      <w:sz w:val="20"/>
      <w:szCs w:val="20"/>
    </w:rPr>
  </w:style>
  <w:style w:type="paragraph" w:styleId="15">
    <w:name w:val="toc 4"/>
    <w:basedOn w:val="1"/>
    <w:next w:val="1"/>
    <w:autoRedefine/>
    <w:unhideWhenUsed/>
    <w:qFormat/>
    <w:uiPriority w:val="39"/>
    <w:pPr>
      <w:ind w:left="720"/>
    </w:pPr>
    <w:rPr>
      <w:rFonts w:asciiTheme="minorHAnsi" w:eastAsiaTheme="minorHAnsi"/>
      <w:sz w:val="20"/>
      <w:szCs w:val="20"/>
    </w:rPr>
  </w:style>
  <w:style w:type="paragraph" w:styleId="16">
    <w:name w:val="toc 6"/>
    <w:basedOn w:val="1"/>
    <w:next w:val="1"/>
    <w:autoRedefine/>
    <w:unhideWhenUsed/>
    <w:qFormat/>
    <w:uiPriority w:val="39"/>
    <w:pPr>
      <w:ind w:left="1200"/>
    </w:pPr>
    <w:rPr>
      <w:rFonts w:asciiTheme="minorHAnsi" w:eastAsiaTheme="minorHAnsi"/>
      <w:sz w:val="20"/>
      <w:szCs w:val="20"/>
    </w:rPr>
  </w:style>
  <w:style w:type="paragraph" w:styleId="17">
    <w:name w:val="toc 2"/>
    <w:basedOn w:val="1"/>
    <w:next w:val="1"/>
    <w:autoRedefine/>
    <w:unhideWhenUsed/>
    <w:qFormat/>
    <w:uiPriority w:val="39"/>
    <w:pPr>
      <w:spacing w:before="120"/>
      <w:ind w:left="240"/>
    </w:pPr>
    <w:rPr>
      <w:rFonts w:asciiTheme="minorHAnsi" w:eastAsiaTheme="minorHAnsi"/>
      <w:i/>
      <w:iCs/>
      <w:sz w:val="20"/>
      <w:szCs w:val="20"/>
    </w:rPr>
  </w:style>
  <w:style w:type="paragraph" w:styleId="18">
    <w:name w:val="toc 9"/>
    <w:basedOn w:val="1"/>
    <w:next w:val="1"/>
    <w:autoRedefine/>
    <w:unhideWhenUsed/>
    <w:qFormat/>
    <w:uiPriority w:val="39"/>
    <w:pPr>
      <w:ind w:left="1920"/>
    </w:pPr>
    <w:rPr>
      <w:rFonts w:asciiTheme="minorHAnsi" w:eastAsiaTheme="minorHAnsi"/>
      <w:sz w:val="20"/>
      <w:szCs w:val="20"/>
    </w:rPr>
  </w:style>
  <w:style w:type="paragraph" w:styleId="19">
    <w:name w:val="Normal (Web)"/>
    <w:basedOn w:val="1"/>
    <w:autoRedefine/>
    <w:unhideWhenUsed/>
    <w:qFormat/>
    <w:uiPriority w:val="99"/>
    <w:pPr>
      <w:spacing w:before="100" w:beforeAutospacing="1" w:after="100" w:afterAutospacing="1"/>
    </w:pPr>
  </w:style>
  <w:style w:type="paragraph" w:styleId="20">
    <w:name w:val="Title"/>
    <w:basedOn w:val="1"/>
    <w:next w:val="1"/>
    <w:link w:val="65"/>
    <w:autoRedefine/>
    <w:qFormat/>
    <w:uiPriority w:val="10"/>
    <w:pPr>
      <w:spacing w:before="240" w:after="60"/>
      <w:outlineLvl w:val="0"/>
    </w:pPr>
    <w:rPr>
      <w:rFonts w:ascii="Times New Roman" w:hAnsi="Times New Roman" w:eastAsia="Times New Roman" w:cstheme="majorBidi"/>
      <w:b/>
      <w:bCs/>
      <w:sz w:val="20"/>
      <w:szCs w:val="32"/>
    </w:rPr>
  </w:style>
  <w:style w:type="paragraph" w:styleId="21">
    <w:name w:val="annotation subject"/>
    <w:basedOn w:val="6"/>
    <w:next w:val="6"/>
    <w:link w:val="40"/>
    <w:autoRedefine/>
    <w:semiHidden/>
    <w:unhideWhenUsed/>
    <w:qFormat/>
    <w:uiPriority w:val="99"/>
    <w:pPr>
      <w:widowControl/>
    </w:pPr>
    <w:rPr>
      <w:rFonts w:ascii="宋体" w:hAnsi="宋体" w:eastAsia="宋体" w:cs="宋体"/>
      <w:b/>
      <w:bCs/>
      <w:kern w:val="0"/>
      <w:sz w:val="24"/>
    </w:rPr>
  </w:style>
  <w:style w:type="table" w:styleId="23">
    <w:name w:val="Table Grid"/>
    <w:basedOn w:val="2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rPr>
  </w:style>
  <w:style w:type="character" w:styleId="26">
    <w:name w:val="page number"/>
    <w:basedOn w:val="24"/>
    <w:autoRedefine/>
    <w:semiHidden/>
    <w:unhideWhenUsed/>
    <w:qFormat/>
    <w:uiPriority w:val="99"/>
  </w:style>
  <w:style w:type="character" w:styleId="27">
    <w:name w:val="FollowedHyperlink"/>
    <w:basedOn w:val="24"/>
    <w:autoRedefine/>
    <w:semiHidden/>
    <w:unhideWhenUsed/>
    <w:qFormat/>
    <w:uiPriority w:val="99"/>
    <w:rPr>
      <w:color w:val="954F72" w:themeColor="followedHyperlink"/>
      <w:u w:val="single"/>
      <w14:textFill>
        <w14:solidFill>
          <w14:schemeClr w14:val="folHlink"/>
        </w14:solidFill>
      </w14:textFill>
    </w:rPr>
  </w:style>
  <w:style w:type="character" w:styleId="28">
    <w:name w:val="Hyperlink"/>
    <w:basedOn w:val="24"/>
    <w:autoRedefine/>
    <w:unhideWhenUsed/>
    <w:qFormat/>
    <w:uiPriority w:val="99"/>
    <w:rPr>
      <w:color w:val="0563C1" w:themeColor="hyperlink"/>
      <w:u w:val="single"/>
      <w14:textFill>
        <w14:solidFill>
          <w14:schemeClr w14:val="hlink"/>
        </w14:solidFill>
      </w14:textFill>
    </w:rPr>
  </w:style>
  <w:style w:type="character" w:styleId="29">
    <w:name w:val="annotation reference"/>
    <w:basedOn w:val="24"/>
    <w:autoRedefine/>
    <w:semiHidden/>
    <w:unhideWhenUsed/>
    <w:qFormat/>
    <w:uiPriority w:val="99"/>
    <w:rPr>
      <w:sz w:val="21"/>
      <w:szCs w:val="21"/>
    </w:rPr>
  </w:style>
  <w:style w:type="character" w:customStyle="1" w:styleId="30">
    <w:name w:val="标题 1 字符"/>
    <w:basedOn w:val="24"/>
    <w:link w:val="2"/>
    <w:autoRedefine/>
    <w:qFormat/>
    <w:uiPriority w:val="9"/>
    <w:rPr>
      <w:rFonts w:ascii="宋体" w:hAnsi="宋体" w:eastAsia="Times New Roman" w:cs="宋体"/>
      <w:b/>
      <w:bCs/>
      <w:kern w:val="44"/>
      <w:sz w:val="20"/>
      <w:szCs w:val="44"/>
    </w:rPr>
  </w:style>
  <w:style w:type="character" w:customStyle="1" w:styleId="31">
    <w:name w:val="标题 2 字符"/>
    <w:basedOn w:val="24"/>
    <w:link w:val="3"/>
    <w:autoRedefine/>
    <w:qFormat/>
    <w:uiPriority w:val="9"/>
    <w:rPr>
      <w:rFonts w:eastAsia="Times New Roman" w:asciiTheme="majorHAnsi" w:hAnsiTheme="majorHAnsi" w:cstheme="majorBidi"/>
      <w:b/>
      <w:bCs/>
      <w:kern w:val="0"/>
      <w:sz w:val="20"/>
      <w:szCs w:val="32"/>
    </w:rPr>
  </w:style>
  <w:style w:type="paragraph" w:customStyle="1" w:styleId="32">
    <w:name w:val="Default"/>
    <w:autoRedefine/>
    <w:qFormat/>
    <w:uiPriority w:val="0"/>
    <w:pPr>
      <w:widowControl w:val="0"/>
      <w:autoSpaceDE w:val="0"/>
      <w:autoSpaceDN w:val="0"/>
      <w:adjustRightInd w:val="0"/>
    </w:pPr>
    <w:rPr>
      <w:rFonts w:ascii="Calibri" w:hAnsi="Calibri" w:cs="Calibri" w:eastAsiaTheme="minorEastAsia"/>
      <w:color w:val="000000"/>
      <w:sz w:val="24"/>
      <w:szCs w:val="24"/>
      <w:lang w:val="en-CA" w:eastAsia="en-CA" w:bidi="ar-SA"/>
    </w:rPr>
  </w:style>
  <w:style w:type="character" w:customStyle="1" w:styleId="33">
    <w:name w:val="批注框文本 字符"/>
    <w:basedOn w:val="24"/>
    <w:link w:val="11"/>
    <w:autoRedefine/>
    <w:semiHidden/>
    <w:qFormat/>
    <w:uiPriority w:val="99"/>
    <w:rPr>
      <w:rFonts w:ascii="宋体" w:hAnsi="宋体" w:eastAsia="宋体" w:cs="宋体"/>
      <w:kern w:val="0"/>
      <w:sz w:val="18"/>
      <w:szCs w:val="18"/>
    </w:rPr>
  </w:style>
  <w:style w:type="character" w:customStyle="1" w:styleId="34">
    <w:name w:val="批注文字 字符"/>
    <w:basedOn w:val="24"/>
    <w:link w:val="6"/>
    <w:autoRedefine/>
    <w:semiHidden/>
    <w:qFormat/>
    <w:uiPriority w:val="99"/>
  </w:style>
  <w:style w:type="paragraph" w:customStyle="1" w:styleId="35">
    <w:name w:val="EndNote Bibliography"/>
    <w:basedOn w:val="1"/>
    <w:link w:val="36"/>
    <w:autoRedefine/>
    <w:qFormat/>
    <w:uiPriority w:val="0"/>
  </w:style>
  <w:style w:type="character" w:customStyle="1" w:styleId="36">
    <w:name w:val="EndNote Bibliography 字符"/>
    <w:basedOn w:val="24"/>
    <w:link w:val="35"/>
    <w:autoRedefine/>
    <w:qFormat/>
    <w:uiPriority w:val="0"/>
    <w:rPr>
      <w:rFonts w:ascii="宋体" w:hAnsi="宋体" w:cs="宋体"/>
      <w:sz w:val="24"/>
      <w:szCs w:val="24"/>
    </w:rPr>
  </w:style>
  <w:style w:type="paragraph" w:customStyle="1" w:styleId="37">
    <w:name w:val="EndNote Bibliography Title"/>
    <w:basedOn w:val="1"/>
    <w:link w:val="38"/>
    <w:autoRedefine/>
    <w:qFormat/>
    <w:uiPriority w:val="0"/>
    <w:pPr>
      <w:jc w:val="center"/>
    </w:pPr>
  </w:style>
  <w:style w:type="character" w:customStyle="1" w:styleId="38">
    <w:name w:val="EndNote Bibliography Title 字符"/>
    <w:basedOn w:val="36"/>
    <w:link w:val="37"/>
    <w:autoRedefine/>
    <w:qFormat/>
    <w:uiPriority w:val="0"/>
    <w:rPr>
      <w:rFonts w:ascii="宋体" w:hAnsi="宋体" w:cs="宋体"/>
      <w:sz w:val="24"/>
      <w:szCs w:val="24"/>
    </w:rPr>
  </w:style>
  <w:style w:type="character" w:customStyle="1" w:styleId="39">
    <w:name w:val="未处理的提及1"/>
    <w:basedOn w:val="24"/>
    <w:autoRedefine/>
    <w:semiHidden/>
    <w:unhideWhenUsed/>
    <w:qFormat/>
    <w:uiPriority w:val="99"/>
    <w:rPr>
      <w:color w:val="605E5C"/>
      <w:shd w:val="clear" w:color="auto" w:fill="E1DFDD"/>
    </w:rPr>
  </w:style>
  <w:style w:type="character" w:customStyle="1" w:styleId="40">
    <w:name w:val="批注主题 字符"/>
    <w:basedOn w:val="34"/>
    <w:link w:val="21"/>
    <w:autoRedefine/>
    <w:semiHidden/>
    <w:qFormat/>
    <w:uiPriority w:val="99"/>
    <w:rPr>
      <w:rFonts w:ascii="宋体" w:hAnsi="宋体" w:eastAsia="宋体" w:cs="宋体"/>
      <w:b/>
      <w:bCs/>
      <w:kern w:val="0"/>
      <w:sz w:val="24"/>
    </w:rPr>
  </w:style>
  <w:style w:type="paragraph" w:customStyle="1" w:styleId="41">
    <w:name w:val="msonormal"/>
    <w:basedOn w:val="1"/>
    <w:autoRedefine/>
    <w:qFormat/>
    <w:uiPriority w:val="0"/>
    <w:pPr>
      <w:spacing w:before="100" w:beforeAutospacing="1" w:after="100" w:afterAutospacing="1"/>
    </w:pPr>
  </w:style>
  <w:style w:type="paragraph" w:customStyle="1" w:styleId="42">
    <w:name w:val="font5"/>
    <w:basedOn w:val="1"/>
    <w:autoRedefine/>
    <w:qFormat/>
    <w:uiPriority w:val="0"/>
    <w:pPr>
      <w:spacing w:before="100" w:beforeAutospacing="1" w:after="100" w:afterAutospacing="1"/>
    </w:pPr>
    <w:rPr>
      <w:color w:val="000000"/>
      <w:sz w:val="21"/>
      <w:szCs w:val="21"/>
    </w:rPr>
  </w:style>
  <w:style w:type="paragraph" w:customStyle="1" w:styleId="43">
    <w:name w:val="font6"/>
    <w:basedOn w:val="1"/>
    <w:autoRedefine/>
    <w:qFormat/>
    <w:uiPriority w:val="0"/>
    <w:pPr>
      <w:spacing w:before="100" w:beforeAutospacing="1" w:after="100" w:afterAutospacing="1"/>
    </w:pPr>
    <w:rPr>
      <w:rFonts w:ascii="等线" w:hAnsi="等线" w:eastAsia="等线"/>
      <w:sz w:val="18"/>
      <w:szCs w:val="18"/>
    </w:rPr>
  </w:style>
  <w:style w:type="paragraph" w:customStyle="1" w:styleId="44">
    <w:name w:val="xl6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sz w:val="18"/>
      <w:szCs w:val="18"/>
    </w:rPr>
  </w:style>
  <w:style w:type="paragraph" w:customStyle="1" w:styleId="45">
    <w:name w:val="xl6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color w:val="000000"/>
      <w:sz w:val="21"/>
      <w:szCs w:val="21"/>
    </w:rPr>
  </w:style>
  <w:style w:type="paragraph" w:customStyle="1" w:styleId="46">
    <w:name w:val="xl65"/>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Times New Roman" w:hAnsi="Times New Roman" w:cs="Times New Roman"/>
      <w:color w:val="000000"/>
      <w:sz w:val="21"/>
      <w:szCs w:val="21"/>
    </w:rPr>
  </w:style>
  <w:style w:type="paragraph" w:customStyle="1" w:styleId="47">
    <w:name w:val="xl66"/>
    <w:basedOn w:val="1"/>
    <w:autoRedefine/>
    <w:qFormat/>
    <w:uiPriority w:val="0"/>
    <w:pPr>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center"/>
    </w:pPr>
    <w:rPr>
      <w:rFonts w:ascii="Times New Roman" w:hAnsi="Times New Roman" w:cs="Times New Roman"/>
      <w:color w:val="000000"/>
      <w:sz w:val="21"/>
      <w:szCs w:val="21"/>
    </w:rPr>
  </w:style>
  <w:style w:type="paragraph" w:customStyle="1" w:styleId="48">
    <w:name w:val="xl67"/>
    <w:basedOn w:val="1"/>
    <w:autoRedefine/>
    <w:qFormat/>
    <w:uiPriority w:val="0"/>
    <w:pPr>
      <w:pBdr>
        <w:top w:val="single" w:color="auto" w:sz="4" w:space="0"/>
        <w:left w:val="single" w:color="auto" w:sz="4" w:space="0"/>
        <w:bottom w:val="single" w:color="auto" w:sz="4" w:space="0"/>
        <w:right w:val="single" w:color="auto" w:sz="4" w:space="0"/>
      </w:pBdr>
      <w:shd w:val="clear" w:color="000000" w:fill="FF0000"/>
      <w:spacing w:before="100" w:beforeAutospacing="1" w:after="100" w:afterAutospacing="1"/>
      <w:jc w:val="center"/>
    </w:pPr>
    <w:rPr>
      <w:rFonts w:ascii="Times New Roman" w:hAnsi="Times New Roman" w:cs="Times New Roman"/>
      <w:color w:val="000000"/>
      <w:sz w:val="21"/>
      <w:szCs w:val="21"/>
    </w:rPr>
  </w:style>
  <w:style w:type="paragraph" w:customStyle="1" w:styleId="49">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sz w:val="21"/>
      <w:szCs w:val="21"/>
    </w:rPr>
  </w:style>
  <w:style w:type="paragraph" w:customStyle="1" w:styleId="50">
    <w:name w:val="xl69"/>
    <w:basedOn w:val="1"/>
    <w:autoRedefine/>
    <w:qFormat/>
    <w:uiPriority w:val="0"/>
    <w:pPr>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center"/>
    </w:pPr>
    <w:rPr>
      <w:rFonts w:ascii="Times New Roman" w:hAnsi="Times New Roman" w:cs="Times New Roman"/>
      <w:color w:val="000000"/>
      <w:sz w:val="21"/>
      <w:szCs w:val="21"/>
    </w:rPr>
  </w:style>
  <w:style w:type="paragraph" w:customStyle="1" w:styleId="51">
    <w:name w:val="xl7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rPr>
  </w:style>
  <w:style w:type="paragraph" w:customStyle="1" w:styleId="52">
    <w:name w:val="xl7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sz w:val="18"/>
      <w:szCs w:val="18"/>
    </w:rPr>
  </w:style>
  <w:style w:type="paragraph" w:customStyle="1" w:styleId="53">
    <w:name w:val="xl72"/>
    <w:basedOn w:val="1"/>
    <w:autoRedefine/>
    <w:qFormat/>
    <w:uiPriority w:val="0"/>
    <w:pPr>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center"/>
    </w:pPr>
    <w:rPr>
      <w:color w:val="000000"/>
      <w:sz w:val="21"/>
      <w:szCs w:val="21"/>
    </w:rPr>
  </w:style>
  <w:style w:type="character" w:customStyle="1" w:styleId="54">
    <w:name w:val="页眉 字符"/>
    <w:basedOn w:val="24"/>
    <w:link w:val="13"/>
    <w:autoRedefine/>
    <w:qFormat/>
    <w:uiPriority w:val="99"/>
    <w:rPr>
      <w:rFonts w:ascii="宋体" w:hAnsi="宋体" w:eastAsia="宋体" w:cs="宋体"/>
      <w:kern w:val="0"/>
      <w:sz w:val="18"/>
      <w:szCs w:val="18"/>
    </w:rPr>
  </w:style>
  <w:style w:type="character" w:customStyle="1" w:styleId="55">
    <w:name w:val="页脚 字符"/>
    <w:basedOn w:val="24"/>
    <w:link w:val="12"/>
    <w:autoRedefine/>
    <w:qFormat/>
    <w:uiPriority w:val="99"/>
    <w:rPr>
      <w:rFonts w:ascii="宋体" w:hAnsi="宋体" w:eastAsia="宋体" w:cs="宋体"/>
      <w:kern w:val="0"/>
      <w:sz w:val="18"/>
      <w:szCs w:val="18"/>
    </w:rPr>
  </w:style>
  <w:style w:type="character" w:customStyle="1" w:styleId="56">
    <w:name w:val="日期 字符"/>
    <w:basedOn w:val="24"/>
    <w:link w:val="10"/>
    <w:autoRedefine/>
    <w:semiHidden/>
    <w:qFormat/>
    <w:uiPriority w:val="99"/>
    <w:rPr>
      <w:rFonts w:ascii="宋体" w:hAnsi="宋体" w:eastAsia="宋体" w:cs="宋体"/>
      <w:kern w:val="0"/>
      <w:sz w:val="24"/>
    </w:rPr>
  </w:style>
  <w:style w:type="character" w:customStyle="1" w:styleId="57">
    <w:name w:val="日期 字符1"/>
    <w:basedOn w:val="24"/>
    <w:autoRedefine/>
    <w:semiHidden/>
    <w:qFormat/>
    <w:uiPriority w:val="99"/>
    <w:rPr>
      <w:rFonts w:ascii="宋体" w:hAnsi="宋体" w:eastAsia="宋体" w:cs="宋体"/>
      <w:kern w:val="0"/>
      <w:sz w:val="24"/>
    </w:rPr>
  </w:style>
  <w:style w:type="paragraph" w:customStyle="1" w:styleId="58">
    <w:name w:val="EndNote Category Heading"/>
    <w:basedOn w:val="1"/>
    <w:link w:val="59"/>
    <w:autoRedefine/>
    <w:qFormat/>
    <w:uiPriority w:val="0"/>
    <w:pPr>
      <w:spacing w:before="120" w:after="120"/>
    </w:pPr>
    <w:rPr>
      <w:b/>
    </w:rPr>
  </w:style>
  <w:style w:type="character" w:customStyle="1" w:styleId="59">
    <w:name w:val="EndNote Category Heading 字符"/>
    <w:basedOn w:val="24"/>
    <w:link w:val="58"/>
    <w:autoRedefine/>
    <w:qFormat/>
    <w:uiPriority w:val="0"/>
    <w:rPr>
      <w:rFonts w:ascii="宋体" w:hAnsi="宋体" w:eastAsia="宋体" w:cs="宋体"/>
      <w:b/>
      <w:kern w:val="0"/>
      <w:sz w:val="24"/>
    </w:rPr>
  </w:style>
  <w:style w:type="paragraph" w:customStyle="1" w:styleId="60">
    <w:name w:val="xl73"/>
    <w:basedOn w:val="1"/>
    <w:autoRedefine/>
    <w:qFormat/>
    <w:uiPriority w:val="0"/>
    <w:pPr>
      <w:pBdr>
        <w:bottom w:val="single" w:color="auto" w:sz="8" w:space="0"/>
        <w:right w:val="single" w:color="auto" w:sz="8" w:space="0"/>
      </w:pBdr>
      <w:shd w:val="clear" w:color="000000" w:fill="FFFF00"/>
      <w:spacing w:before="100" w:beforeAutospacing="1" w:after="100" w:afterAutospacing="1"/>
      <w:jc w:val="center"/>
    </w:pPr>
    <w:rPr>
      <w:rFonts w:ascii="Times New Roman" w:hAnsi="Times New Roman" w:cs="Times New Roman"/>
      <w:color w:val="000000"/>
      <w:sz w:val="16"/>
      <w:szCs w:val="16"/>
    </w:rPr>
  </w:style>
  <w:style w:type="paragraph" w:customStyle="1" w:styleId="61">
    <w:name w:val="xl74"/>
    <w:basedOn w:val="1"/>
    <w:autoRedefine/>
    <w:qFormat/>
    <w:uiPriority w:val="0"/>
    <w:pPr>
      <w:pBdr>
        <w:bottom w:val="single" w:color="auto" w:sz="8" w:space="0"/>
        <w:right w:val="single" w:color="auto" w:sz="8" w:space="0"/>
      </w:pBdr>
      <w:shd w:val="clear" w:color="000000" w:fill="FF0000"/>
      <w:spacing w:before="100" w:beforeAutospacing="1" w:after="100" w:afterAutospacing="1"/>
      <w:jc w:val="center"/>
    </w:pPr>
    <w:rPr>
      <w:rFonts w:ascii="Times New Roman" w:hAnsi="Times New Roman" w:cs="Times New Roman"/>
      <w:color w:val="000000"/>
      <w:sz w:val="16"/>
      <w:szCs w:val="16"/>
    </w:rPr>
  </w:style>
  <w:style w:type="paragraph" w:customStyle="1" w:styleId="62">
    <w:name w:val="TOC 标题1"/>
    <w:basedOn w:val="2"/>
    <w:next w:val="1"/>
    <w:autoRedefine/>
    <w:unhideWhenUsed/>
    <w:qFormat/>
    <w:uiPriority w:val="39"/>
    <w:pPr>
      <w:spacing w:before="480" w:after="0" w:line="276" w:lineRule="auto"/>
      <w:outlineLvl w:val="9"/>
    </w:pPr>
    <w:rPr>
      <w:rFonts w:asciiTheme="majorHAnsi" w:hAnsiTheme="majorHAnsi" w:eastAsiaTheme="majorEastAsia" w:cstheme="majorBidi"/>
      <w:color w:val="2F5597" w:themeColor="accent1" w:themeShade="BF"/>
      <w:kern w:val="0"/>
      <w:sz w:val="28"/>
      <w:szCs w:val="28"/>
    </w:rPr>
  </w:style>
  <w:style w:type="paragraph" w:styleId="63">
    <w:name w:val="List Paragraph"/>
    <w:basedOn w:val="1"/>
    <w:autoRedefine/>
    <w:qFormat/>
    <w:uiPriority w:val="34"/>
    <w:pPr>
      <w:ind w:firstLine="420" w:firstLineChars="200"/>
    </w:pPr>
  </w:style>
  <w:style w:type="character" w:customStyle="1" w:styleId="64">
    <w:name w:val="标题 3 字符"/>
    <w:basedOn w:val="24"/>
    <w:link w:val="4"/>
    <w:autoRedefine/>
    <w:semiHidden/>
    <w:qFormat/>
    <w:uiPriority w:val="9"/>
    <w:rPr>
      <w:rFonts w:ascii="宋体" w:hAnsi="宋体" w:eastAsia="宋体" w:cs="宋体"/>
      <w:b/>
      <w:bCs/>
      <w:kern w:val="0"/>
      <w:sz w:val="32"/>
      <w:szCs w:val="32"/>
    </w:rPr>
  </w:style>
  <w:style w:type="character" w:customStyle="1" w:styleId="65">
    <w:name w:val="标题 字符"/>
    <w:basedOn w:val="24"/>
    <w:link w:val="20"/>
    <w:autoRedefine/>
    <w:qFormat/>
    <w:uiPriority w:val="10"/>
    <w:rPr>
      <w:rFonts w:ascii="Times New Roman" w:hAnsi="Times New Roman" w:eastAsia="Times New Roman" w:cstheme="majorBidi"/>
      <w:b/>
      <w:bCs/>
      <w:kern w:val="0"/>
      <w:sz w:val="20"/>
      <w:szCs w:val="32"/>
    </w:rPr>
  </w:style>
  <w:style w:type="table" w:customStyle="1" w:styleId="66">
    <w:name w:val="无格式表格 31"/>
    <w:basedOn w:val="22"/>
    <w:autoRedefine/>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67">
    <w:name w:val="无格式表格 32"/>
    <w:basedOn w:val="22"/>
    <w:autoRedefine/>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character" w:customStyle="1" w:styleId="68">
    <w:name w:val="未处理的提及2"/>
    <w:basedOn w:val="24"/>
    <w:autoRedefine/>
    <w:semiHidden/>
    <w:unhideWhenUsed/>
    <w:qFormat/>
    <w:uiPriority w:val="99"/>
    <w:rPr>
      <w:color w:val="605E5C"/>
      <w:shd w:val="clear" w:color="auto" w:fill="E1DFDD"/>
    </w:rPr>
  </w:style>
  <w:style w:type="character" w:customStyle="1" w:styleId="69">
    <w:name w:val="font51"/>
    <w:basedOn w:val="24"/>
    <w:autoRedefine/>
    <w:qFormat/>
    <w:uiPriority w:val="0"/>
    <w:rPr>
      <w:rFonts w:hint="eastAsia" w:ascii="宋体" w:hAnsi="宋体" w:eastAsia="宋体" w:cs="宋体"/>
      <w:color w:val="000000"/>
      <w:sz w:val="24"/>
      <w:szCs w:val="24"/>
      <w:u w:val="none"/>
    </w:rPr>
  </w:style>
  <w:style w:type="character" w:customStyle="1" w:styleId="70">
    <w:name w:val="font41"/>
    <w:basedOn w:val="24"/>
    <w:autoRedefine/>
    <w:qFormat/>
    <w:uiPriority w:val="0"/>
    <w:rPr>
      <w:rFonts w:hint="default" w:ascii="Times New Roman" w:hAnsi="Times New Roman" w:cs="Times New Roman"/>
      <w:color w:val="000000"/>
      <w:sz w:val="24"/>
      <w:szCs w:val="24"/>
      <w:u w:val="none"/>
    </w:rPr>
  </w:style>
  <w:style w:type="character" w:customStyle="1" w:styleId="71">
    <w:name w:val="未处理的提及3"/>
    <w:basedOn w:val="24"/>
    <w:autoRedefine/>
    <w:semiHidden/>
    <w:unhideWhenUsed/>
    <w:qFormat/>
    <w:uiPriority w:val="99"/>
    <w:rPr>
      <w:color w:val="605E5C"/>
      <w:shd w:val="clear" w:color="auto" w:fill="E1DFDD"/>
    </w:rPr>
  </w:style>
  <w:style w:type="character" w:customStyle="1" w:styleId="72">
    <w:name w:val="font61"/>
    <w:basedOn w:val="24"/>
    <w:qFormat/>
    <w:uiPriority w:val="0"/>
    <w:rPr>
      <w:rFonts w:hint="default" w:ascii="Times New Roman" w:hAnsi="Times New Roman" w:cs="Times New Roman"/>
      <w:color w:val="000000"/>
      <w:sz w:val="24"/>
      <w:szCs w:val="24"/>
      <w:u w:val="none"/>
    </w:rPr>
  </w:style>
  <w:style w:type="character" w:customStyle="1" w:styleId="73">
    <w:name w:val="font81"/>
    <w:basedOn w:val="24"/>
    <w:qFormat/>
    <w:uiPriority w:val="0"/>
    <w:rPr>
      <w:rFonts w:ascii="微软雅黑" w:hAnsi="微软雅黑" w:eastAsia="微软雅黑" w:cs="微软雅黑"/>
      <w:color w:val="000000"/>
      <w:sz w:val="18"/>
      <w:szCs w:val="18"/>
      <w:u w:val="none"/>
    </w:rPr>
  </w:style>
  <w:style w:type="character" w:customStyle="1" w:styleId="74">
    <w:name w:val="font91"/>
    <w:basedOn w:val="24"/>
    <w:qFormat/>
    <w:uiPriority w:val="0"/>
    <w:rPr>
      <w:rFonts w:hint="default" w:ascii="Times New Roman" w:hAnsi="Times New Roman" w:cs="Times New Roman"/>
      <w:color w:val="000000"/>
      <w:sz w:val="18"/>
      <w:szCs w:val="18"/>
      <w:u w:val="none"/>
    </w:rPr>
  </w:style>
  <w:style w:type="character" w:customStyle="1" w:styleId="75">
    <w:name w:val="font71"/>
    <w:basedOn w:val="24"/>
    <w:qFormat/>
    <w:uiPriority w:val="0"/>
    <w:rPr>
      <w:rFonts w:hint="eastAsia" w:ascii="宋体" w:hAnsi="宋体" w:eastAsia="宋体" w:cs="宋体"/>
      <w:color w:val="000000"/>
      <w:sz w:val="24"/>
      <w:szCs w:val="24"/>
      <w:u w:val="none"/>
    </w:rPr>
  </w:style>
  <w:style w:type="character" w:customStyle="1" w:styleId="76">
    <w:name w:val="font21"/>
    <w:basedOn w:val="24"/>
    <w:qFormat/>
    <w:uiPriority w:val="0"/>
    <w:rPr>
      <w:rFonts w:hint="default" w:ascii="Times New Roman" w:hAnsi="Times New Roman" w:cs="Times New Roman"/>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2109</Words>
  <Characters>14878</Characters>
  <Lines>1916</Lines>
  <Paragraphs>1022</Paragraphs>
  <TotalTime>3</TotalTime>
  <ScaleCrop>false</ScaleCrop>
  <LinksUpToDate>false</LinksUpToDate>
  <CharactersWithSpaces>16600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2023-10-12T04:21:00Z</dcterms:created>
  <dc:creator>A2397</dc:creator>
  <cp:lastModifiedBy>老景</cp:lastModifiedBy>
  <cp:lastPrinted>2021-12-19T03:20:00Z</cp:lastPrinted>
  <dcterms:modified xsi:type="dcterms:W3CDTF">2026-03-12T10:55:50Z</dcterms:modified>
  <cp:revision>285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BA88C26EF1FB4757B8E2FFAEAA392636_13</vt:lpwstr>
  </property>
  <property fmtid="{D5CDD505-2E9C-101B-9397-08002B2CF9AE}" pid="4" name="KSOTemplateDocerSaveRecord">
    <vt:lpwstr>eyJoZGlkIjoiMzEwNTM5NzYwMDRjMzkwZTVkZjY2ODkwMGIxNGU0OTUiLCJ1c2VySWQiOiIzNjM3NjIwMDcifQ==</vt:lpwstr>
  </property>
</Properties>
</file>