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40FB4" w:rsidRPr="0017181C" w14:paraId="0C688B5D" w14:textId="77777777" w:rsidTr="0018437A">
        <w:tc>
          <w:tcPr>
            <w:tcW w:w="9350" w:type="dxa"/>
            <w:gridSpan w:val="2"/>
          </w:tcPr>
          <w:p w14:paraId="5D9A8837" w14:textId="2939CAFB" w:rsidR="00440FB4" w:rsidRPr="0017181C" w:rsidRDefault="00886908" w:rsidP="0018437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</w:pPr>
            <w:r w:rsidRPr="0017181C">
              <w:rPr>
                <w:rFonts w:ascii="Times New Roman" w:hAnsi="Times New Roman" w:cs="Times New Roman"/>
                <w:lang w:val="en-AU"/>
              </w:rPr>
              <w:br w:type="page"/>
            </w:r>
            <w:r w:rsidR="00440FB4" w:rsidRPr="001718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t>Objective cognitive function subdomains</w:t>
            </w:r>
          </w:p>
        </w:tc>
      </w:tr>
      <w:tr w:rsidR="0018437A" w:rsidRPr="0017181C" w14:paraId="67097441" w14:textId="77777777" w:rsidTr="0018437A">
        <w:tc>
          <w:tcPr>
            <w:tcW w:w="4675" w:type="dxa"/>
          </w:tcPr>
          <w:p w14:paraId="271935FF" w14:textId="6E8ACEA9" w:rsidR="0018437A" w:rsidRPr="0017181C" w:rsidRDefault="0018437A" w:rsidP="0018437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lang w:val="en-AU"/>
              </w:rPr>
            </w:pPr>
            <w:r w:rsidRPr="0017181C">
              <w:rPr>
                <w:rFonts w:ascii="Times New Roman" w:hAnsi="Times New Roman" w:cs="Times New Roman"/>
                <w:noProof/>
                <w:lang w:val="en-AU"/>
              </w:rPr>
              <w:t>(A)</w:t>
            </w:r>
          </w:p>
        </w:tc>
        <w:tc>
          <w:tcPr>
            <w:tcW w:w="4675" w:type="dxa"/>
          </w:tcPr>
          <w:p w14:paraId="0D393741" w14:textId="7D282B6F" w:rsidR="0018437A" w:rsidRPr="0017181C" w:rsidRDefault="0018437A" w:rsidP="0018437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lang w:val="en-AU"/>
              </w:rPr>
            </w:pPr>
            <w:r w:rsidRPr="0017181C">
              <w:rPr>
                <w:rFonts w:ascii="Times New Roman" w:hAnsi="Times New Roman" w:cs="Times New Roman"/>
                <w:noProof/>
                <w:lang w:val="en-AU"/>
              </w:rPr>
              <w:t>(B)</w:t>
            </w:r>
          </w:p>
        </w:tc>
      </w:tr>
      <w:tr w:rsidR="00440FB4" w:rsidRPr="0017181C" w14:paraId="661209ED" w14:textId="77777777" w:rsidTr="0018437A">
        <w:trPr>
          <w:trHeight w:val="4464"/>
        </w:trPr>
        <w:tc>
          <w:tcPr>
            <w:tcW w:w="4675" w:type="dxa"/>
          </w:tcPr>
          <w:p w14:paraId="21B7190C" w14:textId="374AAF8A" w:rsidR="00440FB4" w:rsidRPr="0017181C" w:rsidRDefault="00AD461E" w:rsidP="00886908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17181C">
              <w:rPr>
                <w:noProof/>
                <w:lang w:val="en-AU"/>
              </w:rPr>
              <w:drawing>
                <wp:inline distT="0" distB="0" distL="0" distR="0" wp14:anchorId="473D0338" wp14:editId="0AB15D21">
                  <wp:extent cx="2650808" cy="2743200"/>
                  <wp:effectExtent l="0" t="0" r="16510" b="0"/>
                  <wp:docPr id="1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8D17668-2676-4411-8AA0-737C85001FE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0848A5EC" w14:textId="0E207C2F" w:rsidR="00440FB4" w:rsidRPr="0017181C" w:rsidRDefault="00AD461E" w:rsidP="00886908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17181C">
              <w:rPr>
                <w:noProof/>
                <w:lang w:val="en-AU"/>
              </w:rPr>
              <w:drawing>
                <wp:inline distT="0" distB="0" distL="0" distR="0" wp14:anchorId="0F48C9F4" wp14:editId="767855ED">
                  <wp:extent cx="2651760" cy="2743200"/>
                  <wp:effectExtent l="0" t="0" r="15240" b="0"/>
                  <wp:docPr id="2" name="Chart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D1ACD93-4298-4E42-A90D-4C861A7AAD8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  <w:tr w:rsidR="0018437A" w:rsidRPr="0017181C" w14:paraId="2B2F3AE2" w14:textId="77777777" w:rsidTr="0018437A">
        <w:tc>
          <w:tcPr>
            <w:tcW w:w="4675" w:type="dxa"/>
          </w:tcPr>
          <w:p w14:paraId="4841764D" w14:textId="102040F9" w:rsidR="0018437A" w:rsidRPr="0017181C" w:rsidRDefault="0018437A" w:rsidP="0018437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lang w:val="en-AU"/>
              </w:rPr>
            </w:pPr>
            <w:r w:rsidRPr="0017181C">
              <w:rPr>
                <w:rFonts w:ascii="Times New Roman" w:hAnsi="Times New Roman" w:cs="Times New Roman"/>
                <w:noProof/>
                <w:lang w:val="en-AU"/>
              </w:rPr>
              <w:t>(C)</w:t>
            </w:r>
          </w:p>
        </w:tc>
        <w:tc>
          <w:tcPr>
            <w:tcW w:w="4675" w:type="dxa"/>
          </w:tcPr>
          <w:p w14:paraId="12644171" w14:textId="3F31051D" w:rsidR="0018437A" w:rsidRPr="0017181C" w:rsidRDefault="0018437A" w:rsidP="0018437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lang w:val="en-AU"/>
              </w:rPr>
            </w:pPr>
            <w:r w:rsidRPr="0017181C">
              <w:rPr>
                <w:rFonts w:ascii="Times New Roman" w:hAnsi="Times New Roman" w:cs="Times New Roman"/>
                <w:noProof/>
                <w:lang w:val="en-AU"/>
              </w:rPr>
              <w:t>(D)</w:t>
            </w:r>
          </w:p>
        </w:tc>
      </w:tr>
      <w:tr w:rsidR="00440FB4" w:rsidRPr="0017181C" w14:paraId="1477BB8B" w14:textId="77777777" w:rsidTr="0018437A">
        <w:trPr>
          <w:trHeight w:val="4464"/>
        </w:trPr>
        <w:tc>
          <w:tcPr>
            <w:tcW w:w="4675" w:type="dxa"/>
          </w:tcPr>
          <w:p w14:paraId="5D13B5F8" w14:textId="15DAEB4A" w:rsidR="00440FB4" w:rsidRPr="0017181C" w:rsidRDefault="00AD461E" w:rsidP="00886908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17181C">
              <w:rPr>
                <w:noProof/>
                <w:lang w:val="en-AU"/>
              </w:rPr>
              <w:drawing>
                <wp:inline distT="0" distB="0" distL="0" distR="0" wp14:anchorId="0A812C36" wp14:editId="7F45CAE7">
                  <wp:extent cx="2650490" cy="2717320"/>
                  <wp:effectExtent l="0" t="0" r="16510" b="6985"/>
                  <wp:docPr id="3" name="Chart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80DE45-B713-4D46-993B-3315AB5A93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5838C202" w14:textId="3A782A04" w:rsidR="00440FB4" w:rsidRPr="0017181C" w:rsidRDefault="00AD461E" w:rsidP="00886908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17181C">
              <w:rPr>
                <w:noProof/>
                <w:lang w:val="en-AU"/>
              </w:rPr>
              <w:drawing>
                <wp:inline distT="0" distB="0" distL="0" distR="0" wp14:anchorId="2EF0BAEA" wp14:editId="30C80F5E">
                  <wp:extent cx="2620370" cy="2702256"/>
                  <wp:effectExtent l="0" t="0" r="8890" b="3175"/>
                  <wp:docPr id="4" name="Chart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DDA69B-1522-42D6-9D73-0DC64AF838E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</w:tbl>
    <w:p w14:paraId="51D9D897" w14:textId="31D5211A" w:rsidR="00706C06" w:rsidRDefault="00706C06" w:rsidP="00706C0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AU"/>
        </w:rPr>
      </w:pPr>
      <w:r w:rsidRPr="0017181C">
        <w:rPr>
          <w:rFonts w:ascii="Times New Roman" w:hAnsi="Times New Roman" w:cs="Times New Roman"/>
          <w:b/>
          <w:bCs/>
          <w:sz w:val="24"/>
          <w:szCs w:val="24"/>
          <w:lang w:val="en-AU"/>
        </w:rPr>
        <w:t>Supplementary Figure S</w:t>
      </w:r>
      <w:r>
        <w:rPr>
          <w:rFonts w:ascii="Times New Roman" w:hAnsi="Times New Roman" w:cs="Times New Roman"/>
          <w:b/>
          <w:bCs/>
          <w:sz w:val="24"/>
          <w:szCs w:val="24"/>
          <w:lang w:val="en-AU"/>
        </w:rPr>
        <w:t>1</w:t>
      </w:r>
      <w:r w:rsidRPr="0017181C">
        <w:rPr>
          <w:rFonts w:ascii="Times New Roman" w:hAnsi="Times New Roman" w:cs="Times New Roman"/>
          <w:b/>
          <w:bCs/>
          <w:sz w:val="24"/>
          <w:szCs w:val="24"/>
          <w:lang w:val="en-AU"/>
        </w:rPr>
        <w:t>.</w:t>
      </w:r>
      <w:r w:rsidRPr="0017181C">
        <w:rPr>
          <w:rFonts w:ascii="Times New Roman" w:hAnsi="Times New Roman" w:cs="Times New Roman"/>
          <w:sz w:val="24"/>
          <w:szCs w:val="24"/>
          <w:lang w:val="en-AU"/>
        </w:rPr>
        <w:t xml:space="preserve"> The changes in objective and subjective cognitive function subdomains between three physical activity pattern groups</w:t>
      </w:r>
    </w:p>
    <w:p w14:paraId="2D57092D" w14:textId="6A1FFC00" w:rsidR="00706C06" w:rsidRPr="0017181C" w:rsidRDefault="00706C06" w:rsidP="00706C0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AU"/>
        </w:rPr>
      </w:pPr>
      <w:r w:rsidRPr="00706C06">
        <w:rPr>
          <w:rFonts w:ascii="Times New Roman" w:hAnsi="Times New Roman" w:cs="Times New Roman"/>
          <w:b/>
          <w:bCs/>
          <w:i/>
          <w:iCs/>
          <w:sz w:val="24"/>
          <w:szCs w:val="24"/>
          <w:lang w:val="en-AU"/>
        </w:rPr>
        <w:t>Note.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706C06">
        <w:rPr>
          <w:rFonts w:ascii="Times New Roman" w:hAnsi="Times New Roman" w:cs="Times New Roman"/>
          <w:sz w:val="24"/>
          <w:szCs w:val="24"/>
          <w:lang w:val="en-AU"/>
        </w:rPr>
        <w:t>Physical activity trajectories</w:t>
      </w:r>
      <w:r w:rsidR="00403504">
        <w:rPr>
          <w:rFonts w:ascii="Times New Roman" w:hAnsi="Times New Roman" w:cs="Times New Roman"/>
          <w:sz w:val="24"/>
          <w:szCs w:val="24"/>
          <w:lang w:val="en-AU"/>
        </w:rPr>
        <w:t>:</w:t>
      </w:r>
      <w:r w:rsidRPr="00706C06">
        <w:rPr>
          <w:rFonts w:ascii="Times New Roman" w:hAnsi="Times New Roman" w:cs="Times New Roman"/>
          <w:sz w:val="24"/>
          <w:szCs w:val="24"/>
          <w:lang w:val="en-AU"/>
        </w:rPr>
        <w:t xml:space="preserve"> consistently low physical activity (group 1), consistently high physical activity (group 2), and decline (high to moderate) (group 3).</w:t>
      </w:r>
    </w:p>
    <w:p w14:paraId="5E39C477" w14:textId="77777777" w:rsidR="0018437A" w:rsidRPr="0017181C" w:rsidRDefault="0018437A">
      <w:pPr>
        <w:rPr>
          <w:lang w:val="en-AU"/>
        </w:rPr>
      </w:pPr>
    </w:p>
    <w:p w14:paraId="61187161" w14:textId="77777777" w:rsidR="0018437A" w:rsidRPr="0017181C" w:rsidRDefault="0018437A">
      <w:pPr>
        <w:rPr>
          <w:lang w:val="en-AU"/>
        </w:rPr>
      </w:pPr>
    </w:p>
    <w:p w14:paraId="06D15891" w14:textId="77777777" w:rsidR="0018437A" w:rsidRPr="0017181C" w:rsidRDefault="0018437A">
      <w:pPr>
        <w:rPr>
          <w:lang w:val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40FB4" w:rsidRPr="0017181C" w14:paraId="78C86F6D" w14:textId="77777777" w:rsidTr="0018437A">
        <w:tc>
          <w:tcPr>
            <w:tcW w:w="9350" w:type="dxa"/>
            <w:gridSpan w:val="2"/>
          </w:tcPr>
          <w:p w14:paraId="6D80945C" w14:textId="29580CF9" w:rsidR="00440FB4" w:rsidRPr="0017181C" w:rsidRDefault="00440FB4" w:rsidP="0018437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</w:pPr>
            <w:r w:rsidRPr="001718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lastRenderedPageBreak/>
              <w:t>Subjective cognitive function subdomains</w:t>
            </w:r>
          </w:p>
        </w:tc>
      </w:tr>
      <w:tr w:rsidR="0018437A" w:rsidRPr="0017181C" w14:paraId="4C729100" w14:textId="77777777" w:rsidTr="0018437A">
        <w:tc>
          <w:tcPr>
            <w:tcW w:w="4675" w:type="dxa"/>
          </w:tcPr>
          <w:p w14:paraId="4E035A1A" w14:textId="76E9AD46" w:rsidR="0018437A" w:rsidRPr="0017181C" w:rsidRDefault="0018437A" w:rsidP="0018437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lang w:val="en-AU"/>
              </w:rPr>
            </w:pPr>
            <w:r w:rsidRPr="0017181C">
              <w:rPr>
                <w:rFonts w:ascii="Times New Roman" w:hAnsi="Times New Roman" w:cs="Times New Roman"/>
                <w:noProof/>
                <w:lang w:val="en-AU"/>
              </w:rPr>
              <w:t>(E)</w:t>
            </w:r>
          </w:p>
        </w:tc>
        <w:tc>
          <w:tcPr>
            <w:tcW w:w="4675" w:type="dxa"/>
          </w:tcPr>
          <w:p w14:paraId="71A4703C" w14:textId="2ABF4EDC" w:rsidR="0018437A" w:rsidRPr="0017181C" w:rsidRDefault="0018437A" w:rsidP="0018437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lang w:val="en-AU"/>
              </w:rPr>
            </w:pPr>
            <w:r w:rsidRPr="0017181C">
              <w:rPr>
                <w:rFonts w:ascii="Times New Roman" w:hAnsi="Times New Roman" w:cs="Times New Roman"/>
                <w:noProof/>
                <w:lang w:val="en-AU"/>
              </w:rPr>
              <w:t>(F)</w:t>
            </w:r>
          </w:p>
        </w:tc>
      </w:tr>
      <w:tr w:rsidR="00440FB4" w:rsidRPr="0017181C" w14:paraId="6A7D9DE1" w14:textId="77777777" w:rsidTr="00C24AB0">
        <w:trPr>
          <w:trHeight w:val="4473"/>
        </w:trPr>
        <w:tc>
          <w:tcPr>
            <w:tcW w:w="4675" w:type="dxa"/>
          </w:tcPr>
          <w:p w14:paraId="3C6798EA" w14:textId="671F8ED2" w:rsidR="00440FB4" w:rsidRPr="0017181C" w:rsidRDefault="0018437A" w:rsidP="00886908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17181C">
              <w:rPr>
                <w:noProof/>
                <w:lang w:val="en-AU"/>
              </w:rPr>
              <w:drawing>
                <wp:inline distT="0" distB="0" distL="0" distR="0" wp14:anchorId="40B705CD" wp14:editId="48665872">
                  <wp:extent cx="2667000" cy="2743200"/>
                  <wp:effectExtent l="0" t="0" r="0" b="0"/>
                  <wp:docPr id="5" name="Chart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FE43178-2D3C-47C3-9546-6E0EC48AB4A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6D622DA2" w14:textId="0470FD09" w:rsidR="00440FB4" w:rsidRPr="0017181C" w:rsidRDefault="0018437A" w:rsidP="00886908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17181C">
              <w:rPr>
                <w:noProof/>
                <w:lang w:val="en-AU"/>
              </w:rPr>
              <w:drawing>
                <wp:inline distT="0" distB="0" distL="0" distR="0" wp14:anchorId="7DA7E4A8" wp14:editId="2CFC0F8C">
                  <wp:extent cx="2667000" cy="2743200"/>
                  <wp:effectExtent l="0" t="0" r="0" b="0"/>
                  <wp:docPr id="6" name="Chart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EF79B89-8DEC-4112-A2F1-62A486C671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</w:tr>
      <w:tr w:rsidR="0018437A" w:rsidRPr="0017181C" w14:paraId="2CB7E637" w14:textId="77777777" w:rsidTr="0018437A">
        <w:tc>
          <w:tcPr>
            <w:tcW w:w="4675" w:type="dxa"/>
          </w:tcPr>
          <w:p w14:paraId="59FD6321" w14:textId="318EDDB7" w:rsidR="0018437A" w:rsidRPr="0017181C" w:rsidRDefault="0018437A" w:rsidP="00C24AB0">
            <w:pPr>
              <w:tabs>
                <w:tab w:val="left" w:pos="163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lang w:val="en-AU"/>
              </w:rPr>
            </w:pPr>
            <w:r w:rsidRPr="0017181C">
              <w:rPr>
                <w:rFonts w:ascii="Times New Roman" w:hAnsi="Times New Roman" w:cs="Times New Roman"/>
                <w:noProof/>
                <w:lang w:val="en-AU"/>
              </w:rPr>
              <w:t>(G)</w:t>
            </w:r>
          </w:p>
        </w:tc>
        <w:tc>
          <w:tcPr>
            <w:tcW w:w="4675" w:type="dxa"/>
          </w:tcPr>
          <w:p w14:paraId="68D0C8E5" w14:textId="6BFF29E1" w:rsidR="0018437A" w:rsidRPr="0017181C" w:rsidRDefault="0018437A" w:rsidP="00C24AB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lang w:val="en-AU"/>
              </w:rPr>
            </w:pPr>
            <w:r w:rsidRPr="0017181C">
              <w:rPr>
                <w:rFonts w:ascii="Times New Roman" w:hAnsi="Times New Roman" w:cs="Times New Roman"/>
                <w:noProof/>
                <w:lang w:val="en-AU"/>
              </w:rPr>
              <w:t>(H)</w:t>
            </w:r>
          </w:p>
        </w:tc>
      </w:tr>
      <w:tr w:rsidR="00440FB4" w:rsidRPr="0017181C" w14:paraId="201E09ED" w14:textId="77777777" w:rsidTr="00C24AB0">
        <w:trPr>
          <w:trHeight w:val="4473"/>
        </w:trPr>
        <w:tc>
          <w:tcPr>
            <w:tcW w:w="4675" w:type="dxa"/>
          </w:tcPr>
          <w:p w14:paraId="701EAEA8" w14:textId="6DE28B14" w:rsidR="00440FB4" w:rsidRPr="0017181C" w:rsidRDefault="0018437A" w:rsidP="0018437A">
            <w:pPr>
              <w:tabs>
                <w:tab w:val="left" w:pos="1630"/>
              </w:tabs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17181C">
              <w:rPr>
                <w:noProof/>
                <w:lang w:val="en-AU"/>
              </w:rPr>
              <w:drawing>
                <wp:inline distT="0" distB="0" distL="0" distR="0" wp14:anchorId="5B5D308F" wp14:editId="211CC0DB">
                  <wp:extent cx="2667000" cy="2743200"/>
                  <wp:effectExtent l="0" t="0" r="0" b="0"/>
                  <wp:docPr id="8" name="Chart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A7D746-67A1-40E9-B37C-EAFBECF1F95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641F4EC7" w14:textId="1F2C287E" w:rsidR="00440FB4" w:rsidRPr="0017181C" w:rsidRDefault="00CF5199" w:rsidP="00886908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17181C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drawing>
                <wp:inline distT="0" distB="0" distL="0" distR="0" wp14:anchorId="334FF322" wp14:editId="7F5C9E27">
                  <wp:extent cx="2664460" cy="2749550"/>
                  <wp:effectExtent l="0" t="0" r="254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4460" cy="274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AC5375" w14:textId="051718C6" w:rsidR="00514393" w:rsidRDefault="00514393" w:rsidP="0088690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AU"/>
        </w:rPr>
      </w:pPr>
      <w:r w:rsidRPr="0017181C">
        <w:rPr>
          <w:rFonts w:ascii="Times New Roman" w:hAnsi="Times New Roman" w:cs="Times New Roman"/>
          <w:b/>
          <w:bCs/>
          <w:sz w:val="24"/>
          <w:szCs w:val="24"/>
          <w:lang w:val="en-AU"/>
        </w:rPr>
        <w:t>Supplementary Figure S</w:t>
      </w:r>
      <w:r w:rsidR="00706C06">
        <w:rPr>
          <w:rFonts w:ascii="Times New Roman" w:hAnsi="Times New Roman" w:cs="Times New Roman"/>
          <w:b/>
          <w:bCs/>
          <w:sz w:val="24"/>
          <w:szCs w:val="24"/>
          <w:lang w:val="en-AU"/>
        </w:rPr>
        <w:t>2</w:t>
      </w:r>
      <w:r w:rsidRPr="0017181C">
        <w:rPr>
          <w:rFonts w:ascii="Times New Roman" w:hAnsi="Times New Roman" w:cs="Times New Roman"/>
          <w:b/>
          <w:bCs/>
          <w:sz w:val="24"/>
          <w:szCs w:val="24"/>
          <w:lang w:val="en-AU"/>
        </w:rPr>
        <w:t>.</w:t>
      </w:r>
      <w:r w:rsidRPr="0017181C">
        <w:rPr>
          <w:rFonts w:ascii="Times New Roman" w:hAnsi="Times New Roman" w:cs="Times New Roman"/>
          <w:sz w:val="24"/>
          <w:szCs w:val="24"/>
          <w:lang w:val="en-AU"/>
        </w:rPr>
        <w:t xml:space="preserve"> The changes in objective and subjective cognitive function subdomains between three physical activity pattern groups</w:t>
      </w:r>
    </w:p>
    <w:p w14:paraId="6C02D456" w14:textId="4EDCF0BF" w:rsidR="00706C06" w:rsidRPr="0017181C" w:rsidRDefault="00706C06" w:rsidP="0088690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AU"/>
        </w:rPr>
      </w:pPr>
      <w:r w:rsidRPr="00706C06">
        <w:rPr>
          <w:rFonts w:ascii="Times New Roman" w:hAnsi="Times New Roman" w:cs="Times New Roman"/>
          <w:b/>
          <w:bCs/>
          <w:i/>
          <w:iCs/>
          <w:sz w:val="24"/>
          <w:szCs w:val="24"/>
          <w:lang w:val="en-AU"/>
        </w:rPr>
        <w:t>Note.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706C06">
        <w:rPr>
          <w:rFonts w:ascii="Times New Roman" w:hAnsi="Times New Roman" w:cs="Times New Roman"/>
          <w:sz w:val="24"/>
          <w:szCs w:val="24"/>
          <w:lang w:val="en-AU"/>
        </w:rPr>
        <w:t>Physical activity trajectories</w:t>
      </w:r>
      <w:r w:rsidR="00403504">
        <w:rPr>
          <w:rFonts w:ascii="Times New Roman" w:hAnsi="Times New Roman" w:cs="Times New Roman"/>
          <w:sz w:val="24"/>
          <w:szCs w:val="24"/>
          <w:lang w:val="en-AU"/>
        </w:rPr>
        <w:t>:</w:t>
      </w:r>
      <w:r w:rsidRPr="00706C06">
        <w:rPr>
          <w:rFonts w:ascii="Times New Roman" w:hAnsi="Times New Roman" w:cs="Times New Roman"/>
          <w:sz w:val="24"/>
          <w:szCs w:val="24"/>
          <w:lang w:val="en-AU"/>
        </w:rPr>
        <w:t xml:space="preserve"> consistently low physical activity (group 1), consistently high physical activity (group 2), and decline (high to moderate) (group 3).</w:t>
      </w:r>
    </w:p>
    <w:p w14:paraId="4543923C" w14:textId="07971A2D" w:rsidR="00713FBB" w:rsidRPr="00706C06" w:rsidRDefault="005510BB" w:rsidP="00706C0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AU"/>
        </w:rPr>
      </w:pPr>
      <w:r w:rsidRPr="0017181C">
        <w:rPr>
          <w:rFonts w:ascii="Times New Roman" w:hAnsi="Times New Roman" w:cs="Times New Roman"/>
          <w:b/>
          <w:bCs/>
          <w:lang w:val="en-AU"/>
        </w:rPr>
        <w:t>Abbreviations:</w:t>
      </w:r>
      <w:r w:rsidRPr="0017181C">
        <w:rPr>
          <w:rFonts w:ascii="Times New Roman" w:hAnsi="Times New Roman" w:cs="Times New Roman"/>
          <w:lang w:val="en-AU"/>
        </w:rPr>
        <w:t xml:space="preserve"> CogPCI, perceived cognitive impairments; CogQOL, impact of perceived cognitive impairments on quality of life; CogOth, comments from others; CogPCA, perceived</w:t>
      </w:r>
      <w:r w:rsidRPr="0017181C">
        <w:rPr>
          <w:lang w:val="en-AU"/>
        </w:rPr>
        <w:t xml:space="preserve"> </w:t>
      </w:r>
      <w:r w:rsidRPr="0017181C">
        <w:rPr>
          <w:rFonts w:ascii="Times New Roman" w:hAnsi="Times New Roman" w:cs="Times New Roman"/>
          <w:lang w:val="en-AU"/>
        </w:rPr>
        <w:t>cognitive abilities.</w:t>
      </w:r>
    </w:p>
    <w:sectPr w:rsidR="00713FBB" w:rsidRPr="00706C06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833DF" w14:textId="77777777" w:rsidR="0077373B" w:rsidRDefault="0077373B" w:rsidP="004A5AF6">
      <w:pPr>
        <w:spacing w:after="0" w:line="240" w:lineRule="auto"/>
      </w:pPr>
      <w:r>
        <w:separator/>
      </w:r>
    </w:p>
  </w:endnote>
  <w:endnote w:type="continuationSeparator" w:id="0">
    <w:p w14:paraId="0FA58688" w14:textId="77777777" w:rsidR="0077373B" w:rsidRDefault="0077373B" w:rsidP="004A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19284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F778F8D" w14:textId="5793357A" w:rsidR="004A5AF6" w:rsidRPr="004A5AF6" w:rsidRDefault="004A5AF6" w:rsidP="004A5AF6">
        <w:pPr>
          <w:pStyle w:val="Footer"/>
          <w:jc w:val="right"/>
          <w:rPr>
            <w:rFonts w:ascii="Times New Roman" w:hAnsi="Times New Roman" w:cs="Times New Roman"/>
          </w:rPr>
        </w:pPr>
        <w:r w:rsidRPr="004A5AF6">
          <w:rPr>
            <w:rFonts w:ascii="Times New Roman" w:hAnsi="Times New Roman" w:cs="Times New Roman"/>
          </w:rPr>
          <w:fldChar w:fldCharType="begin"/>
        </w:r>
        <w:r w:rsidRPr="004A5AF6">
          <w:rPr>
            <w:rFonts w:ascii="Times New Roman" w:hAnsi="Times New Roman" w:cs="Times New Roman"/>
          </w:rPr>
          <w:instrText xml:space="preserve"> PAGE   \* MERGEFORMAT </w:instrText>
        </w:r>
        <w:r w:rsidRPr="004A5AF6">
          <w:rPr>
            <w:rFonts w:ascii="Times New Roman" w:hAnsi="Times New Roman" w:cs="Times New Roman"/>
          </w:rPr>
          <w:fldChar w:fldCharType="separate"/>
        </w:r>
        <w:r w:rsidRPr="004A5AF6">
          <w:rPr>
            <w:rFonts w:ascii="Times New Roman" w:hAnsi="Times New Roman" w:cs="Times New Roman"/>
            <w:noProof/>
          </w:rPr>
          <w:t>2</w:t>
        </w:r>
        <w:r w:rsidRPr="004A5AF6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70DED" w14:textId="77777777" w:rsidR="0077373B" w:rsidRDefault="0077373B" w:rsidP="004A5AF6">
      <w:pPr>
        <w:spacing w:after="0" w:line="240" w:lineRule="auto"/>
      </w:pPr>
      <w:r>
        <w:separator/>
      </w:r>
    </w:p>
  </w:footnote>
  <w:footnote w:type="continuationSeparator" w:id="0">
    <w:p w14:paraId="1D53D653" w14:textId="77777777" w:rsidR="0077373B" w:rsidRDefault="0077373B" w:rsidP="004A5A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cwsrQwMTQ2NzcxMzRQ0lEKTi0uzszPAykwrgUARsKobSwAAAA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MA 11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773A9F"/>
    <w:rsid w:val="00001138"/>
    <w:rsid w:val="00013D4D"/>
    <w:rsid w:val="00013DE5"/>
    <w:rsid w:val="00021BB1"/>
    <w:rsid w:val="00022A28"/>
    <w:rsid w:val="000243E0"/>
    <w:rsid w:val="00053B58"/>
    <w:rsid w:val="00060584"/>
    <w:rsid w:val="00073289"/>
    <w:rsid w:val="00074131"/>
    <w:rsid w:val="00075AB1"/>
    <w:rsid w:val="0007722F"/>
    <w:rsid w:val="00080D0D"/>
    <w:rsid w:val="00091CEB"/>
    <w:rsid w:val="000A21F0"/>
    <w:rsid w:val="000A3D95"/>
    <w:rsid w:val="000A45DA"/>
    <w:rsid w:val="000A6D79"/>
    <w:rsid w:val="000B3921"/>
    <w:rsid w:val="000B51CB"/>
    <w:rsid w:val="000B6D93"/>
    <w:rsid w:val="000B745D"/>
    <w:rsid w:val="000C2FFD"/>
    <w:rsid w:val="000C36F6"/>
    <w:rsid w:val="000D598F"/>
    <w:rsid w:val="000E1F35"/>
    <w:rsid w:val="000E5F7A"/>
    <w:rsid w:val="000F3B51"/>
    <w:rsid w:val="000F6A5C"/>
    <w:rsid w:val="00143464"/>
    <w:rsid w:val="001460F6"/>
    <w:rsid w:val="0015459F"/>
    <w:rsid w:val="00164350"/>
    <w:rsid w:val="00166C60"/>
    <w:rsid w:val="0017181C"/>
    <w:rsid w:val="00174D77"/>
    <w:rsid w:val="00180BBC"/>
    <w:rsid w:val="00183749"/>
    <w:rsid w:val="0018437A"/>
    <w:rsid w:val="0018689E"/>
    <w:rsid w:val="00195A00"/>
    <w:rsid w:val="001A09D0"/>
    <w:rsid w:val="001A0BD1"/>
    <w:rsid w:val="001A3A9D"/>
    <w:rsid w:val="001B7259"/>
    <w:rsid w:val="001C3848"/>
    <w:rsid w:val="001D59A3"/>
    <w:rsid w:val="001E13A1"/>
    <w:rsid w:val="001F67A1"/>
    <w:rsid w:val="001F7403"/>
    <w:rsid w:val="00200A8E"/>
    <w:rsid w:val="002110C7"/>
    <w:rsid w:val="0021730C"/>
    <w:rsid w:val="00225CAF"/>
    <w:rsid w:val="00234E4D"/>
    <w:rsid w:val="00246EDE"/>
    <w:rsid w:val="002473A2"/>
    <w:rsid w:val="002516D8"/>
    <w:rsid w:val="00251EE3"/>
    <w:rsid w:val="0025359D"/>
    <w:rsid w:val="00253DD7"/>
    <w:rsid w:val="00253FEA"/>
    <w:rsid w:val="00256B8F"/>
    <w:rsid w:val="00271E74"/>
    <w:rsid w:val="00283066"/>
    <w:rsid w:val="00291490"/>
    <w:rsid w:val="002A33C6"/>
    <w:rsid w:val="002A51FC"/>
    <w:rsid w:val="002B4600"/>
    <w:rsid w:val="002B6C30"/>
    <w:rsid w:val="002B7188"/>
    <w:rsid w:val="002C0439"/>
    <w:rsid w:val="002C5C21"/>
    <w:rsid w:val="002D2F04"/>
    <w:rsid w:val="002D3353"/>
    <w:rsid w:val="002E1A12"/>
    <w:rsid w:val="002E2DC7"/>
    <w:rsid w:val="002E31AF"/>
    <w:rsid w:val="002F2EB1"/>
    <w:rsid w:val="002F5AC5"/>
    <w:rsid w:val="00315976"/>
    <w:rsid w:val="00316559"/>
    <w:rsid w:val="003267D7"/>
    <w:rsid w:val="0032750A"/>
    <w:rsid w:val="00334048"/>
    <w:rsid w:val="00337D95"/>
    <w:rsid w:val="003502CF"/>
    <w:rsid w:val="00353B5E"/>
    <w:rsid w:val="003616D2"/>
    <w:rsid w:val="00367D9A"/>
    <w:rsid w:val="00371654"/>
    <w:rsid w:val="00374EA1"/>
    <w:rsid w:val="003755B7"/>
    <w:rsid w:val="0039466C"/>
    <w:rsid w:val="003A04BC"/>
    <w:rsid w:val="003A7898"/>
    <w:rsid w:val="003C309B"/>
    <w:rsid w:val="003C4BFC"/>
    <w:rsid w:val="003C5630"/>
    <w:rsid w:val="003C5E5E"/>
    <w:rsid w:val="003D5F36"/>
    <w:rsid w:val="003E5550"/>
    <w:rsid w:val="003E64D3"/>
    <w:rsid w:val="003E68EA"/>
    <w:rsid w:val="003E6F0D"/>
    <w:rsid w:val="00401635"/>
    <w:rsid w:val="00403504"/>
    <w:rsid w:val="00406020"/>
    <w:rsid w:val="00412A5A"/>
    <w:rsid w:val="00414693"/>
    <w:rsid w:val="00415664"/>
    <w:rsid w:val="0041737C"/>
    <w:rsid w:val="00417821"/>
    <w:rsid w:val="00440FB4"/>
    <w:rsid w:val="00446D38"/>
    <w:rsid w:val="00457E2E"/>
    <w:rsid w:val="00464BB4"/>
    <w:rsid w:val="004727C1"/>
    <w:rsid w:val="00485CBC"/>
    <w:rsid w:val="004A2D2A"/>
    <w:rsid w:val="004A5625"/>
    <w:rsid w:val="004A5AF6"/>
    <w:rsid w:val="004B1CA5"/>
    <w:rsid w:val="004B2558"/>
    <w:rsid w:val="004B363A"/>
    <w:rsid w:val="004C6E25"/>
    <w:rsid w:val="004E46CC"/>
    <w:rsid w:val="004F007E"/>
    <w:rsid w:val="004F3811"/>
    <w:rsid w:val="0051165C"/>
    <w:rsid w:val="00514393"/>
    <w:rsid w:val="00514887"/>
    <w:rsid w:val="005217AA"/>
    <w:rsid w:val="0052734B"/>
    <w:rsid w:val="00527BB6"/>
    <w:rsid w:val="005510BB"/>
    <w:rsid w:val="00554FE8"/>
    <w:rsid w:val="00556B06"/>
    <w:rsid w:val="00563C44"/>
    <w:rsid w:val="00563ED6"/>
    <w:rsid w:val="00564E10"/>
    <w:rsid w:val="00566D55"/>
    <w:rsid w:val="00572A31"/>
    <w:rsid w:val="00581FDE"/>
    <w:rsid w:val="00582B70"/>
    <w:rsid w:val="005837DF"/>
    <w:rsid w:val="00584DBF"/>
    <w:rsid w:val="005858C6"/>
    <w:rsid w:val="00592118"/>
    <w:rsid w:val="005937AE"/>
    <w:rsid w:val="005960EB"/>
    <w:rsid w:val="005A16C4"/>
    <w:rsid w:val="005A53BA"/>
    <w:rsid w:val="005A5679"/>
    <w:rsid w:val="005B167E"/>
    <w:rsid w:val="005B7243"/>
    <w:rsid w:val="005C0701"/>
    <w:rsid w:val="005C6569"/>
    <w:rsid w:val="005C6EF1"/>
    <w:rsid w:val="005C6F28"/>
    <w:rsid w:val="005D0A84"/>
    <w:rsid w:val="005D3930"/>
    <w:rsid w:val="00601453"/>
    <w:rsid w:val="006029C4"/>
    <w:rsid w:val="00603949"/>
    <w:rsid w:val="00606AC6"/>
    <w:rsid w:val="0061088E"/>
    <w:rsid w:val="006114E5"/>
    <w:rsid w:val="00614188"/>
    <w:rsid w:val="00615910"/>
    <w:rsid w:val="00621FF5"/>
    <w:rsid w:val="00630E21"/>
    <w:rsid w:val="006327C3"/>
    <w:rsid w:val="0063611B"/>
    <w:rsid w:val="00644F00"/>
    <w:rsid w:val="00650875"/>
    <w:rsid w:val="00652180"/>
    <w:rsid w:val="006650DD"/>
    <w:rsid w:val="00667C09"/>
    <w:rsid w:val="006733C3"/>
    <w:rsid w:val="0068179E"/>
    <w:rsid w:val="00684DF6"/>
    <w:rsid w:val="006B2B1D"/>
    <w:rsid w:val="006C385E"/>
    <w:rsid w:val="006D12DB"/>
    <w:rsid w:val="006E2568"/>
    <w:rsid w:val="006E370C"/>
    <w:rsid w:val="006E52D3"/>
    <w:rsid w:val="007051C2"/>
    <w:rsid w:val="00706C06"/>
    <w:rsid w:val="0070759F"/>
    <w:rsid w:val="00707AFF"/>
    <w:rsid w:val="007104E7"/>
    <w:rsid w:val="00712A03"/>
    <w:rsid w:val="00713FBB"/>
    <w:rsid w:val="00732038"/>
    <w:rsid w:val="00734647"/>
    <w:rsid w:val="007408B2"/>
    <w:rsid w:val="00741155"/>
    <w:rsid w:val="0074130F"/>
    <w:rsid w:val="0074392A"/>
    <w:rsid w:val="007529E3"/>
    <w:rsid w:val="00764A24"/>
    <w:rsid w:val="00764AE7"/>
    <w:rsid w:val="00765AFD"/>
    <w:rsid w:val="0077320E"/>
    <w:rsid w:val="0077373B"/>
    <w:rsid w:val="00773A9F"/>
    <w:rsid w:val="00781413"/>
    <w:rsid w:val="00781B34"/>
    <w:rsid w:val="00783197"/>
    <w:rsid w:val="007B4ACA"/>
    <w:rsid w:val="007C2B13"/>
    <w:rsid w:val="007E6D0E"/>
    <w:rsid w:val="007F0E2B"/>
    <w:rsid w:val="007F7FD0"/>
    <w:rsid w:val="00800597"/>
    <w:rsid w:val="0081048E"/>
    <w:rsid w:val="008205BA"/>
    <w:rsid w:val="0082124E"/>
    <w:rsid w:val="00825DC8"/>
    <w:rsid w:val="00827BFF"/>
    <w:rsid w:val="00831626"/>
    <w:rsid w:val="00832CD0"/>
    <w:rsid w:val="008348A1"/>
    <w:rsid w:val="00836B24"/>
    <w:rsid w:val="00841200"/>
    <w:rsid w:val="00845BE1"/>
    <w:rsid w:val="00852ABB"/>
    <w:rsid w:val="008659F5"/>
    <w:rsid w:val="00872E60"/>
    <w:rsid w:val="00886908"/>
    <w:rsid w:val="008946D8"/>
    <w:rsid w:val="00896B8C"/>
    <w:rsid w:val="008A0DC9"/>
    <w:rsid w:val="008A6529"/>
    <w:rsid w:val="008B6D4B"/>
    <w:rsid w:val="008C2681"/>
    <w:rsid w:val="008C5B6D"/>
    <w:rsid w:val="008C6B90"/>
    <w:rsid w:val="008D7F93"/>
    <w:rsid w:val="008F0405"/>
    <w:rsid w:val="008F5959"/>
    <w:rsid w:val="0090361D"/>
    <w:rsid w:val="00904E96"/>
    <w:rsid w:val="00912D92"/>
    <w:rsid w:val="00917BC2"/>
    <w:rsid w:val="00921A29"/>
    <w:rsid w:val="009304FF"/>
    <w:rsid w:val="00932F17"/>
    <w:rsid w:val="00941C17"/>
    <w:rsid w:val="00943CAD"/>
    <w:rsid w:val="00950328"/>
    <w:rsid w:val="0095268A"/>
    <w:rsid w:val="00960C76"/>
    <w:rsid w:val="00972C4B"/>
    <w:rsid w:val="009739A5"/>
    <w:rsid w:val="009744CD"/>
    <w:rsid w:val="00987627"/>
    <w:rsid w:val="00987CFD"/>
    <w:rsid w:val="00997396"/>
    <w:rsid w:val="009A6551"/>
    <w:rsid w:val="009C4C22"/>
    <w:rsid w:val="009D490C"/>
    <w:rsid w:val="009D4ECF"/>
    <w:rsid w:val="009D68B9"/>
    <w:rsid w:val="009E24DE"/>
    <w:rsid w:val="009E6381"/>
    <w:rsid w:val="009E77E0"/>
    <w:rsid w:val="00A05EEC"/>
    <w:rsid w:val="00A114CF"/>
    <w:rsid w:val="00A1485B"/>
    <w:rsid w:val="00A153F0"/>
    <w:rsid w:val="00A27010"/>
    <w:rsid w:val="00A36387"/>
    <w:rsid w:val="00A473D6"/>
    <w:rsid w:val="00A52C51"/>
    <w:rsid w:val="00A56254"/>
    <w:rsid w:val="00A579F1"/>
    <w:rsid w:val="00A60F9F"/>
    <w:rsid w:val="00A667B3"/>
    <w:rsid w:val="00A70B11"/>
    <w:rsid w:val="00A71832"/>
    <w:rsid w:val="00A760F7"/>
    <w:rsid w:val="00A77686"/>
    <w:rsid w:val="00A86EB7"/>
    <w:rsid w:val="00A87C8E"/>
    <w:rsid w:val="00A91F68"/>
    <w:rsid w:val="00A9205B"/>
    <w:rsid w:val="00A922EA"/>
    <w:rsid w:val="00A9402D"/>
    <w:rsid w:val="00A9616A"/>
    <w:rsid w:val="00AA0CA1"/>
    <w:rsid w:val="00AA2626"/>
    <w:rsid w:val="00AA705A"/>
    <w:rsid w:val="00AB2007"/>
    <w:rsid w:val="00AB45EF"/>
    <w:rsid w:val="00AB56FA"/>
    <w:rsid w:val="00AC33DA"/>
    <w:rsid w:val="00AD2460"/>
    <w:rsid w:val="00AD3346"/>
    <w:rsid w:val="00AD41D3"/>
    <w:rsid w:val="00AD461E"/>
    <w:rsid w:val="00AD5D0F"/>
    <w:rsid w:val="00AD7CC3"/>
    <w:rsid w:val="00AE71B8"/>
    <w:rsid w:val="00AF053C"/>
    <w:rsid w:val="00AF3339"/>
    <w:rsid w:val="00AF3AD4"/>
    <w:rsid w:val="00AF4AC6"/>
    <w:rsid w:val="00B00DCD"/>
    <w:rsid w:val="00B11946"/>
    <w:rsid w:val="00B13319"/>
    <w:rsid w:val="00B26522"/>
    <w:rsid w:val="00B27A7F"/>
    <w:rsid w:val="00B300B4"/>
    <w:rsid w:val="00B3675C"/>
    <w:rsid w:val="00B511D8"/>
    <w:rsid w:val="00B55713"/>
    <w:rsid w:val="00B57557"/>
    <w:rsid w:val="00B61498"/>
    <w:rsid w:val="00B615DB"/>
    <w:rsid w:val="00B6693F"/>
    <w:rsid w:val="00B73A4A"/>
    <w:rsid w:val="00B76A5B"/>
    <w:rsid w:val="00B82F7D"/>
    <w:rsid w:val="00B8610B"/>
    <w:rsid w:val="00B8666F"/>
    <w:rsid w:val="00B91B56"/>
    <w:rsid w:val="00B9718E"/>
    <w:rsid w:val="00BA5DA8"/>
    <w:rsid w:val="00BA6EB9"/>
    <w:rsid w:val="00BB2283"/>
    <w:rsid w:val="00BB491F"/>
    <w:rsid w:val="00BB52A3"/>
    <w:rsid w:val="00BC6F70"/>
    <w:rsid w:val="00BD017A"/>
    <w:rsid w:val="00BD33C5"/>
    <w:rsid w:val="00BF23FC"/>
    <w:rsid w:val="00C04D71"/>
    <w:rsid w:val="00C062D3"/>
    <w:rsid w:val="00C14B37"/>
    <w:rsid w:val="00C17AE5"/>
    <w:rsid w:val="00C24AB0"/>
    <w:rsid w:val="00C24E9C"/>
    <w:rsid w:val="00C3076F"/>
    <w:rsid w:val="00C410EE"/>
    <w:rsid w:val="00C43A32"/>
    <w:rsid w:val="00C54F1C"/>
    <w:rsid w:val="00C7093A"/>
    <w:rsid w:val="00C7783B"/>
    <w:rsid w:val="00C80079"/>
    <w:rsid w:val="00C808D8"/>
    <w:rsid w:val="00C92458"/>
    <w:rsid w:val="00C974CD"/>
    <w:rsid w:val="00CA0039"/>
    <w:rsid w:val="00CA1AB5"/>
    <w:rsid w:val="00CA413C"/>
    <w:rsid w:val="00CC3077"/>
    <w:rsid w:val="00CD52A4"/>
    <w:rsid w:val="00CD61D1"/>
    <w:rsid w:val="00CD78DE"/>
    <w:rsid w:val="00CE1689"/>
    <w:rsid w:val="00CE4E9E"/>
    <w:rsid w:val="00CF0286"/>
    <w:rsid w:val="00CF3FC8"/>
    <w:rsid w:val="00CF4BEE"/>
    <w:rsid w:val="00CF5199"/>
    <w:rsid w:val="00CF770D"/>
    <w:rsid w:val="00D03622"/>
    <w:rsid w:val="00D21039"/>
    <w:rsid w:val="00D228C9"/>
    <w:rsid w:val="00D24F36"/>
    <w:rsid w:val="00D443AD"/>
    <w:rsid w:val="00D44889"/>
    <w:rsid w:val="00D464E9"/>
    <w:rsid w:val="00D544C3"/>
    <w:rsid w:val="00D71C1B"/>
    <w:rsid w:val="00D72636"/>
    <w:rsid w:val="00D75987"/>
    <w:rsid w:val="00D817BD"/>
    <w:rsid w:val="00D839D0"/>
    <w:rsid w:val="00D85138"/>
    <w:rsid w:val="00D87451"/>
    <w:rsid w:val="00D92B00"/>
    <w:rsid w:val="00D9333B"/>
    <w:rsid w:val="00DA0058"/>
    <w:rsid w:val="00DA252C"/>
    <w:rsid w:val="00DB495F"/>
    <w:rsid w:val="00DC6F71"/>
    <w:rsid w:val="00DE60DC"/>
    <w:rsid w:val="00DE6927"/>
    <w:rsid w:val="00DF5AA8"/>
    <w:rsid w:val="00DF792D"/>
    <w:rsid w:val="00E052B9"/>
    <w:rsid w:val="00E1251F"/>
    <w:rsid w:val="00E14872"/>
    <w:rsid w:val="00E1704A"/>
    <w:rsid w:val="00E20028"/>
    <w:rsid w:val="00E224DF"/>
    <w:rsid w:val="00E30E6E"/>
    <w:rsid w:val="00E41005"/>
    <w:rsid w:val="00E56197"/>
    <w:rsid w:val="00E5740E"/>
    <w:rsid w:val="00E61FF4"/>
    <w:rsid w:val="00E65A83"/>
    <w:rsid w:val="00E65B48"/>
    <w:rsid w:val="00E7043C"/>
    <w:rsid w:val="00E722B5"/>
    <w:rsid w:val="00E73105"/>
    <w:rsid w:val="00E73711"/>
    <w:rsid w:val="00E76D3A"/>
    <w:rsid w:val="00E94E85"/>
    <w:rsid w:val="00EA21BC"/>
    <w:rsid w:val="00EB0A39"/>
    <w:rsid w:val="00EB41B6"/>
    <w:rsid w:val="00EB50B0"/>
    <w:rsid w:val="00EC107E"/>
    <w:rsid w:val="00EC73D0"/>
    <w:rsid w:val="00EE6453"/>
    <w:rsid w:val="00EF5FED"/>
    <w:rsid w:val="00EF6638"/>
    <w:rsid w:val="00EF78F3"/>
    <w:rsid w:val="00F115D3"/>
    <w:rsid w:val="00F11CDA"/>
    <w:rsid w:val="00F13CCA"/>
    <w:rsid w:val="00F16200"/>
    <w:rsid w:val="00F244AD"/>
    <w:rsid w:val="00F441AB"/>
    <w:rsid w:val="00F44EA1"/>
    <w:rsid w:val="00F479E9"/>
    <w:rsid w:val="00F51841"/>
    <w:rsid w:val="00F526D1"/>
    <w:rsid w:val="00F664DB"/>
    <w:rsid w:val="00F67E8F"/>
    <w:rsid w:val="00F729DF"/>
    <w:rsid w:val="00F74911"/>
    <w:rsid w:val="00F762D1"/>
    <w:rsid w:val="00F81D1B"/>
    <w:rsid w:val="00F8642C"/>
    <w:rsid w:val="00F97E23"/>
    <w:rsid w:val="00FB16ED"/>
    <w:rsid w:val="00FD1821"/>
    <w:rsid w:val="00FE1989"/>
    <w:rsid w:val="00FE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F5FD8F0"/>
  <w15:chartTrackingRefBased/>
  <w15:docId w15:val="{932BAA90-9A9F-4C14-9E18-B832838B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1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5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6327C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327C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327C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327C3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6327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27C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170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0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0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0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04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A5A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AF6"/>
  </w:style>
  <w:style w:type="paragraph" w:styleId="Footer">
    <w:name w:val="footer"/>
    <w:basedOn w:val="Normal"/>
    <w:link w:val="FooterChar"/>
    <w:uiPriority w:val="99"/>
    <w:unhideWhenUsed/>
    <w:rsid w:val="004A5A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AF6"/>
  </w:style>
  <w:style w:type="paragraph" w:styleId="Revision">
    <w:name w:val="Revision"/>
    <w:hidden/>
    <w:uiPriority w:val="99"/>
    <w:semiHidden/>
    <w:rsid w:val="00932F17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CF0286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B76A5B"/>
    <w:pPr>
      <w:widowControl w:val="0"/>
      <w:spacing w:after="0" w:line="240" w:lineRule="auto"/>
      <w:ind w:firstLineChars="200" w:firstLine="420"/>
      <w:jc w:val="both"/>
    </w:pPr>
    <w:rPr>
      <w:kern w:val="2"/>
      <w:sz w:val="21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76A5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hkuhk-my.sharepoint.com/personal/mhbho_hku_hk/Documents/2_Submission/CRCI_Longitudinal/Book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hkuhk-my.sharepoint.com/personal/mhbho_hku_hk/Documents/2_Submission/CRCI_Longitudinal/Book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hkuhk-my.sharepoint.com/personal/mhbho_hku_hk/Documents/2_Submission/CRCI_Longitudinal/Book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hkuhk-my.sharepoint.com/personal/mhbho_hku_hk/Documents/2_Submission/CRCI_Longitudinal/Book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hkuhk-my.sharepoint.com/personal/mhbho_hku_hk/Documents/2_Submission/CRCI_Longitudinal/Book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hkuhk-my.sharepoint.com/personal/mhbho_hku_hk/Documents/2_Submission/CRCI_Longitudinal/Book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https://hkuhk-my.sharepoint.com/personal/mhbho_hku_hk/Documents/2_Submission/CRCI_Longitudinal/Book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/>
              <a:t>Memory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zh-HK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Memory!$B$1</c:f>
              <c:strCache>
                <c:ptCount val="1"/>
                <c:pt idx="0">
                  <c:v>Group 1</c:v>
                </c:pt>
              </c:strCache>
            </c:strRef>
          </c:tx>
          <c:spPr>
            <a:ln w="28575" cap="rnd">
              <a:solidFill>
                <a:srgbClr val="A5002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A50021"/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Memory!$A$2:$A$8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Memory!$B$2:$B$8</c:f>
              <c:numCache>
                <c:formatCode>General</c:formatCode>
                <c:ptCount val="7"/>
                <c:pt idx="0">
                  <c:v>3.93</c:v>
                </c:pt>
                <c:pt idx="1">
                  <c:v>3.91</c:v>
                </c:pt>
                <c:pt idx="2">
                  <c:v>4.29</c:v>
                </c:pt>
                <c:pt idx="3">
                  <c:v>4.09</c:v>
                </c:pt>
                <c:pt idx="4">
                  <c:v>4.4000000000000004</c:v>
                </c:pt>
                <c:pt idx="5">
                  <c:v>4.26</c:v>
                </c:pt>
                <c:pt idx="6">
                  <c:v>4.29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FBB-442A-BB2F-325A63EBDB62}"/>
            </c:ext>
          </c:extLst>
        </c:ser>
        <c:ser>
          <c:idx val="1"/>
          <c:order val="1"/>
          <c:tx>
            <c:strRef>
              <c:f>Memory!$C$1</c:f>
              <c:strCache>
                <c:ptCount val="1"/>
                <c:pt idx="0">
                  <c:v>Group 2</c:v>
                </c:pt>
              </c:strCache>
            </c:strRef>
          </c:tx>
          <c:spPr>
            <a:ln w="28575" cap="rnd">
              <a:solidFill>
                <a:schemeClr val="accent6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>
                  <a:lumMod val="75000"/>
                </a:schemeClr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Memory!$A$2:$A$8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Memory!$C$2:$C$8</c:f>
              <c:numCache>
                <c:formatCode>General</c:formatCode>
                <c:ptCount val="7"/>
                <c:pt idx="0">
                  <c:v>4.72</c:v>
                </c:pt>
                <c:pt idx="1">
                  <c:v>4.74</c:v>
                </c:pt>
                <c:pt idx="2">
                  <c:v>4.82</c:v>
                </c:pt>
                <c:pt idx="3">
                  <c:v>4.68</c:v>
                </c:pt>
                <c:pt idx="4">
                  <c:v>4.58</c:v>
                </c:pt>
                <c:pt idx="5">
                  <c:v>4.8899999999999997</c:v>
                </c:pt>
                <c:pt idx="6">
                  <c:v>4.95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FBB-442A-BB2F-325A63EBDB62}"/>
            </c:ext>
          </c:extLst>
        </c:ser>
        <c:ser>
          <c:idx val="2"/>
          <c:order val="2"/>
          <c:tx>
            <c:strRef>
              <c:f>Memory!$D$1</c:f>
              <c:strCache>
                <c:ptCount val="1"/>
                <c:pt idx="0">
                  <c:v>Group 3</c:v>
                </c:pt>
              </c:strCache>
            </c:strRef>
          </c:tx>
          <c:spPr>
            <a:ln w="28575" cap="rnd">
              <a:solidFill>
                <a:schemeClr val="tx2">
                  <a:lumMod val="90000"/>
                  <a:lumOff val="1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2">
                  <a:lumMod val="90000"/>
                  <a:lumOff val="10000"/>
                </a:schemeClr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Memory!$A$2:$A$8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Memory!$D$2:$D$8</c:f>
              <c:numCache>
                <c:formatCode>General</c:formatCode>
                <c:ptCount val="7"/>
                <c:pt idx="0">
                  <c:v>4.05</c:v>
                </c:pt>
                <c:pt idx="1">
                  <c:v>4.3099999999999996</c:v>
                </c:pt>
                <c:pt idx="2">
                  <c:v>4.45</c:v>
                </c:pt>
                <c:pt idx="3">
                  <c:v>4.18</c:v>
                </c:pt>
                <c:pt idx="4">
                  <c:v>4.5</c:v>
                </c:pt>
                <c:pt idx="5">
                  <c:v>4.72</c:v>
                </c:pt>
                <c:pt idx="6">
                  <c:v>4.5999999999999996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FBB-442A-BB2F-325A63EBDB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84370079"/>
        <c:axId val="884370495"/>
      </c:lineChart>
      <c:catAx>
        <c:axId val="8843700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HK"/>
          </a:p>
        </c:txPr>
        <c:crossAx val="884370495"/>
        <c:crosses val="autoZero"/>
        <c:auto val="1"/>
        <c:lblAlgn val="ctr"/>
        <c:lblOffset val="100"/>
        <c:noMultiLvlLbl val="0"/>
      </c:catAx>
      <c:valAx>
        <c:axId val="884370495"/>
        <c:scaling>
          <c:orientation val="minMax"/>
          <c:max val="5.5"/>
          <c:min val="3.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HK"/>
          </a:p>
        </c:txPr>
        <c:crossAx val="8843700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zh-HK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zh-HK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/>
              <a:t>Language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zh-HK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Language!$B$1</c:f>
              <c:strCache>
                <c:ptCount val="1"/>
                <c:pt idx="0">
                  <c:v>Group 1</c:v>
                </c:pt>
              </c:strCache>
            </c:strRef>
          </c:tx>
          <c:spPr>
            <a:ln w="28575" cap="rnd">
              <a:solidFill>
                <a:srgbClr val="A5002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A50021"/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Language!$A$2:$A$8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Language!$B$2:$B$8</c:f>
              <c:numCache>
                <c:formatCode>General</c:formatCode>
                <c:ptCount val="7"/>
                <c:pt idx="0">
                  <c:v>7.35</c:v>
                </c:pt>
                <c:pt idx="1">
                  <c:v>7.81</c:v>
                </c:pt>
                <c:pt idx="2">
                  <c:v>7.06</c:v>
                </c:pt>
                <c:pt idx="3">
                  <c:v>7.27</c:v>
                </c:pt>
                <c:pt idx="4">
                  <c:v>7.08</c:v>
                </c:pt>
                <c:pt idx="5">
                  <c:v>7.02</c:v>
                </c:pt>
                <c:pt idx="6">
                  <c:v>6.75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D11-4E60-8A39-BBB0DD40DC69}"/>
            </c:ext>
          </c:extLst>
        </c:ser>
        <c:ser>
          <c:idx val="1"/>
          <c:order val="1"/>
          <c:tx>
            <c:strRef>
              <c:f>Language!$C$1</c:f>
              <c:strCache>
                <c:ptCount val="1"/>
                <c:pt idx="0">
                  <c:v>Group 2</c:v>
                </c:pt>
              </c:strCache>
            </c:strRef>
          </c:tx>
          <c:spPr>
            <a:ln w="28575" cap="rnd">
              <a:solidFill>
                <a:schemeClr val="accent6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>
                  <a:lumMod val="75000"/>
                </a:schemeClr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Language!$A$2:$A$8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Language!$C$2:$C$8</c:f>
              <c:numCache>
                <c:formatCode>General</c:formatCode>
                <c:ptCount val="7"/>
                <c:pt idx="0">
                  <c:v>7.67</c:v>
                </c:pt>
                <c:pt idx="1">
                  <c:v>7.42</c:v>
                </c:pt>
                <c:pt idx="2">
                  <c:v>7.27</c:v>
                </c:pt>
                <c:pt idx="3">
                  <c:v>7.82</c:v>
                </c:pt>
                <c:pt idx="4">
                  <c:v>7.51</c:v>
                </c:pt>
                <c:pt idx="5">
                  <c:v>8.08</c:v>
                </c:pt>
                <c:pt idx="6">
                  <c:v>8.31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D11-4E60-8A39-BBB0DD40DC69}"/>
            </c:ext>
          </c:extLst>
        </c:ser>
        <c:ser>
          <c:idx val="2"/>
          <c:order val="2"/>
          <c:tx>
            <c:strRef>
              <c:f>Language!$D$1</c:f>
              <c:strCache>
                <c:ptCount val="1"/>
                <c:pt idx="0">
                  <c:v>Group 3</c:v>
                </c:pt>
              </c:strCache>
            </c:strRef>
          </c:tx>
          <c:spPr>
            <a:ln w="28575" cap="rnd">
              <a:solidFill>
                <a:schemeClr val="tx2">
                  <a:lumMod val="90000"/>
                  <a:lumOff val="1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2">
                  <a:lumMod val="90000"/>
                  <a:lumOff val="10000"/>
                </a:schemeClr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Language!$A$2:$A$8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Language!$D$2:$D$8</c:f>
              <c:numCache>
                <c:formatCode>General</c:formatCode>
                <c:ptCount val="7"/>
                <c:pt idx="0">
                  <c:v>6.66</c:v>
                </c:pt>
                <c:pt idx="1">
                  <c:v>6.74</c:v>
                </c:pt>
                <c:pt idx="2">
                  <c:v>6.92</c:v>
                </c:pt>
                <c:pt idx="3">
                  <c:v>7.21</c:v>
                </c:pt>
                <c:pt idx="4">
                  <c:v>6.44</c:v>
                </c:pt>
                <c:pt idx="5">
                  <c:v>6.53</c:v>
                </c:pt>
                <c:pt idx="6">
                  <c:v>6.57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D11-4E60-8A39-BBB0DD40DC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77046751"/>
        <c:axId val="877047167"/>
      </c:lineChart>
      <c:catAx>
        <c:axId val="8770467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HK"/>
          </a:p>
        </c:txPr>
        <c:crossAx val="877047167"/>
        <c:crosses val="autoZero"/>
        <c:auto val="1"/>
        <c:lblAlgn val="ctr"/>
        <c:lblOffset val="100"/>
        <c:noMultiLvlLbl val="0"/>
      </c:catAx>
      <c:valAx>
        <c:axId val="877047167"/>
        <c:scaling>
          <c:orientation val="minMax"/>
          <c:min val="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HK"/>
          </a:p>
        </c:txPr>
        <c:crossAx val="8770467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zh-HK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zh-HK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/>
              <a:t>Orientation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zh-HK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Orientation!$B$1</c:f>
              <c:strCache>
                <c:ptCount val="1"/>
                <c:pt idx="0">
                  <c:v>Group 1</c:v>
                </c:pt>
              </c:strCache>
            </c:strRef>
          </c:tx>
          <c:spPr>
            <a:ln w="28575" cap="rnd">
              <a:solidFill>
                <a:srgbClr val="A5002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A50021"/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Orientation!$A$2:$A$8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Orientation!$B$2:$B$8</c:f>
              <c:numCache>
                <c:formatCode>General</c:formatCode>
                <c:ptCount val="7"/>
                <c:pt idx="0">
                  <c:v>5.78</c:v>
                </c:pt>
                <c:pt idx="1">
                  <c:v>5.91</c:v>
                </c:pt>
                <c:pt idx="2">
                  <c:v>5.79</c:v>
                </c:pt>
                <c:pt idx="3">
                  <c:v>5.87</c:v>
                </c:pt>
                <c:pt idx="4">
                  <c:v>5.87</c:v>
                </c:pt>
                <c:pt idx="5">
                  <c:v>5.78</c:v>
                </c:pt>
                <c:pt idx="6">
                  <c:v>5.75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D81-4342-BAE1-62DCF326753B}"/>
            </c:ext>
          </c:extLst>
        </c:ser>
        <c:ser>
          <c:idx val="1"/>
          <c:order val="1"/>
          <c:tx>
            <c:strRef>
              <c:f>Orientation!$C$1</c:f>
              <c:strCache>
                <c:ptCount val="1"/>
                <c:pt idx="0">
                  <c:v>Group 2</c:v>
                </c:pt>
              </c:strCache>
            </c:strRef>
          </c:tx>
          <c:spPr>
            <a:ln w="28575" cap="rnd">
              <a:solidFill>
                <a:schemeClr val="accent6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>
                  <a:lumMod val="75000"/>
                </a:schemeClr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Orientation!$A$2:$A$8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Orientation!$C$2:$C$8</c:f>
              <c:numCache>
                <c:formatCode>General</c:formatCode>
                <c:ptCount val="7"/>
                <c:pt idx="0">
                  <c:v>5.74</c:v>
                </c:pt>
                <c:pt idx="1">
                  <c:v>5.85</c:v>
                </c:pt>
                <c:pt idx="2">
                  <c:v>6</c:v>
                </c:pt>
                <c:pt idx="3">
                  <c:v>5.97</c:v>
                </c:pt>
                <c:pt idx="4">
                  <c:v>5.94</c:v>
                </c:pt>
                <c:pt idx="5">
                  <c:v>5.92</c:v>
                </c:pt>
                <c:pt idx="6">
                  <c:v>5.95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D81-4342-BAE1-62DCF326753B}"/>
            </c:ext>
          </c:extLst>
        </c:ser>
        <c:ser>
          <c:idx val="2"/>
          <c:order val="2"/>
          <c:tx>
            <c:strRef>
              <c:f>Orientation!$D$1</c:f>
              <c:strCache>
                <c:ptCount val="1"/>
                <c:pt idx="0">
                  <c:v>Group 3</c:v>
                </c:pt>
              </c:strCache>
            </c:strRef>
          </c:tx>
          <c:spPr>
            <a:ln w="28575" cap="rnd">
              <a:solidFill>
                <a:schemeClr val="tx2">
                  <a:lumMod val="90000"/>
                  <a:lumOff val="1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2">
                  <a:lumMod val="90000"/>
                  <a:lumOff val="10000"/>
                </a:schemeClr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Orientation!$A$2:$A$8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Orientation!$D$2:$D$8</c:f>
              <c:numCache>
                <c:formatCode>General</c:formatCode>
                <c:ptCount val="7"/>
                <c:pt idx="0">
                  <c:v>5.82</c:v>
                </c:pt>
                <c:pt idx="1">
                  <c:v>5.78</c:v>
                </c:pt>
                <c:pt idx="2">
                  <c:v>5.77</c:v>
                </c:pt>
                <c:pt idx="3">
                  <c:v>5.8</c:v>
                </c:pt>
                <c:pt idx="4">
                  <c:v>5.86</c:v>
                </c:pt>
                <c:pt idx="5">
                  <c:v>5.84</c:v>
                </c:pt>
                <c:pt idx="6">
                  <c:v>5.75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D81-4342-BAE1-62DCF32675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70400415"/>
        <c:axId val="870400831"/>
      </c:lineChart>
      <c:catAx>
        <c:axId val="8704004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HK"/>
          </a:p>
        </c:txPr>
        <c:crossAx val="870400831"/>
        <c:crosses val="autoZero"/>
        <c:auto val="1"/>
        <c:lblAlgn val="ctr"/>
        <c:lblOffset val="100"/>
        <c:noMultiLvlLbl val="0"/>
      </c:catAx>
      <c:valAx>
        <c:axId val="8704008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HK"/>
          </a:p>
        </c:txPr>
        <c:crossAx val="87040041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zh-HK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zh-HK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/>
              <a:t>Delayed Memory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zh-HK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'Delay memory'!$B$1</c:f>
              <c:strCache>
                <c:ptCount val="1"/>
                <c:pt idx="0">
                  <c:v>Group 1</c:v>
                </c:pt>
              </c:strCache>
            </c:strRef>
          </c:tx>
          <c:spPr>
            <a:ln w="28575" cap="rnd">
              <a:solidFill>
                <a:srgbClr val="A5002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A50021"/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'Delay memory'!$A$2:$A$8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'Delay memory'!$B$2:$B$8</c:f>
              <c:numCache>
                <c:formatCode>General</c:formatCode>
                <c:ptCount val="7"/>
                <c:pt idx="0">
                  <c:v>7.48</c:v>
                </c:pt>
                <c:pt idx="1">
                  <c:v>7.63</c:v>
                </c:pt>
                <c:pt idx="2">
                  <c:v>8.17</c:v>
                </c:pt>
                <c:pt idx="3">
                  <c:v>8.5</c:v>
                </c:pt>
                <c:pt idx="4">
                  <c:v>8.3800000000000008</c:v>
                </c:pt>
                <c:pt idx="5">
                  <c:v>8.7100000000000009</c:v>
                </c:pt>
                <c:pt idx="6">
                  <c:v>8.59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87C-4801-8BE3-41E207657374}"/>
            </c:ext>
          </c:extLst>
        </c:ser>
        <c:ser>
          <c:idx val="1"/>
          <c:order val="1"/>
          <c:tx>
            <c:strRef>
              <c:f>'Delay memory'!$C$1</c:f>
              <c:strCache>
                <c:ptCount val="1"/>
                <c:pt idx="0">
                  <c:v>Group 2</c:v>
                </c:pt>
              </c:strCache>
            </c:strRef>
          </c:tx>
          <c:spPr>
            <a:ln w="28575" cap="rnd">
              <a:solidFill>
                <a:schemeClr val="accent6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>
                  <a:lumMod val="75000"/>
                </a:schemeClr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'Delay memory'!$A$2:$A$8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'Delay memory'!$C$2:$C$8</c:f>
              <c:numCache>
                <c:formatCode>General</c:formatCode>
                <c:ptCount val="7"/>
                <c:pt idx="0">
                  <c:v>8.56</c:v>
                </c:pt>
                <c:pt idx="1">
                  <c:v>8.3800000000000008</c:v>
                </c:pt>
                <c:pt idx="2">
                  <c:v>9.31</c:v>
                </c:pt>
                <c:pt idx="3">
                  <c:v>8.84</c:v>
                </c:pt>
                <c:pt idx="4">
                  <c:v>8.92</c:v>
                </c:pt>
                <c:pt idx="5">
                  <c:v>9.44</c:v>
                </c:pt>
                <c:pt idx="6">
                  <c:v>9.77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87C-4801-8BE3-41E207657374}"/>
            </c:ext>
          </c:extLst>
        </c:ser>
        <c:ser>
          <c:idx val="2"/>
          <c:order val="2"/>
          <c:tx>
            <c:strRef>
              <c:f>'Delay memory'!$D$1</c:f>
              <c:strCache>
                <c:ptCount val="1"/>
                <c:pt idx="0">
                  <c:v>Group 3</c:v>
                </c:pt>
              </c:strCache>
            </c:strRef>
          </c:tx>
          <c:spPr>
            <a:ln w="28575" cap="rnd">
              <a:solidFill>
                <a:schemeClr val="tx2">
                  <a:lumMod val="90000"/>
                  <a:lumOff val="1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2">
                  <a:lumMod val="90000"/>
                  <a:lumOff val="10000"/>
                </a:schemeClr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'Delay memory'!$A$2:$A$8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'Delay memory'!$D$2:$D$8</c:f>
              <c:numCache>
                <c:formatCode>General</c:formatCode>
                <c:ptCount val="7"/>
                <c:pt idx="0">
                  <c:v>7.11</c:v>
                </c:pt>
                <c:pt idx="1">
                  <c:v>8.14</c:v>
                </c:pt>
                <c:pt idx="2">
                  <c:v>8.1</c:v>
                </c:pt>
                <c:pt idx="3">
                  <c:v>8.34</c:v>
                </c:pt>
                <c:pt idx="4">
                  <c:v>8.7100000000000009</c:v>
                </c:pt>
                <c:pt idx="5">
                  <c:v>8.69</c:v>
                </c:pt>
                <c:pt idx="6">
                  <c:v>8.8699999999999992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87C-4801-8BE3-41E2076573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86294191"/>
        <c:axId val="886292527"/>
      </c:lineChart>
      <c:catAx>
        <c:axId val="8862941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HK"/>
          </a:p>
        </c:txPr>
        <c:crossAx val="886292527"/>
        <c:crosses val="autoZero"/>
        <c:auto val="1"/>
        <c:lblAlgn val="ctr"/>
        <c:lblOffset val="100"/>
        <c:noMultiLvlLbl val="0"/>
      </c:catAx>
      <c:valAx>
        <c:axId val="886292527"/>
        <c:scaling>
          <c:orientation val="minMax"/>
          <c:max val="10"/>
          <c:min val="6.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HK"/>
          </a:p>
        </c:txPr>
        <c:crossAx val="8862941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zh-HK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zh-HK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/>
              <a:t>CogPCI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zh-HK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CogPCI!$B$1</c:f>
              <c:strCache>
                <c:ptCount val="1"/>
                <c:pt idx="0">
                  <c:v>Group 1</c:v>
                </c:pt>
              </c:strCache>
            </c:strRef>
          </c:tx>
          <c:spPr>
            <a:ln w="28575" cap="rnd">
              <a:solidFill>
                <a:srgbClr val="A5002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A50021"/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CogPCI!$A$2:$A$8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CogPCI!$B$2:$B$8</c:f>
              <c:numCache>
                <c:formatCode>General</c:formatCode>
                <c:ptCount val="7"/>
                <c:pt idx="0">
                  <c:v>56.11</c:v>
                </c:pt>
                <c:pt idx="1">
                  <c:v>57.42</c:v>
                </c:pt>
                <c:pt idx="2">
                  <c:v>58.88</c:v>
                </c:pt>
                <c:pt idx="3">
                  <c:v>58.35</c:v>
                </c:pt>
                <c:pt idx="4">
                  <c:v>60.21</c:v>
                </c:pt>
                <c:pt idx="5">
                  <c:v>58.79</c:v>
                </c:pt>
                <c:pt idx="6">
                  <c:v>56.64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70C-4258-8F7A-F63030C8C8CB}"/>
            </c:ext>
          </c:extLst>
        </c:ser>
        <c:ser>
          <c:idx val="1"/>
          <c:order val="1"/>
          <c:tx>
            <c:strRef>
              <c:f>CogPCI!$C$1</c:f>
              <c:strCache>
                <c:ptCount val="1"/>
                <c:pt idx="0">
                  <c:v>Group 2</c:v>
                </c:pt>
              </c:strCache>
            </c:strRef>
          </c:tx>
          <c:spPr>
            <a:ln w="28575" cap="rnd">
              <a:solidFill>
                <a:schemeClr val="accent6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>
                  <a:lumMod val="75000"/>
                </a:schemeClr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CogPCI!$A$2:$A$8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CogPCI!$C$2:$C$8</c:f>
              <c:numCache>
                <c:formatCode>General</c:formatCode>
                <c:ptCount val="7"/>
                <c:pt idx="0">
                  <c:v>61.66</c:v>
                </c:pt>
                <c:pt idx="1">
                  <c:v>60.71</c:v>
                </c:pt>
                <c:pt idx="2">
                  <c:v>63.79</c:v>
                </c:pt>
                <c:pt idx="3">
                  <c:v>63.94</c:v>
                </c:pt>
                <c:pt idx="4">
                  <c:v>64</c:v>
                </c:pt>
                <c:pt idx="5">
                  <c:v>63.75</c:v>
                </c:pt>
                <c:pt idx="6">
                  <c:v>62.97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70C-4258-8F7A-F63030C8C8CB}"/>
            </c:ext>
          </c:extLst>
        </c:ser>
        <c:ser>
          <c:idx val="2"/>
          <c:order val="2"/>
          <c:tx>
            <c:strRef>
              <c:f>CogPCI!$D$1</c:f>
              <c:strCache>
                <c:ptCount val="1"/>
                <c:pt idx="0">
                  <c:v>Group 3</c:v>
                </c:pt>
              </c:strCache>
            </c:strRef>
          </c:tx>
          <c:spPr>
            <a:ln w="28575" cap="rnd">
              <a:solidFill>
                <a:schemeClr val="tx2">
                  <a:lumMod val="90000"/>
                  <a:lumOff val="1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2">
                  <a:lumMod val="90000"/>
                  <a:lumOff val="10000"/>
                </a:schemeClr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CogPCI!$A$2:$A$8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CogPCI!$D$2:$D$8</c:f>
              <c:numCache>
                <c:formatCode>General</c:formatCode>
                <c:ptCount val="7"/>
                <c:pt idx="0">
                  <c:v>50.34</c:v>
                </c:pt>
                <c:pt idx="1">
                  <c:v>52.68</c:v>
                </c:pt>
                <c:pt idx="2">
                  <c:v>56.31</c:v>
                </c:pt>
                <c:pt idx="3">
                  <c:v>54.8</c:v>
                </c:pt>
                <c:pt idx="4">
                  <c:v>49.65</c:v>
                </c:pt>
                <c:pt idx="5">
                  <c:v>56.89</c:v>
                </c:pt>
                <c:pt idx="6">
                  <c:v>51.35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70C-4258-8F7A-F63030C8C8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14692927"/>
        <c:axId val="714695007"/>
      </c:lineChart>
      <c:catAx>
        <c:axId val="7146929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HK"/>
          </a:p>
        </c:txPr>
        <c:crossAx val="714695007"/>
        <c:crosses val="autoZero"/>
        <c:auto val="1"/>
        <c:lblAlgn val="ctr"/>
        <c:lblOffset val="100"/>
        <c:noMultiLvlLbl val="0"/>
      </c:catAx>
      <c:valAx>
        <c:axId val="714695007"/>
        <c:scaling>
          <c:orientation val="minMax"/>
          <c:min val="4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HK"/>
          </a:p>
        </c:txPr>
        <c:crossAx val="71469292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zh-HK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zh-HK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/>
              <a:t>CogQOL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zh-HK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CogQOL!$B$1</c:f>
              <c:strCache>
                <c:ptCount val="1"/>
                <c:pt idx="0">
                  <c:v>Group 1</c:v>
                </c:pt>
              </c:strCache>
            </c:strRef>
          </c:tx>
          <c:spPr>
            <a:ln w="28575" cap="rnd">
              <a:solidFill>
                <a:srgbClr val="A5002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A50021"/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CogQOL!$A$2:$A$8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CogQOL!$B$2:$B$8</c:f>
              <c:numCache>
                <c:formatCode>General</c:formatCode>
                <c:ptCount val="7"/>
                <c:pt idx="0">
                  <c:v>14.1</c:v>
                </c:pt>
                <c:pt idx="1">
                  <c:v>13.45</c:v>
                </c:pt>
                <c:pt idx="2">
                  <c:v>14</c:v>
                </c:pt>
                <c:pt idx="3">
                  <c:v>14.54</c:v>
                </c:pt>
                <c:pt idx="4">
                  <c:v>14.87</c:v>
                </c:pt>
                <c:pt idx="5">
                  <c:v>14.28</c:v>
                </c:pt>
                <c:pt idx="6">
                  <c:v>12.65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F7A-4307-BCD6-128883841CE6}"/>
            </c:ext>
          </c:extLst>
        </c:ser>
        <c:ser>
          <c:idx val="1"/>
          <c:order val="1"/>
          <c:tx>
            <c:strRef>
              <c:f>CogQOL!$C$1</c:f>
              <c:strCache>
                <c:ptCount val="1"/>
                <c:pt idx="0">
                  <c:v>Group 2</c:v>
                </c:pt>
              </c:strCache>
            </c:strRef>
          </c:tx>
          <c:spPr>
            <a:ln w="28575" cap="rnd">
              <a:solidFill>
                <a:schemeClr val="accent6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>
                  <a:lumMod val="75000"/>
                </a:schemeClr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CogQOL!$A$2:$A$8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CogQOL!$C$2:$C$8</c:f>
              <c:numCache>
                <c:formatCode>General</c:formatCode>
                <c:ptCount val="7"/>
                <c:pt idx="0">
                  <c:v>15.69</c:v>
                </c:pt>
                <c:pt idx="1">
                  <c:v>14.74</c:v>
                </c:pt>
                <c:pt idx="2">
                  <c:v>15.1</c:v>
                </c:pt>
                <c:pt idx="3">
                  <c:v>15.6</c:v>
                </c:pt>
                <c:pt idx="4">
                  <c:v>14.8</c:v>
                </c:pt>
                <c:pt idx="5">
                  <c:v>15.52</c:v>
                </c:pt>
                <c:pt idx="6">
                  <c:v>15.48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F7A-4307-BCD6-128883841CE6}"/>
            </c:ext>
          </c:extLst>
        </c:ser>
        <c:ser>
          <c:idx val="2"/>
          <c:order val="2"/>
          <c:tx>
            <c:strRef>
              <c:f>CogQOL!$D$1</c:f>
              <c:strCache>
                <c:ptCount val="1"/>
                <c:pt idx="0">
                  <c:v>Group 3</c:v>
                </c:pt>
              </c:strCache>
            </c:strRef>
          </c:tx>
          <c:spPr>
            <a:ln w="28575" cap="rnd">
              <a:solidFill>
                <a:schemeClr val="tx2">
                  <a:lumMod val="90000"/>
                  <a:lumOff val="1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2">
                  <a:lumMod val="90000"/>
                  <a:lumOff val="10000"/>
                </a:schemeClr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CogQOL!$A$2:$A$8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CogQOL!$D$2:$D$8</c:f>
              <c:numCache>
                <c:formatCode>General</c:formatCode>
                <c:ptCount val="7"/>
                <c:pt idx="0">
                  <c:v>13.42</c:v>
                </c:pt>
                <c:pt idx="1">
                  <c:v>12.61</c:v>
                </c:pt>
                <c:pt idx="2">
                  <c:v>13.65</c:v>
                </c:pt>
                <c:pt idx="3">
                  <c:v>12.64</c:v>
                </c:pt>
                <c:pt idx="4">
                  <c:v>11.15</c:v>
                </c:pt>
                <c:pt idx="5">
                  <c:v>13.13</c:v>
                </c:pt>
                <c:pt idx="6">
                  <c:v>12.57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F7A-4307-BCD6-128883841C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051503"/>
        <c:axId val="162052751"/>
      </c:lineChart>
      <c:catAx>
        <c:axId val="1620515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HK"/>
          </a:p>
        </c:txPr>
        <c:crossAx val="162052751"/>
        <c:crosses val="autoZero"/>
        <c:auto val="1"/>
        <c:lblAlgn val="ctr"/>
        <c:lblOffset val="100"/>
        <c:noMultiLvlLbl val="0"/>
      </c:catAx>
      <c:valAx>
        <c:axId val="162052751"/>
        <c:scaling>
          <c:orientation val="minMax"/>
          <c:max val="16"/>
          <c:min val="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HK"/>
          </a:p>
        </c:txPr>
        <c:crossAx val="1620515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zh-HK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zh-HK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/>
              <a:t>CogOth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zh-HK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'CogOth '!$B$1</c:f>
              <c:strCache>
                <c:ptCount val="1"/>
                <c:pt idx="0">
                  <c:v>Group 1</c:v>
                </c:pt>
              </c:strCache>
            </c:strRef>
          </c:tx>
          <c:spPr>
            <a:ln w="28575" cap="rnd">
              <a:solidFill>
                <a:srgbClr val="A5002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A50021"/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'CogOth '!$A$2:$A$8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'CogOth '!$B$2:$B$8</c:f>
              <c:numCache>
                <c:formatCode>General</c:formatCode>
                <c:ptCount val="7"/>
                <c:pt idx="0">
                  <c:v>14.93</c:v>
                </c:pt>
                <c:pt idx="1">
                  <c:v>14.23</c:v>
                </c:pt>
                <c:pt idx="2">
                  <c:v>15.31</c:v>
                </c:pt>
                <c:pt idx="3">
                  <c:v>14.39</c:v>
                </c:pt>
                <c:pt idx="4">
                  <c:v>14.9</c:v>
                </c:pt>
                <c:pt idx="5">
                  <c:v>14.17</c:v>
                </c:pt>
                <c:pt idx="6">
                  <c:v>14.07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0E7-4C92-AE82-A0D95583153E}"/>
            </c:ext>
          </c:extLst>
        </c:ser>
        <c:ser>
          <c:idx val="1"/>
          <c:order val="1"/>
          <c:tx>
            <c:strRef>
              <c:f>'CogOth '!$C$1</c:f>
              <c:strCache>
                <c:ptCount val="1"/>
                <c:pt idx="0">
                  <c:v>Group 2</c:v>
                </c:pt>
              </c:strCache>
            </c:strRef>
          </c:tx>
          <c:spPr>
            <a:ln w="28575" cap="rnd">
              <a:solidFill>
                <a:schemeClr val="accent6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>
                  <a:lumMod val="75000"/>
                </a:schemeClr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'CogOth '!$A$2:$A$8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'CogOth '!$C$2:$C$8</c:f>
              <c:numCache>
                <c:formatCode>General</c:formatCode>
                <c:ptCount val="7"/>
                <c:pt idx="0">
                  <c:v>15.28</c:v>
                </c:pt>
                <c:pt idx="1">
                  <c:v>14.87</c:v>
                </c:pt>
                <c:pt idx="2">
                  <c:v>14.84</c:v>
                </c:pt>
                <c:pt idx="3">
                  <c:v>15.13</c:v>
                </c:pt>
                <c:pt idx="4">
                  <c:v>15.13</c:v>
                </c:pt>
                <c:pt idx="5">
                  <c:v>15.11</c:v>
                </c:pt>
                <c:pt idx="6">
                  <c:v>15.48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0E7-4C92-AE82-A0D95583153E}"/>
            </c:ext>
          </c:extLst>
        </c:ser>
        <c:ser>
          <c:idx val="2"/>
          <c:order val="2"/>
          <c:tx>
            <c:strRef>
              <c:f>'CogOth '!$D$1</c:f>
              <c:strCache>
                <c:ptCount val="1"/>
                <c:pt idx="0">
                  <c:v>Group 3</c:v>
                </c:pt>
              </c:strCache>
            </c:strRef>
          </c:tx>
          <c:spPr>
            <a:ln w="28575" cap="rnd">
              <a:solidFill>
                <a:schemeClr val="tx2">
                  <a:lumMod val="90000"/>
                  <a:lumOff val="1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2">
                  <a:lumMod val="90000"/>
                  <a:lumOff val="10000"/>
                </a:schemeClr>
              </a:solidFill>
              <a:ln w="9525">
                <a:solidFill>
                  <a:schemeClr val="bg1"/>
                </a:solidFill>
              </a:ln>
              <a:effectLst/>
            </c:spPr>
          </c:marker>
          <c:cat>
            <c:strRef>
              <c:f>'CogOth '!$A$2:$A$8</c:f>
              <c:strCache>
                <c:ptCount val="7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</c:strCache>
            </c:strRef>
          </c:cat>
          <c:val>
            <c:numRef>
              <c:f>'CogOth '!$D$2:$D$8</c:f>
              <c:numCache>
                <c:formatCode>General</c:formatCode>
                <c:ptCount val="7"/>
                <c:pt idx="0">
                  <c:v>13.63</c:v>
                </c:pt>
                <c:pt idx="1">
                  <c:v>14.79</c:v>
                </c:pt>
                <c:pt idx="2">
                  <c:v>14.66</c:v>
                </c:pt>
                <c:pt idx="3">
                  <c:v>13.58</c:v>
                </c:pt>
                <c:pt idx="4">
                  <c:v>14.54</c:v>
                </c:pt>
                <c:pt idx="5">
                  <c:v>14.17</c:v>
                </c:pt>
                <c:pt idx="6">
                  <c:v>12.94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0E7-4C92-AE82-A0D9558315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35322943"/>
        <c:axId val="935324191"/>
      </c:lineChart>
      <c:catAx>
        <c:axId val="93532294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HK"/>
          </a:p>
        </c:txPr>
        <c:crossAx val="935324191"/>
        <c:crosses val="autoZero"/>
        <c:auto val="1"/>
        <c:lblAlgn val="ctr"/>
        <c:lblOffset val="100"/>
        <c:noMultiLvlLbl val="0"/>
      </c:catAx>
      <c:valAx>
        <c:axId val="935324191"/>
        <c:scaling>
          <c:orientation val="minMax"/>
          <c:min val="1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HK"/>
          </a:p>
        </c:txPr>
        <c:crossAx val="93532294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zh-HK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zh-H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22E20-88CA-4FCA-A97B-BB212B3D8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121</Words>
  <Characters>847</Characters>
  <Application>Microsoft Office Word</Application>
  <DocSecurity>0</DocSecurity>
  <Lines>33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Ho</dc:creator>
  <cp:keywords/>
  <dc:description/>
  <cp:lastModifiedBy>wlizhenkim@connect.hku.hk</cp:lastModifiedBy>
  <cp:revision>27</cp:revision>
  <cp:lastPrinted>2025-09-19T06:50:00Z</cp:lastPrinted>
  <dcterms:created xsi:type="dcterms:W3CDTF">2025-11-13T05:20:00Z</dcterms:created>
  <dcterms:modified xsi:type="dcterms:W3CDTF">2025-11-17T05:48:00Z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9c45e07a-d214-49d2-8676-64eb724422c9</vt:lpwstr>
  </property>
</Properties>
</file>