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BF34A" w14:textId="77777777" w:rsidR="00C103D9" w:rsidRPr="0052208E" w:rsidRDefault="00C103D9" w:rsidP="00135453">
      <w:pPr>
        <w:pStyle w:val="BodyText"/>
        <w:spacing w:before="10"/>
        <w:jc w:val="both"/>
        <w:rPr>
          <w:rFonts w:ascii="Times New Roman"/>
          <w:color w:val="000000" w:themeColor="text1"/>
          <w:sz w:val="9"/>
        </w:rPr>
      </w:pPr>
    </w:p>
    <w:p w14:paraId="17913C85" w14:textId="1AB0103C" w:rsidR="00C103D9" w:rsidRPr="0052208E" w:rsidRDefault="00D938B9">
      <w:pPr>
        <w:pStyle w:val="Heading1"/>
        <w:spacing w:before="100" w:line="357" w:lineRule="auto"/>
        <w:ind w:left="2482" w:right="351" w:hanging="2145"/>
        <w:rPr>
          <w:color w:val="000000" w:themeColor="text1"/>
          <w:lang w:val="en-US"/>
        </w:rPr>
      </w:pPr>
      <w:r w:rsidRPr="0052208E">
        <w:rPr>
          <w:color w:val="000000" w:themeColor="text1"/>
          <w:lang w:val="en-US"/>
        </w:rPr>
        <w:t>From subduction- to strike slip-related volcanism: Sr-Nd-Pb isotope and geochronology of lavas fro</w:t>
      </w:r>
      <w:r w:rsidR="00C777D6">
        <w:rPr>
          <w:color w:val="000000" w:themeColor="text1"/>
          <w:lang w:val="en-US"/>
        </w:rPr>
        <w:t xml:space="preserve">m Sivas-Malatya region, Central </w:t>
      </w:r>
      <w:r w:rsidRPr="0052208E">
        <w:rPr>
          <w:color w:val="000000" w:themeColor="text1"/>
          <w:lang w:val="en-US"/>
        </w:rPr>
        <w:t>Eastern Anatolia</w:t>
      </w:r>
    </w:p>
    <w:p w14:paraId="39CB7D9A" w14:textId="39D895EF" w:rsidR="00C103D9" w:rsidRPr="0052208E" w:rsidRDefault="00D938B9">
      <w:pPr>
        <w:pStyle w:val="BodyText"/>
        <w:spacing w:before="242" w:line="355" w:lineRule="auto"/>
        <w:ind w:left="104" w:right="135"/>
        <w:jc w:val="both"/>
        <w:rPr>
          <w:color w:val="000000" w:themeColor="text1"/>
          <w:sz w:val="16"/>
        </w:rPr>
      </w:pPr>
      <w:r w:rsidRPr="0052208E">
        <w:rPr>
          <w:color w:val="000000" w:themeColor="text1"/>
        </w:rPr>
        <w:t>Paolo Di Giuseppe</w:t>
      </w:r>
      <w:r w:rsidRPr="0052208E">
        <w:rPr>
          <w:color w:val="000000" w:themeColor="text1"/>
          <w:position w:val="8"/>
          <w:sz w:val="16"/>
        </w:rPr>
        <w:t>1</w:t>
      </w:r>
      <w:r w:rsidRPr="0052208E">
        <w:rPr>
          <w:color w:val="000000" w:themeColor="text1"/>
        </w:rPr>
        <w:t>, Samuele Agostini</w:t>
      </w:r>
      <w:r w:rsidRPr="0052208E">
        <w:rPr>
          <w:color w:val="000000" w:themeColor="text1"/>
          <w:position w:val="8"/>
          <w:sz w:val="16"/>
        </w:rPr>
        <w:t>1,§</w:t>
      </w:r>
      <w:r w:rsidRPr="0052208E">
        <w:rPr>
          <w:color w:val="000000" w:themeColor="text1"/>
        </w:rPr>
        <w:t>, Gianfranco Di Vincenzo</w:t>
      </w:r>
      <w:r w:rsidRPr="0052208E">
        <w:rPr>
          <w:color w:val="000000" w:themeColor="text1"/>
          <w:position w:val="8"/>
          <w:sz w:val="16"/>
        </w:rPr>
        <w:t>1</w:t>
      </w:r>
      <w:r w:rsidRPr="0052208E">
        <w:rPr>
          <w:color w:val="000000" w:themeColor="text1"/>
        </w:rPr>
        <w:t>, Piero Manetti</w:t>
      </w:r>
      <w:r w:rsidR="00D37E4A" w:rsidRPr="0052208E">
        <w:rPr>
          <w:color w:val="000000" w:themeColor="text1"/>
          <w:position w:val="8"/>
          <w:sz w:val="16"/>
        </w:rPr>
        <w:t>2</w:t>
      </w:r>
      <w:r w:rsidRPr="0052208E">
        <w:rPr>
          <w:color w:val="000000" w:themeColor="text1"/>
        </w:rPr>
        <w:t>, Mehmet Yilmaz Savaşçın</w:t>
      </w:r>
      <w:r w:rsidR="00D37E4A" w:rsidRPr="0052208E">
        <w:rPr>
          <w:color w:val="000000" w:themeColor="text1"/>
          <w:position w:val="8"/>
          <w:sz w:val="16"/>
        </w:rPr>
        <w:t>3</w:t>
      </w:r>
      <w:r w:rsidRPr="0052208E">
        <w:rPr>
          <w:color w:val="000000" w:themeColor="text1"/>
        </w:rPr>
        <w:t>, and Sandro Conticelli</w:t>
      </w:r>
      <w:r w:rsidR="00D37E4A" w:rsidRPr="0052208E">
        <w:rPr>
          <w:color w:val="000000" w:themeColor="text1"/>
          <w:position w:val="8"/>
          <w:sz w:val="16"/>
        </w:rPr>
        <w:t>2</w:t>
      </w:r>
      <w:r w:rsidRPr="0052208E">
        <w:rPr>
          <w:color w:val="000000" w:themeColor="text1"/>
          <w:position w:val="8"/>
          <w:sz w:val="16"/>
        </w:rPr>
        <w:t>,</w:t>
      </w:r>
      <w:r w:rsidR="00D37E4A" w:rsidRPr="0052208E">
        <w:rPr>
          <w:color w:val="000000" w:themeColor="text1"/>
          <w:position w:val="8"/>
          <w:sz w:val="16"/>
        </w:rPr>
        <w:t>4</w:t>
      </w:r>
      <w:r w:rsidRPr="0052208E">
        <w:rPr>
          <w:color w:val="000000" w:themeColor="text1"/>
          <w:position w:val="8"/>
          <w:sz w:val="16"/>
        </w:rPr>
        <w:t>,</w:t>
      </w:r>
      <w:r w:rsidR="00D37E4A" w:rsidRPr="0052208E">
        <w:rPr>
          <w:color w:val="000000" w:themeColor="text1"/>
          <w:position w:val="8"/>
          <w:sz w:val="16"/>
        </w:rPr>
        <w:t>5</w:t>
      </w:r>
      <w:r w:rsidRPr="0052208E">
        <w:rPr>
          <w:color w:val="000000" w:themeColor="text1"/>
          <w:position w:val="8"/>
          <w:sz w:val="16"/>
        </w:rPr>
        <w:t>,§</w:t>
      </w:r>
    </w:p>
    <w:p w14:paraId="4E9E5B21" w14:textId="44FCC12C" w:rsidR="00C103D9" w:rsidRPr="0052208E" w:rsidRDefault="00D938B9">
      <w:pPr>
        <w:pStyle w:val="ListParagraph"/>
        <w:numPr>
          <w:ilvl w:val="0"/>
          <w:numId w:val="1"/>
        </w:numPr>
        <w:tabs>
          <w:tab w:val="left" w:pos="389"/>
        </w:tabs>
        <w:spacing w:before="247"/>
        <w:rPr>
          <w:i/>
          <w:color w:val="000000" w:themeColor="text1"/>
          <w:sz w:val="24"/>
        </w:rPr>
      </w:pPr>
      <w:r w:rsidRPr="0052208E">
        <w:rPr>
          <w:i/>
          <w:color w:val="000000" w:themeColor="text1"/>
          <w:sz w:val="24"/>
        </w:rPr>
        <w:t xml:space="preserve">Istituto di Geoscienze e Georisorse, Consiglio Nazionale delle Ricerche, Via Moruzzi, 1, 56124, </w:t>
      </w:r>
      <w:r w:rsidRPr="0052208E">
        <w:rPr>
          <w:i/>
          <w:color w:val="000000" w:themeColor="text1"/>
          <w:spacing w:val="-4"/>
          <w:sz w:val="24"/>
        </w:rPr>
        <w:t xml:space="preserve">Pisa, </w:t>
      </w:r>
      <w:r w:rsidRPr="0052208E">
        <w:rPr>
          <w:i/>
          <w:color w:val="000000" w:themeColor="text1"/>
          <w:sz w:val="24"/>
        </w:rPr>
        <w:t>Italy</w:t>
      </w:r>
    </w:p>
    <w:p w14:paraId="1F24135A" w14:textId="77777777" w:rsidR="00C103D9" w:rsidRPr="0052208E" w:rsidRDefault="00D938B9">
      <w:pPr>
        <w:pStyle w:val="ListParagraph"/>
        <w:numPr>
          <w:ilvl w:val="0"/>
          <w:numId w:val="1"/>
        </w:numPr>
        <w:tabs>
          <w:tab w:val="left" w:pos="389"/>
        </w:tabs>
        <w:rPr>
          <w:i/>
          <w:color w:val="000000" w:themeColor="text1"/>
          <w:sz w:val="24"/>
        </w:rPr>
      </w:pPr>
      <w:r w:rsidRPr="0052208E">
        <w:rPr>
          <w:i/>
          <w:color w:val="000000" w:themeColor="text1"/>
          <w:sz w:val="24"/>
        </w:rPr>
        <w:t>Dipartimento di Scienze della Terra, Università degli Studi di Firenze, Via Giorgio La Pira, 4, I-50121, Firenze, Italy</w:t>
      </w:r>
    </w:p>
    <w:p w14:paraId="5AFD33A0" w14:textId="6F6B9101" w:rsidR="00432C3A" w:rsidRPr="0052208E" w:rsidRDefault="00432C3A" w:rsidP="00432C3A">
      <w:pPr>
        <w:pStyle w:val="ListParagraph"/>
        <w:widowControl/>
        <w:numPr>
          <w:ilvl w:val="0"/>
          <w:numId w:val="1"/>
        </w:numPr>
        <w:tabs>
          <w:tab w:val="left" w:pos="284"/>
        </w:tabs>
        <w:adjustRightInd w:val="0"/>
        <w:ind w:right="34"/>
        <w:contextualSpacing/>
        <w:jc w:val="both"/>
        <w:rPr>
          <w:bCs/>
          <w:i/>
          <w:color w:val="000000" w:themeColor="text1"/>
          <w:sz w:val="24"/>
          <w:szCs w:val="24"/>
        </w:rPr>
      </w:pPr>
      <w:r w:rsidRPr="0052208E">
        <w:rPr>
          <w:bCs/>
          <w:i/>
          <w:color w:val="000000" w:themeColor="text1"/>
          <w:sz w:val="24"/>
          <w:szCs w:val="24"/>
        </w:rPr>
        <w:t xml:space="preserve">Jeoloji Mühendisliği Bolümü, Munzur Üniversitesi, </w:t>
      </w:r>
      <w:r w:rsidR="00C777D6">
        <w:rPr>
          <w:bCs/>
          <w:i/>
          <w:color w:val="000000" w:themeColor="text1"/>
          <w:sz w:val="24"/>
          <w:szCs w:val="24"/>
        </w:rPr>
        <w:t>TR-</w:t>
      </w:r>
      <w:r w:rsidRPr="0052208E">
        <w:rPr>
          <w:bCs/>
          <w:i/>
          <w:color w:val="000000" w:themeColor="text1"/>
          <w:sz w:val="24"/>
          <w:szCs w:val="24"/>
        </w:rPr>
        <w:t>62000, Tunceli, Turkey</w:t>
      </w:r>
    </w:p>
    <w:p w14:paraId="1A94D333" w14:textId="77777777" w:rsidR="00C103D9" w:rsidRPr="0052208E" w:rsidRDefault="00D938B9">
      <w:pPr>
        <w:pStyle w:val="ListParagraph"/>
        <w:numPr>
          <w:ilvl w:val="0"/>
          <w:numId w:val="1"/>
        </w:numPr>
        <w:tabs>
          <w:tab w:val="left" w:pos="389"/>
        </w:tabs>
        <w:rPr>
          <w:i/>
          <w:color w:val="000000" w:themeColor="text1"/>
          <w:sz w:val="24"/>
        </w:rPr>
      </w:pPr>
      <w:r w:rsidRPr="0052208E">
        <w:rPr>
          <w:i/>
          <w:color w:val="000000" w:themeColor="text1"/>
          <w:sz w:val="24"/>
        </w:rPr>
        <w:t>Istituto di Geoscienze e Georisorse, Sede secondaria di Firenze, Consiglio Nazionale delle Ricerche, Via Giorgio La Pira, 4, I-50121, Firenze,</w:t>
      </w:r>
      <w:r w:rsidRPr="0052208E">
        <w:rPr>
          <w:i/>
          <w:color w:val="000000" w:themeColor="text1"/>
          <w:spacing w:val="-3"/>
          <w:sz w:val="24"/>
        </w:rPr>
        <w:t xml:space="preserve"> </w:t>
      </w:r>
      <w:r w:rsidRPr="0052208E">
        <w:rPr>
          <w:i/>
          <w:color w:val="000000" w:themeColor="text1"/>
          <w:sz w:val="24"/>
        </w:rPr>
        <w:t>Italy</w:t>
      </w:r>
    </w:p>
    <w:p w14:paraId="5A7711A9" w14:textId="0CA6D0F2" w:rsidR="00C103D9" w:rsidRPr="0052208E" w:rsidRDefault="00D938B9">
      <w:pPr>
        <w:pStyle w:val="ListParagraph"/>
        <w:numPr>
          <w:ilvl w:val="0"/>
          <w:numId w:val="1"/>
        </w:numPr>
        <w:tabs>
          <w:tab w:val="left" w:pos="389"/>
        </w:tabs>
        <w:rPr>
          <w:i/>
          <w:color w:val="000000" w:themeColor="text1"/>
          <w:sz w:val="24"/>
        </w:rPr>
      </w:pPr>
      <w:r w:rsidRPr="0052208E">
        <w:rPr>
          <w:i/>
          <w:color w:val="000000" w:themeColor="text1"/>
          <w:sz w:val="24"/>
        </w:rPr>
        <w:t xml:space="preserve">Istituto di Geologia Ambientale e Geoingegneria, Area della Ricerca di Roma1 - Montelibretti, Via Salaria km 29,300, </w:t>
      </w:r>
      <w:r w:rsidR="00C777D6">
        <w:rPr>
          <w:i/>
          <w:color w:val="000000" w:themeColor="text1"/>
          <w:sz w:val="24"/>
        </w:rPr>
        <w:t>I-</w:t>
      </w:r>
      <w:r w:rsidRPr="0052208E">
        <w:rPr>
          <w:i/>
          <w:color w:val="000000" w:themeColor="text1"/>
          <w:sz w:val="24"/>
        </w:rPr>
        <w:t>00015 Monterotondo (RM),</w:t>
      </w:r>
      <w:r w:rsidRPr="0052208E">
        <w:rPr>
          <w:i/>
          <w:color w:val="000000" w:themeColor="text1"/>
          <w:spacing w:val="-1"/>
          <w:sz w:val="24"/>
        </w:rPr>
        <w:t xml:space="preserve"> </w:t>
      </w:r>
      <w:r w:rsidRPr="0052208E">
        <w:rPr>
          <w:i/>
          <w:color w:val="000000" w:themeColor="text1"/>
          <w:sz w:val="24"/>
        </w:rPr>
        <w:t>Italy</w:t>
      </w:r>
    </w:p>
    <w:p w14:paraId="24ED5AD6" w14:textId="77777777" w:rsidR="00C103D9" w:rsidRPr="0052208E" w:rsidRDefault="00D938B9">
      <w:pPr>
        <w:pStyle w:val="BodyText"/>
        <w:spacing w:before="239"/>
        <w:ind w:left="388" w:right="351" w:hanging="284"/>
        <w:rPr>
          <w:color w:val="000000" w:themeColor="text1"/>
          <w:lang w:val="en-US"/>
        </w:rPr>
      </w:pPr>
      <w:r w:rsidRPr="0052208E">
        <w:rPr>
          <w:b/>
          <w:i/>
          <w:color w:val="000000" w:themeColor="text1"/>
          <w:lang w:val="en-US"/>
        </w:rPr>
        <w:t>§ Corresponding authors</w:t>
      </w:r>
      <w:r w:rsidRPr="0052208E">
        <w:rPr>
          <w:color w:val="000000" w:themeColor="text1"/>
          <w:lang w:val="en-US"/>
        </w:rPr>
        <w:t xml:space="preserve">: Samuele Agostini and Sandro Conticelli, e.mail: </w:t>
      </w:r>
      <w:r w:rsidRPr="0052208E">
        <w:rPr>
          <w:color w:val="000000" w:themeColor="text1"/>
          <w:u w:val="single" w:color="0563C1"/>
          <w:lang w:val="en-US"/>
        </w:rPr>
        <w:t>s.agostini@igg.cnr.it</w:t>
      </w:r>
      <w:r w:rsidRPr="0052208E">
        <w:rPr>
          <w:color w:val="000000" w:themeColor="text1"/>
          <w:lang w:val="en-US"/>
        </w:rPr>
        <w:t xml:space="preserve">; </w:t>
      </w:r>
      <w:hyperlink r:id="rId7">
        <w:r w:rsidRPr="0052208E">
          <w:rPr>
            <w:color w:val="000000" w:themeColor="text1"/>
            <w:u w:val="single" w:color="0563C1"/>
            <w:lang w:val="en-US"/>
          </w:rPr>
          <w:t>sandro.conticelli@unifi.it</w:t>
        </w:r>
        <w:r w:rsidRPr="0052208E">
          <w:rPr>
            <w:color w:val="000000" w:themeColor="text1"/>
            <w:lang w:val="en-US"/>
          </w:rPr>
          <w:t>,</w:t>
        </w:r>
      </w:hyperlink>
      <w:r w:rsidRPr="0052208E">
        <w:rPr>
          <w:color w:val="000000" w:themeColor="text1"/>
          <w:lang w:val="en-US"/>
        </w:rPr>
        <w:t xml:space="preserve"> respectively.</w:t>
      </w:r>
    </w:p>
    <w:p w14:paraId="40C2806F" w14:textId="77777777" w:rsidR="00C103D9" w:rsidRPr="0052208E" w:rsidRDefault="00D938B9">
      <w:pPr>
        <w:pStyle w:val="Heading1"/>
        <w:spacing w:before="239"/>
        <w:ind w:left="158"/>
        <w:jc w:val="both"/>
        <w:rPr>
          <w:color w:val="000000" w:themeColor="text1"/>
          <w:sz w:val="28"/>
          <w:lang w:val="en-US"/>
        </w:rPr>
      </w:pPr>
      <w:r w:rsidRPr="0052208E">
        <w:rPr>
          <w:color w:val="000000" w:themeColor="text1"/>
          <w:sz w:val="28"/>
          <w:lang w:val="en-US"/>
        </w:rPr>
        <w:t>Material and Methods</w:t>
      </w:r>
    </w:p>
    <w:p w14:paraId="00C6011D" w14:textId="2B1A0EF8" w:rsidR="00C103D9" w:rsidRPr="0052208E" w:rsidRDefault="00D938B9" w:rsidP="00437227">
      <w:pPr>
        <w:pStyle w:val="BodyText"/>
        <w:spacing w:before="149" w:line="360" w:lineRule="auto"/>
        <w:ind w:left="104" w:right="136"/>
        <w:jc w:val="both"/>
        <w:rPr>
          <w:color w:val="000000" w:themeColor="text1"/>
          <w:lang w:val="en-US"/>
        </w:rPr>
      </w:pPr>
      <w:r w:rsidRPr="0052208E">
        <w:rPr>
          <w:color w:val="000000" w:themeColor="text1"/>
          <w:lang w:val="en-US"/>
        </w:rPr>
        <w:t>Thirty-two samples were collected in the Sivas-Malatya region from the localities reported in table 1</w:t>
      </w:r>
      <w:r w:rsidRPr="0052208E">
        <w:rPr>
          <w:color w:val="000000" w:themeColor="text1"/>
          <w:spacing w:val="-14"/>
          <w:lang w:val="en-US"/>
        </w:rPr>
        <w:t xml:space="preserve"> </w:t>
      </w:r>
      <w:r w:rsidRPr="0052208E">
        <w:rPr>
          <w:color w:val="000000" w:themeColor="text1"/>
          <w:lang w:val="en-US"/>
        </w:rPr>
        <w:t>of</w:t>
      </w:r>
      <w:r w:rsidRPr="0052208E">
        <w:rPr>
          <w:color w:val="000000" w:themeColor="text1"/>
          <w:spacing w:val="-14"/>
          <w:lang w:val="en-US"/>
        </w:rPr>
        <w:t xml:space="preserve"> </w:t>
      </w:r>
      <w:r w:rsidRPr="0052208E">
        <w:rPr>
          <w:color w:val="000000" w:themeColor="text1"/>
          <w:lang w:val="en-US"/>
        </w:rPr>
        <w:t>the</w:t>
      </w:r>
      <w:r w:rsidRPr="0052208E">
        <w:rPr>
          <w:color w:val="000000" w:themeColor="text1"/>
          <w:spacing w:val="-13"/>
          <w:lang w:val="en-US"/>
        </w:rPr>
        <w:t xml:space="preserve"> </w:t>
      </w:r>
      <w:r w:rsidRPr="0052208E">
        <w:rPr>
          <w:color w:val="000000" w:themeColor="text1"/>
          <w:lang w:val="en-US"/>
        </w:rPr>
        <w:t>paper.</w:t>
      </w:r>
      <w:r w:rsidRPr="0052208E">
        <w:rPr>
          <w:color w:val="000000" w:themeColor="text1"/>
          <w:spacing w:val="-14"/>
          <w:lang w:val="en-US"/>
        </w:rPr>
        <w:t xml:space="preserve"> </w:t>
      </w:r>
      <w:r w:rsidRPr="0052208E">
        <w:rPr>
          <w:color w:val="000000" w:themeColor="text1"/>
          <w:lang w:val="en-US"/>
        </w:rPr>
        <w:t>Geographic</w:t>
      </w:r>
      <w:r w:rsidRPr="0052208E">
        <w:rPr>
          <w:color w:val="000000" w:themeColor="text1"/>
          <w:spacing w:val="-14"/>
          <w:lang w:val="en-US"/>
        </w:rPr>
        <w:t xml:space="preserve"> </w:t>
      </w:r>
      <w:r w:rsidRPr="0052208E">
        <w:rPr>
          <w:color w:val="000000" w:themeColor="text1"/>
          <w:lang w:val="en-US"/>
        </w:rPr>
        <w:t>coordinates</w:t>
      </w:r>
      <w:r w:rsidRPr="0052208E">
        <w:rPr>
          <w:color w:val="000000" w:themeColor="text1"/>
          <w:spacing w:val="-13"/>
          <w:lang w:val="en-US"/>
        </w:rPr>
        <w:t xml:space="preserve"> </w:t>
      </w:r>
      <w:r w:rsidRPr="0052208E">
        <w:rPr>
          <w:color w:val="000000" w:themeColor="text1"/>
          <w:lang w:val="en-US"/>
        </w:rPr>
        <w:t>are</w:t>
      </w:r>
      <w:r w:rsidRPr="0052208E">
        <w:rPr>
          <w:color w:val="000000" w:themeColor="text1"/>
          <w:spacing w:val="-14"/>
          <w:lang w:val="en-US"/>
        </w:rPr>
        <w:t xml:space="preserve"> </w:t>
      </w:r>
      <w:r w:rsidRPr="0052208E">
        <w:rPr>
          <w:color w:val="000000" w:themeColor="text1"/>
          <w:lang w:val="en-US"/>
        </w:rPr>
        <w:t>in</w:t>
      </w:r>
      <w:r w:rsidRPr="0052208E">
        <w:rPr>
          <w:color w:val="000000" w:themeColor="text1"/>
          <w:spacing w:val="-14"/>
          <w:lang w:val="en-US"/>
        </w:rPr>
        <w:t xml:space="preserve"> </w:t>
      </w:r>
      <w:r w:rsidRPr="0052208E">
        <w:rPr>
          <w:color w:val="000000" w:themeColor="text1"/>
          <w:lang w:val="en-US"/>
        </w:rPr>
        <w:t>Table</w:t>
      </w:r>
      <w:r w:rsidRPr="0052208E">
        <w:rPr>
          <w:color w:val="000000" w:themeColor="text1"/>
          <w:spacing w:val="-13"/>
          <w:lang w:val="en-US"/>
        </w:rPr>
        <w:t xml:space="preserve"> </w:t>
      </w:r>
      <w:r w:rsidRPr="0052208E">
        <w:rPr>
          <w:color w:val="000000" w:themeColor="text1"/>
          <w:lang w:val="en-US"/>
        </w:rPr>
        <w:t>1</w:t>
      </w:r>
      <w:r w:rsidRPr="0052208E">
        <w:rPr>
          <w:color w:val="000000" w:themeColor="text1"/>
          <w:spacing w:val="-14"/>
          <w:lang w:val="en-US"/>
        </w:rPr>
        <w:t xml:space="preserve"> </w:t>
      </w:r>
      <w:r w:rsidRPr="0052208E">
        <w:rPr>
          <w:color w:val="000000" w:themeColor="text1"/>
          <w:lang w:val="en-US"/>
        </w:rPr>
        <w:t>of</w:t>
      </w:r>
      <w:r w:rsidRPr="0052208E">
        <w:rPr>
          <w:color w:val="000000" w:themeColor="text1"/>
          <w:spacing w:val="-14"/>
          <w:lang w:val="en-US"/>
        </w:rPr>
        <w:t xml:space="preserve"> </w:t>
      </w:r>
      <w:r w:rsidRPr="0052208E">
        <w:rPr>
          <w:color w:val="000000" w:themeColor="text1"/>
          <w:lang w:val="en-US"/>
        </w:rPr>
        <w:t>the</w:t>
      </w:r>
      <w:r w:rsidRPr="0052208E">
        <w:rPr>
          <w:color w:val="000000" w:themeColor="text1"/>
          <w:spacing w:val="-13"/>
          <w:lang w:val="en-US"/>
        </w:rPr>
        <w:t xml:space="preserve"> </w:t>
      </w:r>
      <w:r w:rsidRPr="0052208E">
        <w:rPr>
          <w:color w:val="000000" w:themeColor="text1"/>
          <w:lang w:val="en-US"/>
        </w:rPr>
        <w:t>main</w:t>
      </w:r>
      <w:r w:rsidRPr="0052208E">
        <w:rPr>
          <w:color w:val="000000" w:themeColor="text1"/>
          <w:spacing w:val="-14"/>
          <w:lang w:val="en-US"/>
        </w:rPr>
        <w:t xml:space="preserve"> </w:t>
      </w:r>
      <w:r w:rsidRPr="0052208E">
        <w:rPr>
          <w:color w:val="000000" w:themeColor="text1"/>
          <w:lang w:val="en-US"/>
        </w:rPr>
        <w:t>paper</w:t>
      </w:r>
      <w:r w:rsidR="00BF76C8">
        <w:rPr>
          <w:color w:val="000000" w:themeColor="text1"/>
          <w:lang w:val="en-US"/>
        </w:rPr>
        <w:t>, and</w:t>
      </w:r>
      <w:r w:rsidRPr="0052208E">
        <w:rPr>
          <w:color w:val="000000" w:themeColor="text1"/>
          <w:spacing w:val="-14"/>
          <w:lang w:val="en-US"/>
        </w:rPr>
        <w:t xml:space="preserve"> </w:t>
      </w:r>
      <w:r w:rsidRPr="0052208E">
        <w:rPr>
          <w:color w:val="000000" w:themeColor="text1"/>
          <w:lang w:val="en-US"/>
        </w:rPr>
        <w:t xml:space="preserve">geographical location </w:t>
      </w:r>
      <w:r w:rsidR="00BF76C8">
        <w:rPr>
          <w:color w:val="000000" w:themeColor="text1"/>
          <w:lang w:val="en-US"/>
        </w:rPr>
        <w:t xml:space="preserve">are </w:t>
      </w:r>
      <w:r w:rsidRPr="0052208E">
        <w:rPr>
          <w:color w:val="000000" w:themeColor="text1"/>
          <w:lang w:val="en-US"/>
        </w:rPr>
        <w:t xml:space="preserve">reported on the maps of </w:t>
      </w:r>
      <w:r w:rsidR="00437227" w:rsidRPr="0052208E">
        <w:rPr>
          <w:color w:val="000000" w:themeColor="text1"/>
          <w:lang w:val="en-US"/>
        </w:rPr>
        <w:t>Fig.</w:t>
      </w:r>
      <w:r w:rsidRPr="0052208E">
        <w:rPr>
          <w:color w:val="000000" w:themeColor="text1"/>
          <w:lang w:val="en-US"/>
        </w:rPr>
        <w:t xml:space="preserve"> 1 of the </w:t>
      </w:r>
      <w:r w:rsidR="00BF76C8">
        <w:rPr>
          <w:color w:val="000000" w:themeColor="text1"/>
          <w:lang w:val="en-US"/>
        </w:rPr>
        <w:t xml:space="preserve">main </w:t>
      </w:r>
      <w:r w:rsidRPr="0052208E">
        <w:rPr>
          <w:color w:val="000000" w:themeColor="text1"/>
          <w:lang w:val="en-US"/>
        </w:rPr>
        <w:t>paper. Samples considered for this study were fresh, and they were mainly collected in lava flows and domes. Seven of them were selected for age determinations</w:t>
      </w:r>
      <w:r w:rsidRPr="0052208E">
        <w:rPr>
          <w:color w:val="000000" w:themeColor="text1"/>
          <w:spacing w:val="-5"/>
          <w:lang w:val="en-US"/>
        </w:rPr>
        <w:t xml:space="preserve"> </w:t>
      </w:r>
      <w:r w:rsidRPr="0052208E">
        <w:rPr>
          <w:color w:val="000000" w:themeColor="text1"/>
          <w:lang w:val="en-US"/>
        </w:rPr>
        <w:t>using</w:t>
      </w:r>
      <w:r w:rsidRPr="0052208E">
        <w:rPr>
          <w:color w:val="000000" w:themeColor="text1"/>
          <w:spacing w:val="-5"/>
          <w:lang w:val="en-US"/>
        </w:rPr>
        <w:t xml:space="preserve"> </w:t>
      </w:r>
      <w:r w:rsidRPr="0052208E">
        <w:rPr>
          <w:color w:val="000000" w:themeColor="text1"/>
          <w:lang w:val="en-US"/>
        </w:rPr>
        <w:t>different</w:t>
      </w:r>
      <w:r w:rsidRPr="0052208E">
        <w:rPr>
          <w:color w:val="000000" w:themeColor="text1"/>
          <w:spacing w:val="-5"/>
          <w:lang w:val="en-US"/>
        </w:rPr>
        <w:t xml:space="preserve"> </w:t>
      </w:r>
      <w:r w:rsidRPr="0052208E">
        <w:rPr>
          <w:color w:val="000000" w:themeColor="text1"/>
          <w:lang w:val="en-US"/>
        </w:rPr>
        <w:t>methods,</w:t>
      </w:r>
      <w:r w:rsidRPr="0052208E">
        <w:rPr>
          <w:color w:val="000000" w:themeColor="text1"/>
          <w:spacing w:val="-5"/>
          <w:lang w:val="en-US"/>
        </w:rPr>
        <w:t xml:space="preserve"> </w:t>
      </w:r>
      <w:r w:rsidRPr="0052208E">
        <w:rPr>
          <w:color w:val="000000" w:themeColor="text1"/>
          <w:lang w:val="en-US"/>
        </w:rPr>
        <w:t>namely</w:t>
      </w:r>
      <w:r w:rsidRPr="0052208E">
        <w:rPr>
          <w:color w:val="000000" w:themeColor="text1"/>
          <w:spacing w:val="-4"/>
          <w:lang w:val="en-US"/>
        </w:rPr>
        <w:t xml:space="preserve"> </w:t>
      </w:r>
      <w:r w:rsidRPr="0052208E">
        <w:rPr>
          <w:color w:val="000000" w:themeColor="text1"/>
          <w:lang w:val="en-US"/>
        </w:rPr>
        <w:t>four</w:t>
      </w:r>
      <w:r w:rsidRPr="0052208E">
        <w:rPr>
          <w:color w:val="000000" w:themeColor="text1"/>
          <w:spacing w:val="-5"/>
          <w:lang w:val="en-US"/>
        </w:rPr>
        <w:t xml:space="preserve"> </w:t>
      </w:r>
      <w:r w:rsidRPr="0052208E">
        <w:rPr>
          <w:color w:val="000000" w:themeColor="text1"/>
          <w:lang w:val="en-US"/>
        </w:rPr>
        <w:t>and</w:t>
      </w:r>
      <w:r w:rsidRPr="0052208E">
        <w:rPr>
          <w:color w:val="000000" w:themeColor="text1"/>
          <w:spacing w:val="-5"/>
          <w:lang w:val="en-US"/>
        </w:rPr>
        <w:t xml:space="preserve"> </w:t>
      </w:r>
      <w:r w:rsidRPr="0052208E">
        <w:rPr>
          <w:color w:val="000000" w:themeColor="text1"/>
          <w:lang w:val="en-US"/>
        </w:rPr>
        <w:t>tree</w:t>
      </w:r>
      <w:r w:rsidRPr="0052208E">
        <w:rPr>
          <w:color w:val="000000" w:themeColor="text1"/>
          <w:spacing w:val="-5"/>
          <w:lang w:val="en-US"/>
        </w:rPr>
        <w:t xml:space="preserve"> </w:t>
      </w:r>
      <w:r w:rsidRPr="0052208E">
        <w:rPr>
          <w:color w:val="000000" w:themeColor="text1"/>
          <w:lang w:val="en-US"/>
        </w:rPr>
        <w:t>for</w:t>
      </w:r>
      <w:r w:rsidRPr="0052208E">
        <w:rPr>
          <w:color w:val="000000" w:themeColor="text1"/>
          <w:spacing w:val="-4"/>
          <w:lang w:val="en-US"/>
        </w:rPr>
        <w:t xml:space="preserve"> </w:t>
      </w:r>
      <w:r w:rsidRPr="0052208E">
        <w:rPr>
          <w:color w:val="000000" w:themeColor="text1"/>
          <w:lang w:val="en-US"/>
        </w:rPr>
        <w:t>K/Ar</w:t>
      </w:r>
      <w:r w:rsidRPr="0052208E">
        <w:rPr>
          <w:color w:val="000000" w:themeColor="text1"/>
          <w:spacing w:val="-5"/>
          <w:lang w:val="en-US"/>
        </w:rPr>
        <w:t xml:space="preserve"> </w:t>
      </w:r>
      <w:r w:rsidRPr="0052208E">
        <w:rPr>
          <w:color w:val="000000" w:themeColor="text1"/>
          <w:lang w:val="en-US"/>
        </w:rPr>
        <w:t>and</w:t>
      </w:r>
      <w:r w:rsidRPr="0052208E">
        <w:rPr>
          <w:color w:val="000000" w:themeColor="text1"/>
          <w:spacing w:val="-5"/>
          <w:lang w:val="en-US"/>
        </w:rPr>
        <w:t xml:space="preserve"> </w:t>
      </w:r>
      <w:r w:rsidRPr="0052208E">
        <w:rPr>
          <w:color w:val="000000" w:themeColor="text1"/>
          <w:position w:val="8"/>
          <w:sz w:val="16"/>
          <w:lang w:val="en-US"/>
        </w:rPr>
        <w:t>40</w:t>
      </w:r>
      <w:r w:rsidRPr="0052208E">
        <w:rPr>
          <w:color w:val="000000" w:themeColor="text1"/>
          <w:lang w:val="en-US"/>
        </w:rPr>
        <w:t>Ar-</w:t>
      </w:r>
      <w:r w:rsidRPr="0052208E">
        <w:rPr>
          <w:color w:val="000000" w:themeColor="text1"/>
          <w:position w:val="8"/>
          <w:sz w:val="16"/>
          <w:lang w:val="en-US"/>
        </w:rPr>
        <w:t>39</w:t>
      </w:r>
      <w:r w:rsidRPr="0052208E">
        <w:rPr>
          <w:color w:val="000000" w:themeColor="text1"/>
          <w:lang w:val="en-US"/>
        </w:rPr>
        <w:t>Ar,</w:t>
      </w:r>
      <w:r w:rsidRPr="0052208E">
        <w:rPr>
          <w:color w:val="000000" w:themeColor="text1"/>
          <w:spacing w:val="-5"/>
          <w:lang w:val="en-US"/>
        </w:rPr>
        <w:t xml:space="preserve"> </w:t>
      </w:r>
      <w:r w:rsidRPr="0052208E">
        <w:rPr>
          <w:color w:val="000000" w:themeColor="text1"/>
          <w:lang w:val="en-US"/>
        </w:rPr>
        <w:t>respectively.</w:t>
      </w:r>
      <w:r w:rsidRPr="0052208E">
        <w:rPr>
          <w:color w:val="000000" w:themeColor="text1"/>
          <w:spacing w:val="-4"/>
          <w:lang w:val="en-US"/>
        </w:rPr>
        <w:t xml:space="preserve"> </w:t>
      </w:r>
      <w:r w:rsidRPr="0052208E">
        <w:rPr>
          <w:color w:val="000000" w:themeColor="text1"/>
          <w:lang w:val="en-US"/>
        </w:rPr>
        <w:t>The selection was made to verify chronology of the events in absence of direct stratigraphic relationships or uncertainty in the attribution to either sub-alkaline or alkaline suite. The overall samples were analysed for major and trace elements distribution, while thirteen representative samples were selected for Sr-Nd-Pb</w:t>
      </w:r>
      <w:r w:rsidRPr="0052208E">
        <w:rPr>
          <w:color w:val="000000" w:themeColor="text1"/>
          <w:spacing w:val="-1"/>
          <w:lang w:val="en-US"/>
        </w:rPr>
        <w:t xml:space="preserve"> </w:t>
      </w:r>
      <w:r w:rsidRPr="0052208E">
        <w:rPr>
          <w:color w:val="000000" w:themeColor="text1"/>
          <w:lang w:val="en-US"/>
        </w:rPr>
        <w:t>isotopes.</w:t>
      </w:r>
    </w:p>
    <w:p w14:paraId="47256065" w14:textId="359C2989" w:rsidR="00C103D9" w:rsidRPr="0052208E" w:rsidRDefault="00D938B9" w:rsidP="001E02F8">
      <w:pPr>
        <w:pStyle w:val="BodyText"/>
        <w:spacing w:line="357" w:lineRule="auto"/>
        <w:ind w:left="104" w:right="137" w:firstLine="256"/>
        <w:jc w:val="both"/>
        <w:rPr>
          <w:color w:val="000000" w:themeColor="text1"/>
          <w:lang w:val="en-US"/>
        </w:rPr>
      </w:pPr>
      <w:r w:rsidRPr="0052208E">
        <w:rPr>
          <w:color w:val="000000" w:themeColor="text1"/>
          <w:lang w:val="en-US"/>
        </w:rPr>
        <w:t>K</w:t>
      </w:r>
      <w:r w:rsidR="001E02F8" w:rsidRPr="0052208E">
        <w:rPr>
          <w:color w:val="000000" w:themeColor="text1"/>
          <w:lang w:val="en-US"/>
        </w:rPr>
        <w:t>-</w:t>
      </w:r>
      <w:r w:rsidRPr="0052208E">
        <w:rPr>
          <w:color w:val="000000" w:themeColor="text1"/>
          <w:lang w:val="en-US"/>
        </w:rPr>
        <w:t xml:space="preserve">Ar age determinations were performed at the Institute of Nuclear Research of the Hungarian Academy of Sciences. About 500 mg of fresh groundmass samples were spiked with </w:t>
      </w:r>
      <w:r w:rsidRPr="0052208E">
        <w:rPr>
          <w:color w:val="000000" w:themeColor="text1"/>
          <w:position w:val="8"/>
          <w:sz w:val="16"/>
          <w:lang w:val="en-US"/>
        </w:rPr>
        <w:t>38</w:t>
      </w:r>
      <w:r w:rsidRPr="0052208E">
        <w:rPr>
          <w:color w:val="000000" w:themeColor="text1"/>
          <w:lang w:val="en-US"/>
        </w:rPr>
        <w:t xml:space="preserve">Ar for the determination of </w:t>
      </w:r>
      <w:r w:rsidRPr="0052208E">
        <w:rPr>
          <w:color w:val="000000" w:themeColor="text1"/>
          <w:position w:val="8"/>
          <w:sz w:val="16"/>
          <w:lang w:val="en-US"/>
        </w:rPr>
        <w:t>40</w:t>
      </w:r>
      <w:r w:rsidRPr="0052208E">
        <w:rPr>
          <w:color w:val="000000" w:themeColor="text1"/>
          <w:lang w:val="en-US"/>
        </w:rPr>
        <w:t>Ar. The mass spectrometer, operating in static mode, was cleaned with conventional getter material prior to gas sample introduction. The HD-B1, GL-O, LP-6 and Asia 1/65 interlaboratory</w:t>
      </w:r>
      <w:r w:rsidRPr="0052208E">
        <w:rPr>
          <w:color w:val="000000" w:themeColor="text1"/>
          <w:spacing w:val="-7"/>
          <w:lang w:val="en-US"/>
        </w:rPr>
        <w:t xml:space="preserve"> </w:t>
      </w:r>
      <w:r w:rsidRPr="0052208E">
        <w:rPr>
          <w:color w:val="000000" w:themeColor="text1"/>
          <w:lang w:val="en-US"/>
        </w:rPr>
        <w:t>standards</w:t>
      </w:r>
      <w:r w:rsidRPr="0052208E">
        <w:rPr>
          <w:color w:val="000000" w:themeColor="text1"/>
          <w:spacing w:val="-7"/>
          <w:lang w:val="en-US"/>
        </w:rPr>
        <w:t xml:space="preserve"> </w:t>
      </w:r>
      <w:r w:rsidRPr="0052208E">
        <w:rPr>
          <w:color w:val="000000" w:themeColor="text1"/>
          <w:lang w:val="en-US"/>
        </w:rPr>
        <w:t>were</w:t>
      </w:r>
      <w:r w:rsidRPr="0052208E">
        <w:rPr>
          <w:color w:val="000000" w:themeColor="text1"/>
          <w:spacing w:val="-7"/>
          <w:lang w:val="en-US"/>
        </w:rPr>
        <w:t xml:space="preserve"> </w:t>
      </w:r>
      <w:r w:rsidRPr="0052208E">
        <w:rPr>
          <w:color w:val="000000" w:themeColor="text1"/>
          <w:lang w:val="en-US"/>
        </w:rPr>
        <w:t>used</w:t>
      </w:r>
      <w:r w:rsidRPr="0052208E">
        <w:rPr>
          <w:color w:val="000000" w:themeColor="text1"/>
          <w:spacing w:val="-6"/>
          <w:lang w:val="en-US"/>
        </w:rPr>
        <w:t xml:space="preserve"> </w:t>
      </w:r>
      <w:r w:rsidRPr="0052208E">
        <w:rPr>
          <w:color w:val="000000" w:themeColor="text1"/>
          <w:lang w:val="en-US"/>
        </w:rPr>
        <w:t>for</w:t>
      </w:r>
      <w:r w:rsidRPr="0052208E">
        <w:rPr>
          <w:color w:val="000000" w:themeColor="text1"/>
          <w:spacing w:val="-7"/>
          <w:lang w:val="en-US"/>
        </w:rPr>
        <w:t xml:space="preserve"> </w:t>
      </w:r>
      <w:r w:rsidRPr="0052208E">
        <w:rPr>
          <w:color w:val="000000" w:themeColor="text1"/>
          <w:lang w:val="en-US"/>
        </w:rPr>
        <w:t>calibration.</w:t>
      </w:r>
      <w:r w:rsidRPr="0052208E">
        <w:rPr>
          <w:color w:val="000000" w:themeColor="text1"/>
          <w:spacing w:val="-7"/>
          <w:lang w:val="en-US"/>
        </w:rPr>
        <w:t xml:space="preserve"> </w:t>
      </w:r>
      <w:r w:rsidRPr="0052208E">
        <w:rPr>
          <w:color w:val="000000" w:themeColor="text1"/>
          <w:lang w:val="en-US"/>
        </w:rPr>
        <w:t>Ages</w:t>
      </w:r>
      <w:r w:rsidRPr="0052208E">
        <w:rPr>
          <w:color w:val="000000" w:themeColor="text1"/>
          <w:spacing w:val="-7"/>
          <w:lang w:val="en-US"/>
        </w:rPr>
        <w:t xml:space="preserve"> </w:t>
      </w:r>
      <w:r w:rsidRPr="0052208E">
        <w:rPr>
          <w:color w:val="000000" w:themeColor="text1"/>
          <w:lang w:val="en-US"/>
        </w:rPr>
        <w:t>were</w:t>
      </w:r>
      <w:r w:rsidRPr="0052208E">
        <w:rPr>
          <w:color w:val="000000" w:themeColor="text1"/>
          <w:spacing w:val="-6"/>
          <w:lang w:val="en-US"/>
        </w:rPr>
        <w:t xml:space="preserve"> </w:t>
      </w:r>
      <w:r w:rsidRPr="0052208E">
        <w:rPr>
          <w:color w:val="000000" w:themeColor="text1"/>
          <w:lang w:val="en-US"/>
        </w:rPr>
        <w:t>calculated</w:t>
      </w:r>
      <w:r w:rsidRPr="0052208E">
        <w:rPr>
          <w:color w:val="000000" w:themeColor="text1"/>
          <w:spacing w:val="-7"/>
          <w:lang w:val="en-US"/>
        </w:rPr>
        <w:t xml:space="preserve"> </w:t>
      </w:r>
      <w:r w:rsidRPr="0052208E">
        <w:rPr>
          <w:color w:val="000000" w:themeColor="text1"/>
          <w:lang w:val="en-US"/>
        </w:rPr>
        <w:t>using</w:t>
      </w:r>
      <w:r w:rsidRPr="0052208E">
        <w:rPr>
          <w:color w:val="000000" w:themeColor="text1"/>
          <w:spacing w:val="-7"/>
          <w:lang w:val="en-US"/>
        </w:rPr>
        <w:t xml:space="preserve"> </w:t>
      </w:r>
      <w:r w:rsidRPr="0052208E">
        <w:rPr>
          <w:color w:val="000000" w:themeColor="text1"/>
          <w:lang w:val="en-US"/>
        </w:rPr>
        <w:t>the</w:t>
      </w:r>
      <w:r w:rsidRPr="0052208E">
        <w:rPr>
          <w:color w:val="000000" w:themeColor="text1"/>
          <w:spacing w:val="-7"/>
          <w:lang w:val="en-US"/>
        </w:rPr>
        <w:t xml:space="preserve"> </w:t>
      </w:r>
      <w:r w:rsidRPr="0052208E">
        <w:rPr>
          <w:color w:val="000000" w:themeColor="text1"/>
          <w:lang w:val="en-US"/>
        </w:rPr>
        <w:t>decay</w:t>
      </w:r>
      <w:r w:rsidRPr="0052208E">
        <w:rPr>
          <w:color w:val="000000" w:themeColor="text1"/>
          <w:spacing w:val="-6"/>
          <w:lang w:val="en-US"/>
        </w:rPr>
        <w:t xml:space="preserve"> </w:t>
      </w:r>
      <w:r w:rsidRPr="0052208E">
        <w:rPr>
          <w:color w:val="000000" w:themeColor="text1"/>
          <w:lang w:val="en-US"/>
        </w:rPr>
        <w:t>constants</w:t>
      </w:r>
      <w:r w:rsidRPr="0052208E">
        <w:rPr>
          <w:color w:val="000000" w:themeColor="text1"/>
          <w:spacing w:val="-7"/>
          <w:lang w:val="en-US"/>
        </w:rPr>
        <w:t xml:space="preserve"> </w:t>
      </w:r>
      <w:r w:rsidRPr="0052208E">
        <w:rPr>
          <w:color w:val="000000" w:themeColor="text1"/>
          <w:lang w:val="en-US"/>
        </w:rPr>
        <w:t>of</w:t>
      </w:r>
    </w:p>
    <w:p w14:paraId="7FEFD8A2" w14:textId="77777777" w:rsidR="00C103D9" w:rsidRPr="0052208E" w:rsidRDefault="00C103D9">
      <w:pPr>
        <w:spacing w:line="357" w:lineRule="auto"/>
        <w:jc w:val="both"/>
        <w:rPr>
          <w:color w:val="000000" w:themeColor="text1"/>
          <w:lang w:val="en-US"/>
        </w:rPr>
        <w:sectPr w:rsidR="00C103D9" w:rsidRPr="0052208E">
          <w:headerReference w:type="default" r:id="rId8"/>
          <w:footerReference w:type="default" r:id="rId9"/>
          <w:type w:val="continuous"/>
          <w:pgSz w:w="12240" w:h="15840"/>
          <w:pgMar w:top="1500" w:right="1020" w:bottom="960" w:left="1040" w:header="855" w:footer="776" w:gutter="0"/>
          <w:pgNumType w:start="1"/>
          <w:cols w:space="720"/>
        </w:sectPr>
      </w:pPr>
    </w:p>
    <w:p w14:paraId="2F56B145" w14:textId="77777777" w:rsidR="00C103D9" w:rsidRPr="0052208E" w:rsidRDefault="00D938B9">
      <w:pPr>
        <w:pStyle w:val="BodyText"/>
        <w:spacing w:before="94" w:line="357" w:lineRule="auto"/>
        <w:ind w:left="104" w:right="137"/>
        <w:jc w:val="both"/>
        <w:rPr>
          <w:color w:val="000000" w:themeColor="text1"/>
          <w:lang w:val="en-US"/>
        </w:rPr>
      </w:pPr>
      <w:r w:rsidRPr="0052208E">
        <w:rPr>
          <w:color w:val="000000" w:themeColor="text1"/>
          <w:lang w:val="en-US"/>
        </w:rPr>
        <w:lastRenderedPageBreak/>
        <w:t>Steiger and Jäger</w:t>
      </w:r>
      <w:r w:rsidRPr="0052208E">
        <w:rPr>
          <w:color w:val="000000" w:themeColor="text1"/>
          <w:spacing w:val="-9"/>
          <w:lang w:val="en-US"/>
        </w:rPr>
        <w:t xml:space="preserve"> </w:t>
      </w:r>
      <w:r w:rsidRPr="0052208E">
        <w:rPr>
          <w:color w:val="000000" w:themeColor="text1"/>
          <w:lang w:val="en-US"/>
        </w:rPr>
        <w:t>(1977).</w:t>
      </w:r>
      <w:r w:rsidRPr="0052208E">
        <w:rPr>
          <w:color w:val="000000" w:themeColor="text1"/>
          <w:spacing w:val="-9"/>
          <w:lang w:val="en-US"/>
        </w:rPr>
        <w:t xml:space="preserve"> </w:t>
      </w:r>
      <w:r w:rsidRPr="0052208E">
        <w:rPr>
          <w:color w:val="000000" w:themeColor="text1"/>
          <w:lang w:val="en-US"/>
        </w:rPr>
        <w:t>Analytical</w:t>
      </w:r>
      <w:r w:rsidRPr="0052208E">
        <w:rPr>
          <w:color w:val="000000" w:themeColor="text1"/>
          <w:spacing w:val="-9"/>
          <w:lang w:val="en-US"/>
        </w:rPr>
        <w:t xml:space="preserve"> </w:t>
      </w:r>
      <w:r w:rsidRPr="0052208E">
        <w:rPr>
          <w:color w:val="000000" w:themeColor="text1"/>
          <w:lang w:val="en-US"/>
        </w:rPr>
        <w:t>errors</w:t>
      </w:r>
      <w:r w:rsidRPr="0052208E">
        <w:rPr>
          <w:color w:val="000000" w:themeColor="text1"/>
          <w:spacing w:val="-9"/>
          <w:lang w:val="en-US"/>
        </w:rPr>
        <w:t xml:space="preserve"> </w:t>
      </w:r>
      <w:r w:rsidRPr="0052208E">
        <w:rPr>
          <w:color w:val="000000" w:themeColor="text1"/>
          <w:lang w:val="en-US"/>
        </w:rPr>
        <w:t>represent</w:t>
      </w:r>
      <w:r w:rsidRPr="0052208E">
        <w:rPr>
          <w:color w:val="000000" w:themeColor="text1"/>
          <w:spacing w:val="-9"/>
          <w:lang w:val="en-US"/>
        </w:rPr>
        <w:t xml:space="preserve"> </w:t>
      </w:r>
      <w:r w:rsidRPr="0052208E">
        <w:rPr>
          <w:color w:val="000000" w:themeColor="text1"/>
          <w:lang w:val="en-US"/>
        </w:rPr>
        <w:t>one</w:t>
      </w:r>
      <w:r w:rsidRPr="0052208E">
        <w:rPr>
          <w:color w:val="000000" w:themeColor="text1"/>
          <w:spacing w:val="-9"/>
          <w:lang w:val="en-US"/>
        </w:rPr>
        <w:t xml:space="preserve"> </w:t>
      </w:r>
      <w:r w:rsidRPr="0052208E">
        <w:rPr>
          <w:color w:val="000000" w:themeColor="text1"/>
          <w:lang w:val="en-US"/>
        </w:rPr>
        <w:t>standard</w:t>
      </w:r>
      <w:r w:rsidRPr="0052208E">
        <w:rPr>
          <w:color w:val="000000" w:themeColor="text1"/>
          <w:spacing w:val="-9"/>
          <w:lang w:val="en-US"/>
        </w:rPr>
        <w:t xml:space="preserve"> </w:t>
      </w:r>
      <w:r w:rsidRPr="0052208E">
        <w:rPr>
          <w:color w:val="000000" w:themeColor="text1"/>
          <w:lang w:val="en-US"/>
        </w:rPr>
        <w:t>deviation.</w:t>
      </w:r>
      <w:r w:rsidRPr="0052208E">
        <w:rPr>
          <w:color w:val="000000" w:themeColor="text1"/>
          <w:spacing w:val="-9"/>
          <w:lang w:val="en-US"/>
        </w:rPr>
        <w:t xml:space="preserve"> </w:t>
      </w:r>
      <w:r w:rsidRPr="0052208E">
        <w:rPr>
          <w:color w:val="000000" w:themeColor="text1"/>
          <w:lang w:val="en-US"/>
        </w:rPr>
        <w:t>Potassium</w:t>
      </w:r>
      <w:r w:rsidRPr="0052208E">
        <w:rPr>
          <w:color w:val="000000" w:themeColor="text1"/>
          <w:spacing w:val="-9"/>
          <w:lang w:val="en-US"/>
        </w:rPr>
        <w:t xml:space="preserve"> </w:t>
      </w:r>
      <w:r w:rsidRPr="0052208E">
        <w:rPr>
          <w:color w:val="000000" w:themeColor="text1"/>
          <w:lang w:val="en-US"/>
        </w:rPr>
        <w:t>concentrations were determined by flame photometry, and replicate analyses were reproducible within 2</w:t>
      </w:r>
      <w:r w:rsidRPr="0052208E">
        <w:rPr>
          <w:color w:val="000000" w:themeColor="text1"/>
          <w:spacing w:val="-5"/>
          <w:lang w:val="en-US"/>
        </w:rPr>
        <w:t xml:space="preserve"> </w:t>
      </w:r>
      <w:r w:rsidRPr="0052208E">
        <w:rPr>
          <w:color w:val="000000" w:themeColor="text1"/>
          <w:lang w:val="en-US"/>
        </w:rPr>
        <w:t>%.</w:t>
      </w:r>
    </w:p>
    <w:p w14:paraId="218B333F" w14:textId="7548E829" w:rsidR="00896690" w:rsidRPr="0052208E" w:rsidRDefault="00896690" w:rsidP="00896690">
      <w:pPr>
        <w:adjustRightInd w:val="0"/>
        <w:spacing w:line="360" w:lineRule="auto"/>
        <w:ind w:right="36" w:firstLine="284"/>
        <w:jc w:val="both"/>
        <w:rPr>
          <w:color w:val="000000" w:themeColor="text1"/>
          <w:sz w:val="24"/>
          <w:szCs w:val="24"/>
          <w:lang w:val="en-GB"/>
        </w:rPr>
      </w:pPr>
      <w:r w:rsidRPr="0052208E">
        <w:rPr>
          <w:color w:val="000000" w:themeColor="text1"/>
          <w:sz w:val="24"/>
          <w:szCs w:val="24"/>
          <w:lang w:val="en-GB"/>
        </w:rPr>
        <w:t xml:space="preserve">Three additional samples were selected for </w:t>
      </w:r>
      <w:r w:rsidRPr="0052208E">
        <w:rPr>
          <w:rFonts w:cstheme="minorHAnsi"/>
          <w:bCs/>
          <w:color w:val="000000" w:themeColor="text1"/>
          <w:sz w:val="24"/>
          <w:szCs w:val="24"/>
          <w:vertAlign w:val="superscript"/>
          <w:lang w:val="en-GB"/>
        </w:rPr>
        <w:t>40</w:t>
      </w:r>
      <w:r w:rsidRPr="0052208E">
        <w:rPr>
          <w:rFonts w:cstheme="minorHAnsi"/>
          <w:bCs/>
          <w:color w:val="000000" w:themeColor="text1"/>
          <w:sz w:val="24"/>
          <w:szCs w:val="24"/>
          <w:lang w:val="en-GB"/>
        </w:rPr>
        <w:t>Ar-</w:t>
      </w:r>
      <w:r w:rsidRPr="0052208E">
        <w:rPr>
          <w:rFonts w:cstheme="minorHAnsi"/>
          <w:bCs/>
          <w:color w:val="000000" w:themeColor="text1"/>
          <w:sz w:val="24"/>
          <w:szCs w:val="24"/>
          <w:vertAlign w:val="superscript"/>
          <w:lang w:val="en-GB"/>
        </w:rPr>
        <w:t>39</w:t>
      </w:r>
      <w:r w:rsidRPr="0052208E">
        <w:rPr>
          <w:rFonts w:cstheme="minorHAnsi"/>
          <w:bCs/>
          <w:color w:val="000000" w:themeColor="text1"/>
          <w:sz w:val="24"/>
          <w:szCs w:val="24"/>
          <w:lang w:val="en-GB"/>
        </w:rPr>
        <w:t xml:space="preserve">Ar </w:t>
      </w:r>
      <w:r w:rsidRPr="0052208E">
        <w:rPr>
          <w:rFonts w:eastAsia="Times New Roman" w:cs="Times New Roman"/>
          <w:color w:val="000000" w:themeColor="text1"/>
          <w:sz w:val="24"/>
          <w:szCs w:val="24"/>
          <w:lang w:val="en-GB" w:eastAsia="it-IT"/>
        </w:rPr>
        <w:t xml:space="preserve">dating. </w:t>
      </w:r>
      <w:r w:rsidRPr="0052208E">
        <w:rPr>
          <w:rFonts w:cstheme="minorHAnsi"/>
          <w:bCs/>
          <w:color w:val="000000" w:themeColor="text1"/>
          <w:sz w:val="24"/>
          <w:szCs w:val="24"/>
          <w:lang w:val="en-GB"/>
        </w:rPr>
        <w:t xml:space="preserve">Sample preparation and </w:t>
      </w:r>
      <w:r w:rsidRPr="0052208E">
        <w:rPr>
          <w:rFonts w:cstheme="minorHAnsi"/>
          <w:bCs/>
          <w:color w:val="000000" w:themeColor="text1"/>
          <w:sz w:val="24"/>
          <w:szCs w:val="24"/>
          <w:vertAlign w:val="superscript"/>
          <w:lang w:val="en-GB"/>
        </w:rPr>
        <w:t>40</w:t>
      </w:r>
      <w:r w:rsidRPr="0052208E">
        <w:rPr>
          <w:rFonts w:cstheme="minorHAnsi"/>
          <w:bCs/>
          <w:color w:val="000000" w:themeColor="text1"/>
          <w:sz w:val="24"/>
          <w:szCs w:val="24"/>
          <w:lang w:val="en-GB"/>
        </w:rPr>
        <w:t>Ar–</w:t>
      </w:r>
      <w:r w:rsidRPr="0052208E">
        <w:rPr>
          <w:rFonts w:cstheme="minorHAnsi"/>
          <w:bCs/>
          <w:color w:val="000000" w:themeColor="text1"/>
          <w:sz w:val="24"/>
          <w:szCs w:val="24"/>
          <w:vertAlign w:val="superscript"/>
          <w:lang w:val="en-GB"/>
        </w:rPr>
        <w:t>39</w:t>
      </w:r>
      <w:r w:rsidRPr="0052208E">
        <w:rPr>
          <w:rFonts w:cstheme="minorHAnsi"/>
          <w:bCs/>
          <w:color w:val="000000" w:themeColor="text1"/>
          <w:sz w:val="24"/>
          <w:szCs w:val="24"/>
          <w:lang w:val="en-GB"/>
        </w:rPr>
        <w:t>Ar data collection were completed at Istituto di Geoscienze e Georisorse, CNR, Pisa (Italy). Rock samples were crushed and sieved to extract groundmasses from the 0.3–0.5-mm fraction. Grains were leached following the procedure given in (Koppers et al. (2000), were wrapped in aluminum foil and irradiated for 2 h in the core of the TRIGA reactor at the University of Pavia (Italy) along with the dating standard Alder Creek sanidine (ACs). Approximatively 12 mg of groundmasses were placed as a single layer in 6-mm diameter holes of a copper holder and then loaded into a vacuum chamber, comprising a laser port consisting of a ZnSe window fitted with a differentially pumped flange. Groundmasses were baked for 12 h at 150°C. Laser step-heating experiment was performed using a CO</w:t>
      </w:r>
      <w:r w:rsidRPr="0052208E">
        <w:rPr>
          <w:rFonts w:cstheme="minorHAnsi"/>
          <w:bCs/>
          <w:color w:val="000000" w:themeColor="text1"/>
          <w:sz w:val="24"/>
          <w:szCs w:val="24"/>
          <w:vertAlign w:val="subscript"/>
          <w:lang w:val="en-GB"/>
        </w:rPr>
        <w:t>2</w:t>
      </w:r>
      <w:r w:rsidRPr="0052208E">
        <w:rPr>
          <w:rFonts w:cstheme="minorHAnsi"/>
          <w:bCs/>
          <w:color w:val="000000" w:themeColor="text1"/>
          <w:sz w:val="24"/>
          <w:szCs w:val="24"/>
          <w:lang w:val="en-GB"/>
        </w:rPr>
        <w:t xml:space="preserve"> laser beam (New Wave Research MIR10–30 CO</w:t>
      </w:r>
      <w:r w:rsidRPr="0052208E">
        <w:rPr>
          <w:rFonts w:cstheme="minorHAnsi"/>
          <w:bCs/>
          <w:color w:val="000000" w:themeColor="text1"/>
          <w:sz w:val="24"/>
          <w:szCs w:val="24"/>
          <w:vertAlign w:val="subscript"/>
          <w:lang w:val="en-GB"/>
        </w:rPr>
        <w:t>2</w:t>
      </w:r>
      <w:r w:rsidRPr="0052208E">
        <w:rPr>
          <w:rFonts w:cstheme="minorHAnsi"/>
          <w:bCs/>
          <w:color w:val="000000" w:themeColor="text1"/>
          <w:sz w:val="24"/>
          <w:szCs w:val="24"/>
          <w:lang w:val="en-GB"/>
        </w:rPr>
        <w:t xml:space="preserve"> laser system) defocused to a ~2 mm spot size and slowly rastered over the samples. Steps were carried out at increasing laser power until complete melting occurred. Extracted gases were purified in a low-volume stainless steel inlet system for 5 min (including 2 min of lasering), using three SAES NP10 getters (one, water cooled, held at ~400° C and two at room temperature) and a cryogenic condensation trap (using an ethanol – dry ice mixture). Ar isotope measurements were performed simultaneously in a static mode using an ARGUS VI</w:t>
      </w:r>
      <w:r w:rsidRPr="0052208E">
        <w:rPr>
          <w:rFonts w:cstheme="minorHAnsi"/>
          <w:bCs/>
          <w:color w:val="000000" w:themeColor="text1"/>
          <w:sz w:val="24"/>
          <w:szCs w:val="24"/>
          <w:vertAlign w:val="superscript"/>
          <w:lang w:val="en-GB"/>
        </w:rPr>
        <w:t>TM</w:t>
      </w:r>
      <w:r w:rsidRPr="0052208E">
        <w:rPr>
          <w:rFonts w:cstheme="minorHAnsi"/>
          <w:bCs/>
          <w:color w:val="000000" w:themeColor="text1"/>
          <w:sz w:val="24"/>
          <w:szCs w:val="24"/>
          <w:lang w:val="en-GB"/>
        </w:rPr>
        <w:t xml:space="preserve"> (Thermo Fisher Scientific) multicollector mass spectrometer. </w:t>
      </w:r>
      <w:r w:rsidRPr="0052208E">
        <w:rPr>
          <w:rFonts w:cstheme="minorHAnsi"/>
          <w:bCs/>
          <w:color w:val="000000" w:themeColor="text1"/>
          <w:sz w:val="24"/>
          <w:szCs w:val="24"/>
          <w:vertAlign w:val="superscript"/>
          <w:lang w:val="en-GB"/>
        </w:rPr>
        <w:t>36</w:t>
      </w:r>
      <w:r w:rsidRPr="0052208E">
        <w:rPr>
          <w:rFonts w:cstheme="minorHAnsi"/>
          <w:bCs/>
          <w:color w:val="000000" w:themeColor="text1"/>
          <w:sz w:val="24"/>
          <w:szCs w:val="24"/>
          <w:lang w:val="en-GB"/>
        </w:rPr>
        <w:t>Ar was measured using a Compact Discrete Dynode (CDD) detector and the remaining Ar isotopes using Faraday detectors (equipped with 10</w:t>
      </w:r>
      <w:r w:rsidRPr="0052208E">
        <w:rPr>
          <w:rFonts w:cstheme="minorHAnsi"/>
          <w:bCs/>
          <w:color w:val="000000" w:themeColor="text1"/>
          <w:sz w:val="24"/>
          <w:szCs w:val="24"/>
          <w:vertAlign w:val="superscript"/>
          <w:lang w:val="en-GB"/>
        </w:rPr>
        <w:t xml:space="preserve">12 </w:t>
      </w:r>
      <w:r w:rsidRPr="0052208E">
        <w:rPr>
          <w:rFonts w:cstheme="minorHAnsi"/>
          <w:bCs/>
          <w:color w:val="000000" w:themeColor="text1"/>
          <w:sz w:val="24"/>
          <w:szCs w:val="24"/>
          <w:lang w:val="en-GB"/>
        </w:rPr>
        <w:t xml:space="preserve">Ω resistors for </w:t>
      </w:r>
      <w:r w:rsidRPr="0052208E">
        <w:rPr>
          <w:rFonts w:cstheme="minorHAnsi"/>
          <w:bCs/>
          <w:color w:val="000000" w:themeColor="text1"/>
          <w:sz w:val="24"/>
          <w:szCs w:val="24"/>
          <w:vertAlign w:val="superscript"/>
          <w:lang w:val="en-GB"/>
        </w:rPr>
        <w:t>40</w:t>
      </w:r>
      <w:r w:rsidRPr="0052208E">
        <w:rPr>
          <w:rFonts w:cstheme="minorHAnsi"/>
          <w:bCs/>
          <w:color w:val="000000" w:themeColor="text1"/>
          <w:sz w:val="24"/>
          <w:szCs w:val="24"/>
          <w:lang w:val="en-GB"/>
        </w:rPr>
        <w:t xml:space="preserve">Ar and </w:t>
      </w:r>
      <w:r w:rsidRPr="0052208E">
        <w:rPr>
          <w:rFonts w:cstheme="minorHAnsi"/>
          <w:bCs/>
          <w:color w:val="000000" w:themeColor="text1"/>
          <w:sz w:val="24"/>
          <w:szCs w:val="24"/>
          <w:vertAlign w:val="superscript"/>
          <w:lang w:val="en-GB"/>
        </w:rPr>
        <w:t>38</w:t>
      </w:r>
      <w:r w:rsidRPr="0052208E">
        <w:rPr>
          <w:rFonts w:cstheme="minorHAnsi"/>
          <w:bCs/>
          <w:color w:val="000000" w:themeColor="text1"/>
          <w:sz w:val="24"/>
          <w:szCs w:val="24"/>
          <w:lang w:val="en-GB"/>
        </w:rPr>
        <w:t>Ar and 10</w:t>
      </w:r>
      <w:r w:rsidRPr="0052208E">
        <w:rPr>
          <w:rFonts w:cstheme="minorHAnsi"/>
          <w:bCs/>
          <w:color w:val="000000" w:themeColor="text1"/>
          <w:sz w:val="24"/>
          <w:szCs w:val="24"/>
          <w:vertAlign w:val="superscript"/>
          <w:lang w:val="en-GB"/>
        </w:rPr>
        <w:t xml:space="preserve">13 </w:t>
      </w:r>
      <w:r w:rsidRPr="0052208E">
        <w:rPr>
          <w:rFonts w:cstheme="minorHAnsi"/>
          <w:bCs/>
          <w:color w:val="000000" w:themeColor="text1"/>
          <w:sz w:val="24"/>
          <w:szCs w:val="24"/>
          <w:lang w:val="en-GB"/>
        </w:rPr>
        <w:t xml:space="preserve">Ω resistors for </w:t>
      </w:r>
      <w:r w:rsidRPr="0052208E">
        <w:rPr>
          <w:rFonts w:cstheme="minorHAnsi"/>
          <w:bCs/>
          <w:color w:val="000000" w:themeColor="text1"/>
          <w:sz w:val="24"/>
          <w:szCs w:val="24"/>
          <w:vertAlign w:val="superscript"/>
          <w:lang w:val="en-GB"/>
        </w:rPr>
        <w:t>39</w:t>
      </w:r>
      <w:r w:rsidRPr="0052208E">
        <w:rPr>
          <w:rFonts w:cstheme="minorHAnsi"/>
          <w:bCs/>
          <w:color w:val="000000" w:themeColor="text1"/>
          <w:sz w:val="24"/>
          <w:szCs w:val="24"/>
          <w:lang w:val="en-GB"/>
        </w:rPr>
        <w:t xml:space="preserve">Ar and </w:t>
      </w:r>
      <w:r w:rsidRPr="0052208E">
        <w:rPr>
          <w:rFonts w:cstheme="minorHAnsi"/>
          <w:bCs/>
          <w:color w:val="000000" w:themeColor="text1"/>
          <w:sz w:val="24"/>
          <w:szCs w:val="24"/>
          <w:vertAlign w:val="superscript"/>
          <w:lang w:val="en-GB"/>
        </w:rPr>
        <w:t>37</w:t>
      </w:r>
      <w:r w:rsidRPr="0052208E">
        <w:rPr>
          <w:rFonts w:cstheme="minorHAnsi"/>
          <w:bCs/>
          <w:color w:val="000000" w:themeColor="text1"/>
          <w:sz w:val="24"/>
          <w:szCs w:val="24"/>
          <w:lang w:val="en-GB"/>
        </w:rPr>
        <w:t xml:space="preserve">Ar). Faraday detectors were cross calibrated for the slight offset with ~4000 fA air shots. The CDD was calibrated daily for its yield by measuring four to six air pipettes prior to the first analysis. Mass discrimination was determined before and after sample measurements based on automated analyses of air pipettes. </w:t>
      </w:r>
      <w:r w:rsidRPr="0052208E">
        <w:rPr>
          <w:rFonts w:cs="Times New Roman"/>
          <w:color w:val="000000" w:themeColor="text1"/>
          <w:sz w:val="24"/>
          <w:szCs w:val="24"/>
          <w:lang w:val="en-GB"/>
        </w:rPr>
        <w:t>Data were corrected for post-irradiation decay, mass discrimination effects, isotope derived from interfering neutron reactions and blank. The correction factors for interfering isotopes from K and Ca were based on determinations on K-rich and Ca-rich glasses for longer irradiation: (</w:t>
      </w:r>
      <w:r w:rsidRPr="0052208E">
        <w:rPr>
          <w:rFonts w:cs="Times New Roman"/>
          <w:color w:val="000000" w:themeColor="text1"/>
          <w:sz w:val="24"/>
          <w:szCs w:val="24"/>
          <w:vertAlign w:val="superscript"/>
          <w:lang w:val="en-GB"/>
        </w:rPr>
        <w:t>40</w:t>
      </w:r>
      <w:r w:rsidRPr="0052208E">
        <w:rPr>
          <w:rFonts w:cs="Times New Roman"/>
          <w:color w:val="000000" w:themeColor="text1"/>
          <w:sz w:val="24"/>
          <w:szCs w:val="24"/>
          <w:lang w:val="en-GB"/>
        </w:rPr>
        <w:t>Ar/</w:t>
      </w:r>
      <w:r w:rsidRPr="0052208E">
        <w:rPr>
          <w:rFonts w:cs="Times New Roman"/>
          <w:color w:val="000000" w:themeColor="text1"/>
          <w:sz w:val="24"/>
          <w:szCs w:val="24"/>
          <w:vertAlign w:val="superscript"/>
          <w:lang w:val="en-GB"/>
        </w:rPr>
        <w:t>39</w:t>
      </w:r>
      <w:r w:rsidRPr="0052208E">
        <w:rPr>
          <w:rFonts w:cs="Times New Roman"/>
          <w:color w:val="000000" w:themeColor="text1"/>
          <w:sz w:val="24"/>
          <w:szCs w:val="24"/>
          <w:lang w:val="en-GB"/>
        </w:rPr>
        <w:t>Ar)</w:t>
      </w:r>
      <w:r w:rsidRPr="0052208E">
        <w:rPr>
          <w:rFonts w:cs="Times New Roman"/>
          <w:color w:val="000000" w:themeColor="text1"/>
          <w:sz w:val="24"/>
          <w:szCs w:val="24"/>
          <w:vertAlign w:val="subscript"/>
          <w:lang w:val="en-GB"/>
        </w:rPr>
        <w:t>K</w:t>
      </w:r>
      <w:r w:rsidRPr="0052208E">
        <w:rPr>
          <w:rFonts w:cs="Times New Roman"/>
          <w:color w:val="000000" w:themeColor="text1"/>
          <w:sz w:val="24"/>
          <w:szCs w:val="24"/>
          <w:lang w:val="en-GB"/>
        </w:rPr>
        <w:t xml:space="preserve"> = 0.00969 ± 0.00077, (</w:t>
      </w:r>
      <w:r w:rsidRPr="0052208E">
        <w:rPr>
          <w:rFonts w:cs="Times New Roman"/>
          <w:color w:val="000000" w:themeColor="text1"/>
          <w:sz w:val="24"/>
          <w:szCs w:val="24"/>
          <w:vertAlign w:val="superscript"/>
          <w:lang w:val="en-GB"/>
        </w:rPr>
        <w:t>38</w:t>
      </w:r>
      <w:r w:rsidRPr="0052208E">
        <w:rPr>
          <w:rFonts w:cs="Times New Roman"/>
          <w:color w:val="000000" w:themeColor="text1"/>
          <w:sz w:val="24"/>
          <w:szCs w:val="24"/>
          <w:lang w:val="en-GB"/>
        </w:rPr>
        <w:t>Ar/</w:t>
      </w:r>
      <w:r w:rsidRPr="0052208E">
        <w:rPr>
          <w:rFonts w:cs="Times New Roman"/>
          <w:color w:val="000000" w:themeColor="text1"/>
          <w:sz w:val="24"/>
          <w:szCs w:val="24"/>
          <w:vertAlign w:val="superscript"/>
          <w:lang w:val="en-GB"/>
        </w:rPr>
        <w:t>39</w:t>
      </w:r>
      <w:r w:rsidRPr="0052208E">
        <w:rPr>
          <w:rFonts w:cs="Times New Roman"/>
          <w:color w:val="000000" w:themeColor="text1"/>
          <w:sz w:val="24"/>
          <w:szCs w:val="24"/>
          <w:lang w:val="en-GB"/>
        </w:rPr>
        <w:t>Ar)</w:t>
      </w:r>
      <w:r w:rsidRPr="0052208E">
        <w:rPr>
          <w:rFonts w:cs="Times New Roman"/>
          <w:color w:val="000000" w:themeColor="text1"/>
          <w:sz w:val="24"/>
          <w:szCs w:val="24"/>
          <w:vertAlign w:val="subscript"/>
          <w:lang w:val="en-GB"/>
        </w:rPr>
        <w:t>K</w:t>
      </w:r>
      <w:r w:rsidRPr="0052208E">
        <w:rPr>
          <w:rFonts w:cs="Times New Roman"/>
          <w:color w:val="000000" w:themeColor="text1"/>
          <w:sz w:val="24"/>
          <w:szCs w:val="24"/>
          <w:lang w:val="en-GB"/>
        </w:rPr>
        <w:t xml:space="preserve"> = 0.01283 ± 0.00012, (</w:t>
      </w:r>
      <w:r w:rsidRPr="0052208E">
        <w:rPr>
          <w:rFonts w:cs="Times New Roman"/>
          <w:color w:val="000000" w:themeColor="text1"/>
          <w:sz w:val="24"/>
          <w:szCs w:val="24"/>
          <w:vertAlign w:val="superscript"/>
          <w:lang w:val="en-GB"/>
        </w:rPr>
        <w:t>39</w:t>
      </w:r>
      <w:r w:rsidRPr="0052208E">
        <w:rPr>
          <w:rFonts w:cs="Times New Roman"/>
          <w:color w:val="000000" w:themeColor="text1"/>
          <w:sz w:val="24"/>
          <w:szCs w:val="24"/>
          <w:lang w:val="en-GB"/>
        </w:rPr>
        <w:t>Ar/</w:t>
      </w:r>
      <w:r w:rsidRPr="0052208E">
        <w:rPr>
          <w:rFonts w:cs="Times New Roman"/>
          <w:color w:val="000000" w:themeColor="text1"/>
          <w:sz w:val="24"/>
          <w:szCs w:val="24"/>
          <w:vertAlign w:val="superscript"/>
          <w:lang w:val="en-GB"/>
        </w:rPr>
        <w:t>37</w:t>
      </w:r>
      <w:r w:rsidRPr="0052208E">
        <w:rPr>
          <w:rFonts w:cs="Times New Roman"/>
          <w:color w:val="000000" w:themeColor="text1"/>
          <w:sz w:val="24"/>
          <w:szCs w:val="24"/>
          <w:lang w:val="en-GB"/>
        </w:rPr>
        <w:t>Ar)</w:t>
      </w:r>
      <w:r w:rsidRPr="0052208E">
        <w:rPr>
          <w:rFonts w:cs="Times New Roman"/>
          <w:color w:val="000000" w:themeColor="text1"/>
          <w:sz w:val="24"/>
          <w:szCs w:val="24"/>
          <w:vertAlign w:val="subscript"/>
          <w:lang w:val="en-GB"/>
        </w:rPr>
        <w:t>Ca</w:t>
      </w:r>
      <w:r w:rsidRPr="0052208E">
        <w:rPr>
          <w:rFonts w:cs="Times New Roman"/>
          <w:color w:val="000000" w:themeColor="text1"/>
          <w:sz w:val="24"/>
          <w:szCs w:val="24"/>
          <w:lang w:val="en-GB"/>
        </w:rPr>
        <w:t xml:space="preserve"> = 0.000718 ± 0.000034 and (</w:t>
      </w:r>
      <w:r w:rsidRPr="0052208E">
        <w:rPr>
          <w:rFonts w:cs="Times New Roman"/>
          <w:color w:val="000000" w:themeColor="text1"/>
          <w:sz w:val="24"/>
          <w:szCs w:val="24"/>
          <w:vertAlign w:val="superscript"/>
          <w:lang w:val="en-GB"/>
        </w:rPr>
        <w:t>36</w:t>
      </w:r>
      <w:r w:rsidRPr="0052208E">
        <w:rPr>
          <w:rFonts w:cs="Times New Roman"/>
          <w:color w:val="000000" w:themeColor="text1"/>
          <w:sz w:val="24"/>
          <w:szCs w:val="24"/>
          <w:lang w:val="en-GB"/>
        </w:rPr>
        <w:t>Ar/</w:t>
      </w:r>
      <w:r w:rsidRPr="0052208E">
        <w:rPr>
          <w:rFonts w:cs="Times New Roman"/>
          <w:color w:val="000000" w:themeColor="text1"/>
          <w:sz w:val="24"/>
          <w:szCs w:val="24"/>
          <w:vertAlign w:val="superscript"/>
          <w:lang w:val="en-GB"/>
        </w:rPr>
        <w:t>37</w:t>
      </w:r>
      <w:r w:rsidRPr="0052208E">
        <w:rPr>
          <w:rFonts w:cs="Times New Roman"/>
          <w:color w:val="000000" w:themeColor="text1"/>
          <w:sz w:val="24"/>
          <w:szCs w:val="24"/>
          <w:lang w:val="en-GB"/>
        </w:rPr>
        <w:t>Ar)</w:t>
      </w:r>
      <w:r w:rsidRPr="0052208E">
        <w:rPr>
          <w:rFonts w:cs="Times New Roman"/>
          <w:color w:val="000000" w:themeColor="text1"/>
          <w:sz w:val="24"/>
          <w:szCs w:val="24"/>
          <w:vertAlign w:val="subscript"/>
          <w:lang w:val="en-GB"/>
        </w:rPr>
        <w:t>Ca</w:t>
      </w:r>
      <w:r w:rsidRPr="0052208E">
        <w:rPr>
          <w:rFonts w:cs="Times New Roman"/>
          <w:color w:val="000000" w:themeColor="text1"/>
          <w:sz w:val="24"/>
          <w:szCs w:val="24"/>
          <w:lang w:val="en-GB"/>
        </w:rPr>
        <w:t xml:space="preserve"> = 0.000255 ± 0.000024. Errors on single runs are 2σ analytical uncertainties, including in-run statistics and uncertainties in the discrimination factor, interference corrections and procedural blanks. Uncertainties on total gas ages, on error-weighted mean ages also include the uncertainty in the fluence monitor (2σ internal errors). Ages were calculated relative to an ACs age of 1.1848 Ma (N</w:t>
      </w:r>
      <w:r w:rsidRPr="0052208E">
        <w:rPr>
          <w:rFonts w:cstheme="minorHAnsi"/>
          <w:bCs/>
          <w:color w:val="000000" w:themeColor="text1"/>
          <w:sz w:val="24"/>
          <w:szCs w:val="24"/>
          <w:lang w:val="en-GB"/>
        </w:rPr>
        <w:t xml:space="preserve">iespolo et al., 2017), using </w:t>
      </w:r>
      <w:r w:rsidRPr="0052208E">
        <w:rPr>
          <w:rFonts w:cstheme="minorHAnsi"/>
          <w:bCs/>
          <w:color w:val="000000" w:themeColor="text1"/>
          <w:sz w:val="24"/>
          <w:szCs w:val="24"/>
          <w:lang w:val="en-GB"/>
        </w:rPr>
        <w:lastRenderedPageBreak/>
        <w:t xml:space="preserve">decay constants of </w:t>
      </w:r>
      <w:r w:rsidRPr="0052208E">
        <w:rPr>
          <w:rFonts w:cs="Times New Roman"/>
          <w:color w:val="000000" w:themeColor="text1"/>
          <w:sz w:val="24"/>
          <w:szCs w:val="24"/>
          <w:lang w:val="en-GB"/>
        </w:rPr>
        <w:t xml:space="preserve">Steiger and Jäger (1977) and </w:t>
      </w:r>
      <w:r w:rsidRPr="0052208E">
        <w:rPr>
          <w:rFonts w:cstheme="minorHAnsi"/>
          <w:bCs/>
          <w:color w:val="000000" w:themeColor="text1"/>
          <w:sz w:val="24"/>
          <w:szCs w:val="24"/>
          <w:lang w:val="en-GB"/>
        </w:rPr>
        <w:t xml:space="preserve">an atmospheric </w:t>
      </w:r>
      <w:r w:rsidRPr="0052208E">
        <w:rPr>
          <w:rFonts w:cstheme="minorHAnsi"/>
          <w:bCs/>
          <w:color w:val="000000" w:themeColor="text1"/>
          <w:sz w:val="24"/>
          <w:szCs w:val="24"/>
          <w:vertAlign w:val="superscript"/>
          <w:lang w:val="en-GB"/>
        </w:rPr>
        <w:t>40</w:t>
      </w:r>
      <w:r w:rsidRPr="0052208E">
        <w:rPr>
          <w:rFonts w:cstheme="minorHAnsi"/>
          <w:bCs/>
          <w:color w:val="000000" w:themeColor="text1"/>
          <w:sz w:val="24"/>
          <w:szCs w:val="24"/>
          <w:lang w:val="en-GB"/>
        </w:rPr>
        <w:t>Ar/</w:t>
      </w:r>
      <w:r w:rsidRPr="0052208E">
        <w:rPr>
          <w:rFonts w:cstheme="minorHAnsi"/>
          <w:bCs/>
          <w:color w:val="000000" w:themeColor="text1"/>
          <w:sz w:val="24"/>
          <w:szCs w:val="24"/>
          <w:vertAlign w:val="superscript"/>
          <w:lang w:val="en-GB"/>
        </w:rPr>
        <w:t>36</w:t>
      </w:r>
      <w:r w:rsidRPr="0052208E">
        <w:rPr>
          <w:rFonts w:cstheme="minorHAnsi"/>
          <w:bCs/>
          <w:color w:val="000000" w:themeColor="text1"/>
          <w:sz w:val="24"/>
          <w:szCs w:val="24"/>
          <w:lang w:val="en-GB"/>
        </w:rPr>
        <w:t>Ar ratio of 298.56±0.31 (Lee et al. 2006).</w:t>
      </w:r>
      <w:r w:rsidRPr="0052208E">
        <w:rPr>
          <w:rFonts w:cs="Times New Roman"/>
          <w:color w:val="000000" w:themeColor="text1"/>
          <w:sz w:val="24"/>
          <w:szCs w:val="24"/>
          <w:lang w:val="en-GB"/>
        </w:rPr>
        <w:t xml:space="preserve"> Full data are reported in </w:t>
      </w:r>
      <w:r w:rsidRPr="0052208E">
        <w:rPr>
          <w:rFonts w:cs="Times New Roman"/>
          <w:b/>
          <w:color w:val="000000" w:themeColor="text1"/>
          <w:sz w:val="24"/>
          <w:szCs w:val="24"/>
          <w:lang w:val="en-GB"/>
        </w:rPr>
        <w:t>Table 1</w:t>
      </w:r>
      <w:r w:rsidRPr="0052208E">
        <w:rPr>
          <w:rFonts w:cstheme="minorHAnsi"/>
          <w:bCs/>
          <w:color w:val="000000" w:themeColor="text1"/>
          <w:sz w:val="24"/>
          <w:szCs w:val="24"/>
          <w:lang w:val="en-US"/>
        </w:rPr>
        <w:t>.</w:t>
      </w:r>
    </w:p>
    <w:p w14:paraId="261D650E" w14:textId="27B345D0" w:rsidR="000F7C73" w:rsidRPr="0052208E" w:rsidRDefault="00D938B9" w:rsidP="00402383">
      <w:pPr>
        <w:pStyle w:val="BodyText"/>
        <w:spacing w:line="360" w:lineRule="auto"/>
        <w:ind w:right="138"/>
        <w:jc w:val="both"/>
        <w:rPr>
          <w:color w:val="000000" w:themeColor="text1"/>
          <w:lang w:val="en-US"/>
        </w:rPr>
      </w:pPr>
      <w:r w:rsidRPr="0052208E">
        <w:rPr>
          <w:color w:val="000000" w:themeColor="text1"/>
          <w:lang w:val="en-US"/>
        </w:rPr>
        <w:t>Whole</w:t>
      </w:r>
      <w:r w:rsidRPr="0052208E">
        <w:rPr>
          <w:color w:val="000000" w:themeColor="text1"/>
          <w:spacing w:val="-7"/>
          <w:lang w:val="en-US"/>
        </w:rPr>
        <w:t xml:space="preserve"> </w:t>
      </w:r>
      <w:r w:rsidRPr="0052208E">
        <w:rPr>
          <w:color w:val="000000" w:themeColor="text1"/>
          <w:lang w:val="en-US"/>
        </w:rPr>
        <w:t>rock</w:t>
      </w:r>
      <w:r w:rsidRPr="0052208E">
        <w:rPr>
          <w:color w:val="000000" w:themeColor="text1"/>
          <w:spacing w:val="-7"/>
          <w:lang w:val="en-US"/>
        </w:rPr>
        <w:t xml:space="preserve"> </w:t>
      </w:r>
      <w:r w:rsidRPr="0052208E">
        <w:rPr>
          <w:color w:val="000000" w:themeColor="text1"/>
          <w:lang w:val="en-US"/>
        </w:rPr>
        <w:t>major</w:t>
      </w:r>
      <w:r w:rsidRPr="0052208E">
        <w:rPr>
          <w:color w:val="000000" w:themeColor="text1"/>
          <w:spacing w:val="-7"/>
          <w:lang w:val="en-US"/>
        </w:rPr>
        <w:t xml:space="preserve"> </w:t>
      </w:r>
      <w:r w:rsidRPr="0052208E">
        <w:rPr>
          <w:color w:val="000000" w:themeColor="text1"/>
          <w:lang w:val="en-US"/>
        </w:rPr>
        <w:t>and</w:t>
      </w:r>
      <w:r w:rsidRPr="0052208E">
        <w:rPr>
          <w:color w:val="000000" w:themeColor="text1"/>
          <w:spacing w:val="-7"/>
          <w:lang w:val="en-US"/>
        </w:rPr>
        <w:t xml:space="preserve"> </w:t>
      </w:r>
      <w:r w:rsidRPr="0052208E">
        <w:rPr>
          <w:color w:val="000000" w:themeColor="text1"/>
          <w:lang w:val="en-US"/>
        </w:rPr>
        <w:t>trace</w:t>
      </w:r>
      <w:r w:rsidRPr="0052208E">
        <w:rPr>
          <w:color w:val="000000" w:themeColor="text1"/>
          <w:spacing w:val="-7"/>
          <w:lang w:val="en-US"/>
        </w:rPr>
        <w:t xml:space="preserve"> </w:t>
      </w:r>
      <w:r w:rsidRPr="0052208E">
        <w:rPr>
          <w:color w:val="000000" w:themeColor="text1"/>
          <w:lang w:val="en-US"/>
        </w:rPr>
        <w:t>element</w:t>
      </w:r>
      <w:r w:rsidRPr="0052208E">
        <w:rPr>
          <w:color w:val="000000" w:themeColor="text1"/>
          <w:spacing w:val="-7"/>
          <w:lang w:val="en-US"/>
        </w:rPr>
        <w:t xml:space="preserve"> </w:t>
      </w:r>
      <w:r w:rsidRPr="0052208E">
        <w:rPr>
          <w:color w:val="000000" w:themeColor="text1"/>
          <w:lang w:val="en-US"/>
        </w:rPr>
        <w:t>contents</w:t>
      </w:r>
      <w:r w:rsidRPr="0052208E">
        <w:rPr>
          <w:color w:val="000000" w:themeColor="text1"/>
          <w:spacing w:val="-7"/>
          <w:lang w:val="en-US"/>
        </w:rPr>
        <w:t xml:space="preserve"> </w:t>
      </w:r>
      <w:r w:rsidRPr="0052208E">
        <w:rPr>
          <w:color w:val="000000" w:themeColor="text1"/>
          <w:lang w:val="en-US"/>
        </w:rPr>
        <w:t>(Table</w:t>
      </w:r>
      <w:r w:rsidRPr="0052208E">
        <w:rPr>
          <w:color w:val="000000" w:themeColor="text1"/>
          <w:spacing w:val="-7"/>
          <w:lang w:val="en-US"/>
        </w:rPr>
        <w:t xml:space="preserve"> </w:t>
      </w:r>
      <w:r w:rsidRPr="0052208E">
        <w:rPr>
          <w:color w:val="000000" w:themeColor="text1"/>
          <w:lang w:val="en-US"/>
        </w:rPr>
        <w:t>3</w:t>
      </w:r>
      <w:r w:rsidRPr="0052208E">
        <w:rPr>
          <w:color w:val="000000" w:themeColor="text1"/>
          <w:spacing w:val="-6"/>
          <w:lang w:val="en-US"/>
        </w:rPr>
        <w:t xml:space="preserve"> </w:t>
      </w:r>
      <w:r w:rsidRPr="0052208E">
        <w:rPr>
          <w:color w:val="000000" w:themeColor="text1"/>
          <w:lang w:val="en-US"/>
        </w:rPr>
        <w:t>and</w:t>
      </w:r>
      <w:r w:rsidRPr="0052208E">
        <w:rPr>
          <w:color w:val="000000" w:themeColor="text1"/>
          <w:spacing w:val="-7"/>
          <w:lang w:val="en-US"/>
        </w:rPr>
        <w:t xml:space="preserve"> </w:t>
      </w:r>
      <w:r w:rsidR="00437227" w:rsidRPr="0052208E">
        <w:rPr>
          <w:color w:val="000000" w:themeColor="text1"/>
          <w:lang w:val="en-US"/>
        </w:rPr>
        <w:t>ESM 4</w:t>
      </w:r>
      <w:r w:rsidRPr="0052208E">
        <w:rPr>
          <w:color w:val="000000" w:themeColor="text1"/>
          <w:lang w:val="en-US"/>
        </w:rPr>
        <w:t xml:space="preserve">) were determined at the </w:t>
      </w:r>
      <w:r w:rsidRPr="0052208E">
        <w:rPr>
          <w:i/>
          <w:color w:val="000000" w:themeColor="text1"/>
          <w:lang w:val="en-US"/>
        </w:rPr>
        <w:t xml:space="preserve">Dipartimento di Scienze della Terra </w:t>
      </w:r>
      <w:r w:rsidRPr="0052208E">
        <w:rPr>
          <w:color w:val="000000" w:themeColor="text1"/>
          <w:lang w:val="en-US"/>
        </w:rPr>
        <w:t xml:space="preserve">of the </w:t>
      </w:r>
      <w:r w:rsidRPr="0052208E">
        <w:rPr>
          <w:i/>
          <w:color w:val="000000" w:themeColor="text1"/>
          <w:lang w:val="en-US"/>
        </w:rPr>
        <w:t>Università degli Studi di Pisa</w:t>
      </w:r>
      <w:r w:rsidRPr="0052208E">
        <w:rPr>
          <w:color w:val="000000" w:themeColor="text1"/>
          <w:lang w:val="en-US"/>
        </w:rPr>
        <w:t>. Major elements were determined using an ARL 9400 XP</w:t>
      </w:r>
      <w:r w:rsidRPr="0052208E">
        <w:rPr>
          <w:color w:val="000000" w:themeColor="text1"/>
          <w:position w:val="8"/>
          <w:sz w:val="16"/>
          <w:lang w:val="en-US"/>
        </w:rPr>
        <w:t>+</w:t>
      </w:r>
      <w:r w:rsidRPr="0052208E">
        <w:rPr>
          <w:color w:val="000000" w:themeColor="text1"/>
          <w:lang w:val="en-US"/>
        </w:rPr>
        <w:t>® X-Ray fluorescence on fused disks and FeO by</w:t>
      </w:r>
      <w:r w:rsidRPr="0052208E">
        <w:rPr>
          <w:color w:val="000000" w:themeColor="text1"/>
          <w:spacing w:val="-6"/>
          <w:lang w:val="en-US"/>
        </w:rPr>
        <w:t xml:space="preserve"> </w:t>
      </w:r>
      <w:r w:rsidRPr="0052208E">
        <w:rPr>
          <w:color w:val="000000" w:themeColor="text1"/>
          <w:lang w:val="en-US"/>
        </w:rPr>
        <w:t>titration.</w:t>
      </w:r>
      <w:r w:rsidRPr="0052208E">
        <w:rPr>
          <w:color w:val="000000" w:themeColor="text1"/>
          <w:spacing w:val="-7"/>
          <w:lang w:val="en-US"/>
        </w:rPr>
        <w:t xml:space="preserve"> </w:t>
      </w:r>
      <w:r w:rsidRPr="0052208E">
        <w:rPr>
          <w:color w:val="000000" w:themeColor="text1"/>
          <w:lang w:val="en-US"/>
        </w:rPr>
        <w:t>Loss</w:t>
      </w:r>
      <w:r w:rsidRPr="0052208E">
        <w:rPr>
          <w:color w:val="000000" w:themeColor="text1"/>
          <w:spacing w:val="-7"/>
          <w:lang w:val="en-US"/>
        </w:rPr>
        <w:t xml:space="preserve"> </w:t>
      </w:r>
      <w:r w:rsidRPr="0052208E">
        <w:rPr>
          <w:color w:val="000000" w:themeColor="text1"/>
          <w:lang w:val="en-US"/>
        </w:rPr>
        <w:t>on</w:t>
      </w:r>
      <w:r w:rsidRPr="0052208E">
        <w:rPr>
          <w:color w:val="000000" w:themeColor="text1"/>
          <w:spacing w:val="-6"/>
          <w:lang w:val="en-US"/>
        </w:rPr>
        <w:t xml:space="preserve"> </w:t>
      </w:r>
      <w:r w:rsidRPr="0052208E">
        <w:rPr>
          <w:color w:val="000000" w:themeColor="text1"/>
          <w:lang w:val="en-US"/>
        </w:rPr>
        <w:t>Ignition</w:t>
      </w:r>
      <w:r w:rsidRPr="0052208E">
        <w:rPr>
          <w:color w:val="000000" w:themeColor="text1"/>
          <w:spacing w:val="-5"/>
          <w:lang w:val="en-US"/>
        </w:rPr>
        <w:t xml:space="preserve"> </w:t>
      </w:r>
      <w:r w:rsidRPr="0052208E">
        <w:rPr>
          <w:color w:val="000000" w:themeColor="text1"/>
          <w:lang w:val="en-US"/>
        </w:rPr>
        <w:t>was</w:t>
      </w:r>
      <w:r w:rsidRPr="0052208E">
        <w:rPr>
          <w:color w:val="000000" w:themeColor="text1"/>
          <w:spacing w:val="-6"/>
          <w:lang w:val="en-US"/>
        </w:rPr>
        <w:t xml:space="preserve"> </w:t>
      </w:r>
      <w:r w:rsidRPr="0052208E">
        <w:rPr>
          <w:color w:val="000000" w:themeColor="text1"/>
          <w:lang w:val="en-US"/>
        </w:rPr>
        <w:t>determined</w:t>
      </w:r>
      <w:r w:rsidRPr="0052208E">
        <w:rPr>
          <w:color w:val="000000" w:themeColor="text1"/>
          <w:spacing w:val="-6"/>
          <w:lang w:val="en-US"/>
        </w:rPr>
        <w:t xml:space="preserve"> </w:t>
      </w:r>
      <w:r w:rsidRPr="0052208E">
        <w:rPr>
          <w:color w:val="000000" w:themeColor="text1"/>
          <w:lang w:val="en-US"/>
        </w:rPr>
        <w:t>by</w:t>
      </w:r>
      <w:r w:rsidRPr="0052208E">
        <w:rPr>
          <w:color w:val="000000" w:themeColor="text1"/>
          <w:spacing w:val="-7"/>
          <w:lang w:val="en-US"/>
        </w:rPr>
        <w:t xml:space="preserve"> </w:t>
      </w:r>
      <w:r w:rsidRPr="0052208E">
        <w:rPr>
          <w:color w:val="000000" w:themeColor="text1"/>
          <w:lang w:val="en-US"/>
        </w:rPr>
        <w:t>gravimetry</w:t>
      </w:r>
      <w:r w:rsidRPr="0052208E">
        <w:rPr>
          <w:color w:val="000000" w:themeColor="text1"/>
          <w:spacing w:val="-6"/>
          <w:lang w:val="en-US"/>
        </w:rPr>
        <w:t xml:space="preserve"> </w:t>
      </w:r>
      <w:r w:rsidRPr="0052208E">
        <w:rPr>
          <w:color w:val="000000" w:themeColor="text1"/>
          <w:lang w:val="en-US"/>
        </w:rPr>
        <w:t>at</w:t>
      </w:r>
      <w:r w:rsidRPr="0052208E">
        <w:rPr>
          <w:color w:val="000000" w:themeColor="text1"/>
          <w:spacing w:val="-6"/>
          <w:lang w:val="en-US"/>
        </w:rPr>
        <w:t xml:space="preserve"> </w:t>
      </w:r>
      <w:r w:rsidRPr="0052208E">
        <w:rPr>
          <w:color w:val="000000" w:themeColor="text1"/>
          <w:lang w:val="en-US"/>
        </w:rPr>
        <w:t>1000°C</w:t>
      </w:r>
      <w:r w:rsidRPr="0052208E">
        <w:rPr>
          <w:color w:val="000000" w:themeColor="text1"/>
          <w:spacing w:val="-7"/>
          <w:lang w:val="en-US"/>
        </w:rPr>
        <w:t xml:space="preserve"> </w:t>
      </w:r>
      <w:r w:rsidRPr="0052208E">
        <w:rPr>
          <w:color w:val="000000" w:themeColor="text1"/>
          <w:lang w:val="en-US"/>
        </w:rPr>
        <w:t>after</w:t>
      </w:r>
      <w:r w:rsidRPr="0052208E">
        <w:rPr>
          <w:color w:val="000000" w:themeColor="text1"/>
          <w:spacing w:val="-7"/>
          <w:lang w:val="en-US"/>
        </w:rPr>
        <w:t xml:space="preserve"> </w:t>
      </w:r>
      <w:r w:rsidRPr="0052208E">
        <w:rPr>
          <w:color w:val="000000" w:themeColor="text1"/>
          <w:lang w:val="en-US"/>
        </w:rPr>
        <w:t>pre-heating</w:t>
      </w:r>
      <w:r w:rsidRPr="0052208E">
        <w:rPr>
          <w:color w:val="000000" w:themeColor="text1"/>
          <w:spacing w:val="-6"/>
          <w:lang w:val="en-US"/>
        </w:rPr>
        <w:t xml:space="preserve"> </w:t>
      </w:r>
      <w:r w:rsidRPr="0052208E">
        <w:rPr>
          <w:color w:val="000000" w:themeColor="text1"/>
          <w:lang w:val="en-US"/>
        </w:rPr>
        <w:t>at</w:t>
      </w:r>
      <w:r w:rsidRPr="0052208E">
        <w:rPr>
          <w:color w:val="000000" w:themeColor="text1"/>
          <w:spacing w:val="-6"/>
          <w:lang w:val="en-US"/>
        </w:rPr>
        <w:t xml:space="preserve"> </w:t>
      </w:r>
      <w:r w:rsidRPr="0052208E">
        <w:rPr>
          <w:color w:val="000000" w:themeColor="text1"/>
          <w:lang w:val="en-US"/>
        </w:rPr>
        <w:t>110°C.</w:t>
      </w:r>
      <w:r w:rsidRPr="0052208E">
        <w:rPr>
          <w:color w:val="000000" w:themeColor="text1"/>
          <w:spacing w:val="-7"/>
          <w:lang w:val="en-US"/>
        </w:rPr>
        <w:t xml:space="preserve"> </w:t>
      </w:r>
      <w:r w:rsidRPr="0052208E">
        <w:rPr>
          <w:color w:val="000000" w:themeColor="text1"/>
          <w:lang w:val="en-US"/>
        </w:rPr>
        <w:t>Trace elements on 25 samples were determined by Inductively Coupled Plasma-Mass Spectrometry using a Fisons PQ2 Plus® instrument. Analytical precisions, assessed by repeated analysis of the in-house standard HE-1 (Mt. Etna hawaiite), was found to be within 2% and 5% RSD, except for Gd (6%), Tm (7%),</w:t>
      </w:r>
      <w:r w:rsidRPr="0052208E">
        <w:rPr>
          <w:color w:val="000000" w:themeColor="text1"/>
          <w:spacing w:val="-8"/>
          <w:lang w:val="en-US"/>
        </w:rPr>
        <w:t xml:space="preserve"> </w:t>
      </w:r>
      <w:r w:rsidRPr="0052208E">
        <w:rPr>
          <w:color w:val="000000" w:themeColor="text1"/>
          <w:lang w:val="en-US"/>
        </w:rPr>
        <w:t>Pb</w:t>
      </w:r>
      <w:r w:rsidRPr="0052208E">
        <w:rPr>
          <w:color w:val="000000" w:themeColor="text1"/>
          <w:spacing w:val="-8"/>
          <w:lang w:val="en-US"/>
        </w:rPr>
        <w:t xml:space="preserve"> </w:t>
      </w:r>
      <w:r w:rsidRPr="0052208E">
        <w:rPr>
          <w:color w:val="000000" w:themeColor="text1"/>
          <w:lang w:val="en-US"/>
        </w:rPr>
        <w:t>and</w:t>
      </w:r>
      <w:r w:rsidRPr="0052208E">
        <w:rPr>
          <w:color w:val="000000" w:themeColor="text1"/>
          <w:spacing w:val="-7"/>
          <w:lang w:val="en-US"/>
        </w:rPr>
        <w:t xml:space="preserve"> </w:t>
      </w:r>
      <w:r w:rsidRPr="0052208E">
        <w:rPr>
          <w:color w:val="000000" w:themeColor="text1"/>
          <w:lang w:val="en-US"/>
        </w:rPr>
        <w:t>Sc</w:t>
      </w:r>
      <w:r w:rsidRPr="0052208E">
        <w:rPr>
          <w:color w:val="000000" w:themeColor="text1"/>
          <w:spacing w:val="-8"/>
          <w:lang w:val="en-US"/>
        </w:rPr>
        <w:t xml:space="preserve"> </w:t>
      </w:r>
      <w:r w:rsidRPr="0052208E">
        <w:rPr>
          <w:color w:val="000000" w:themeColor="text1"/>
          <w:lang w:val="en-US"/>
        </w:rPr>
        <w:t>(8%).</w:t>
      </w:r>
      <w:r w:rsidRPr="0052208E">
        <w:rPr>
          <w:color w:val="000000" w:themeColor="text1"/>
          <w:spacing w:val="-8"/>
          <w:lang w:val="en-US"/>
        </w:rPr>
        <w:t xml:space="preserve"> </w:t>
      </w:r>
      <w:r w:rsidRPr="0052208E">
        <w:rPr>
          <w:color w:val="000000" w:themeColor="text1"/>
          <w:lang w:val="en-US"/>
        </w:rPr>
        <w:t>Detection</w:t>
      </w:r>
      <w:r w:rsidRPr="0052208E">
        <w:rPr>
          <w:color w:val="000000" w:themeColor="text1"/>
          <w:spacing w:val="-7"/>
          <w:lang w:val="en-US"/>
        </w:rPr>
        <w:t xml:space="preserve"> </w:t>
      </w:r>
      <w:r w:rsidRPr="0052208E">
        <w:rPr>
          <w:color w:val="000000" w:themeColor="text1"/>
          <w:lang w:val="en-US"/>
        </w:rPr>
        <w:t>limits</w:t>
      </w:r>
      <w:r w:rsidRPr="0052208E">
        <w:rPr>
          <w:color w:val="000000" w:themeColor="text1"/>
          <w:spacing w:val="-8"/>
          <w:lang w:val="en-US"/>
        </w:rPr>
        <w:t xml:space="preserve"> </w:t>
      </w:r>
      <w:r w:rsidRPr="0052208E">
        <w:rPr>
          <w:color w:val="000000" w:themeColor="text1"/>
          <w:lang w:val="en-US"/>
        </w:rPr>
        <w:t>for</w:t>
      </w:r>
      <w:r w:rsidRPr="0052208E">
        <w:rPr>
          <w:color w:val="000000" w:themeColor="text1"/>
          <w:spacing w:val="-8"/>
          <w:lang w:val="en-US"/>
        </w:rPr>
        <w:t xml:space="preserve"> </w:t>
      </w:r>
      <w:r w:rsidRPr="0052208E">
        <w:rPr>
          <w:color w:val="000000" w:themeColor="text1"/>
          <w:lang w:val="en-US"/>
        </w:rPr>
        <w:t>all</w:t>
      </w:r>
      <w:r w:rsidRPr="0052208E">
        <w:rPr>
          <w:color w:val="000000" w:themeColor="text1"/>
          <w:spacing w:val="-7"/>
          <w:lang w:val="en-US"/>
        </w:rPr>
        <w:t xml:space="preserve"> </w:t>
      </w:r>
      <w:r w:rsidRPr="0052208E">
        <w:rPr>
          <w:color w:val="000000" w:themeColor="text1"/>
          <w:lang w:val="en-US"/>
        </w:rPr>
        <w:t>the</w:t>
      </w:r>
      <w:r w:rsidRPr="0052208E">
        <w:rPr>
          <w:color w:val="000000" w:themeColor="text1"/>
          <w:spacing w:val="-8"/>
          <w:lang w:val="en-US"/>
        </w:rPr>
        <w:t xml:space="preserve"> </w:t>
      </w:r>
      <w:r w:rsidRPr="0052208E">
        <w:rPr>
          <w:color w:val="000000" w:themeColor="text1"/>
          <w:lang w:val="en-US"/>
        </w:rPr>
        <w:t>elements</w:t>
      </w:r>
      <w:r w:rsidRPr="0052208E">
        <w:rPr>
          <w:color w:val="000000" w:themeColor="text1"/>
          <w:spacing w:val="-9"/>
          <w:lang w:val="en-US"/>
        </w:rPr>
        <w:t xml:space="preserve"> </w:t>
      </w:r>
      <w:r w:rsidRPr="0052208E">
        <w:rPr>
          <w:color w:val="000000" w:themeColor="text1"/>
          <w:lang w:val="en-US"/>
        </w:rPr>
        <w:t>in</w:t>
      </w:r>
      <w:r w:rsidRPr="0052208E">
        <w:rPr>
          <w:color w:val="000000" w:themeColor="text1"/>
          <w:spacing w:val="-7"/>
          <w:lang w:val="en-US"/>
        </w:rPr>
        <w:t xml:space="preserve"> </w:t>
      </w:r>
      <w:r w:rsidRPr="0052208E">
        <w:rPr>
          <w:color w:val="000000" w:themeColor="text1"/>
          <w:lang w:val="en-US"/>
        </w:rPr>
        <w:t>the</w:t>
      </w:r>
      <w:r w:rsidRPr="0052208E">
        <w:rPr>
          <w:color w:val="000000" w:themeColor="text1"/>
          <w:spacing w:val="-8"/>
          <w:lang w:val="en-US"/>
        </w:rPr>
        <w:t xml:space="preserve"> </w:t>
      </w:r>
      <w:r w:rsidRPr="0052208E">
        <w:rPr>
          <w:color w:val="000000" w:themeColor="text1"/>
          <w:lang w:val="en-US"/>
        </w:rPr>
        <w:t>solution</w:t>
      </w:r>
      <w:r w:rsidRPr="0052208E">
        <w:rPr>
          <w:color w:val="000000" w:themeColor="text1"/>
          <w:spacing w:val="-8"/>
          <w:lang w:val="en-US"/>
        </w:rPr>
        <w:t xml:space="preserve"> </w:t>
      </w:r>
      <w:r w:rsidRPr="0052208E">
        <w:rPr>
          <w:color w:val="000000" w:themeColor="text1"/>
          <w:lang w:val="en-US"/>
        </w:rPr>
        <w:t>were</w:t>
      </w:r>
      <w:r w:rsidRPr="0052208E">
        <w:rPr>
          <w:color w:val="000000" w:themeColor="text1"/>
          <w:spacing w:val="-8"/>
          <w:lang w:val="en-US"/>
        </w:rPr>
        <w:t xml:space="preserve"> </w:t>
      </w:r>
      <w:r w:rsidRPr="0052208E">
        <w:rPr>
          <w:color w:val="000000" w:themeColor="text1"/>
          <w:lang w:val="en-US"/>
        </w:rPr>
        <w:t>in</w:t>
      </w:r>
      <w:r w:rsidRPr="0052208E">
        <w:rPr>
          <w:color w:val="000000" w:themeColor="text1"/>
          <w:spacing w:val="-8"/>
          <w:lang w:val="en-US"/>
        </w:rPr>
        <w:t xml:space="preserve"> </w:t>
      </w:r>
      <w:r w:rsidRPr="0052208E">
        <w:rPr>
          <w:color w:val="000000" w:themeColor="text1"/>
          <w:lang w:val="en-US"/>
        </w:rPr>
        <w:t>the</w:t>
      </w:r>
      <w:r w:rsidRPr="0052208E">
        <w:rPr>
          <w:color w:val="000000" w:themeColor="text1"/>
          <w:spacing w:val="-7"/>
          <w:lang w:val="en-US"/>
        </w:rPr>
        <w:t xml:space="preserve"> </w:t>
      </w:r>
      <w:r w:rsidRPr="0052208E">
        <w:rPr>
          <w:color w:val="000000" w:themeColor="text1"/>
          <w:lang w:val="en-US"/>
        </w:rPr>
        <w:t>0.002-0.02</w:t>
      </w:r>
      <w:r w:rsidRPr="0052208E">
        <w:rPr>
          <w:color w:val="000000" w:themeColor="text1"/>
          <w:spacing w:val="-8"/>
          <w:lang w:val="en-US"/>
        </w:rPr>
        <w:t xml:space="preserve"> </w:t>
      </w:r>
      <w:r w:rsidRPr="0052208E">
        <w:rPr>
          <w:color w:val="000000" w:themeColor="text1"/>
          <w:lang w:val="en-US"/>
        </w:rPr>
        <w:t>ng*ml</w:t>
      </w:r>
      <w:r w:rsidRPr="0052208E">
        <w:rPr>
          <w:color w:val="000000" w:themeColor="text1"/>
          <w:position w:val="8"/>
          <w:sz w:val="16"/>
          <w:lang w:val="en-US"/>
        </w:rPr>
        <w:t xml:space="preserve">− 1 </w:t>
      </w:r>
      <w:r w:rsidRPr="0052208E">
        <w:rPr>
          <w:color w:val="000000" w:themeColor="text1"/>
          <w:lang w:val="en-US"/>
        </w:rPr>
        <w:t xml:space="preserve">range, except for Ba, Pb and Sr (0.1–0.2) (D'Orazio 1995). Further trace elements data on </w:t>
      </w:r>
      <w:r w:rsidR="00BF76C8">
        <w:rPr>
          <w:color w:val="000000" w:themeColor="text1"/>
          <w:lang w:val="en-US"/>
        </w:rPr>
        <w:t>10</w:t>
      </w:r>
      <w:r w:rsidRPr="0052208E">
        <w:rPr>
          <w:color w:val="000000" w:themeColor="text1"/>
          <w:lang w:val="en-US"/>
        </w:rPr>
        <w:t xml:space="preserve"> samples were analysed by ActLabs using the 4Lithores package, which include a combination of</w:t>
      </w:r>
      <w:r w:rsidRPr="0052208E">
        <w:rPr>
          <w:color w:val="000000" w:themeColor="text1"/>
          <w:spacing w:val="31"/>
          <w:lang w:val="en-US"/>
        </w:rPr>
        <w:t xml:space="preserve"> </w:t>
      </w:r>
      <w:r w:rsidRPr="0052208E">
        <w:rPr>
          <w:color w:val="000000" w:themeColor="text1"/>
          <w:lang w:val="en-US"/>
        </w:rPr>
        <w:t>lithium</w:t>
      </w:r>
      <w:r w:rsidR="00437227" w:rsidRPr="0052208E">
        <w:rPr>
          <w:color w:val="000000" w:themeColor="text1"/>
          <w:lang w:val="en-US"/>
        </w:rPr>
        <w:t xml:space="preserve"> </w:t>
      </w:r>
      <w:r w:rsidRPr="0052208E">
        <w:rPr>
          <w:color w:val="000000" w:themeColor="text1"/>
          <w:lang w:val="en-US"/>
        </w:rPr>
        <w:t>metaborate/tetraborate fusion and ICP-MS analyses. Fused sample</w:t>
      </w:r>
      <w:r w:rsidR="00BF76C8">
        <w:rPr>
          <w:color w:val="000000" w:themeColor="text1"/>
          <w:lang w:val="en-US"/>
        </w:rPr>
        <w:t>s</w:t>
      </w:r>
      <w:r w:rsidRPr="0052208E">
        <w:rPr>
          <w:color w:val="000000" w:themeColor="text1"/>
          <w:lang w:val="en-US"/>
        </w:rPr>
        <w:t xml:space="preserve"> were diluted and analysed by Perkin Elmer Sciex ELAN 6000, 6100 or 9000 ICP/MS. Three blanks and five controls (three before sample</w:t>
      </w:r>
      <w:r w:rsidRPr="0052208E">
        <w:rPr>
          <w:color w:val="000000" w:themeColor="text1"/>
          <w:spacing w:val="-4"/>
          <w:lang w:val="en-US"/>
        </w:rPr>
        <w:t xml:space="preserve"> </w:t>
      </w:r>
      <w:r w:rsidRPr="0052208E">
        <w:rPr>
          <w:color w:val="000000" w:themeColor="text1"/>
          <w:lang w:val="en-US"/>
        </w:rPr>
        <w:t>group</w:t>
      </w:r>
      <w:r w:rsidRPr="0052208E">
        <w:rPr>
          <w:color w:val="000000" w:themeColor="text1"/>
          <w:spacing w:val="-4"/>
          <w:lang w:val="en-US"/>
        </w:rPr>
        <w:t xml:space="preserve"> </w:t>
      </w:r>
      <w:r w:rsidRPr="0052208E">
        <w:rPr>
          <w:color w:val="000000" w:themeColor="text1"/>
          <w:lang w:val="en-US"/>
        </w:rPr>
        <w:t>and</w:t>
      </w:r>
      <w:r w:rsidRPr="0052208E">
        <w:rPr>
          <w:color w:val="000000" w:themeColor="text1"/>
          <w:spacing w:val="-4"/>
          <w:lang w:val="en-US"/>
        </w:rPr>
        <w:t xml:space="preserve"> </w:t>
      </w:r>
      <w:r w:rsidRPr="0052208E">
        <w:rPr>
          <w:color w:val="000000" w:themeColor="text1"/>
          <w:lang w:val="en-US"/>
        </w:rPr>
        <w:t>two</w:t>
      </w:r>
      <w:r w:rsidRPr="0052208E">
        <w:rPr>
          <w:color w:val="000000" w:themeColor="text1"/>
          <w:spacing w:val="-3"/>
          <w:lang w:val="en-US"/>
        </w:rPr>
        <w:t xml:space="preserve"> </w:t>
      </w:r>
      <w:r w:rsidRPr="0052208E">
        <w:rPr>
          <w:color w:val="000000" w:themeColor="text1"/>
          <w:lang w:val="en-US"/>
        </w:rPr>
        <w:t>after)</w:t>
      </w:r>
      <w:r w:rsidRPr="0052208E">
        <w:rPr>
          <w:color w:val="000000" w:themeColor="text1"/>
          <w:spacing w:val="-4"/>
          <w:lang w:val="en-US"/>
        </w:rPr>
        <w:t xml:space="preserve"> </w:t>
      </w:r>
      <w:r w:rsidRPr="0052208E">
        <w:rPr>
          <w:color w:val="000000" w:themeColor="text1"/>
          <w:lang w:val="en-US"/>
        </w:rPr>
        <w:t>were</w:t>
      </w:r>
      <w:r w:rsidRPr="0052208E">
        <w:rPr>
          <w:color w:val="000000" w:themeColor="text1"/>
          <w:spacing w:val="-4"/>
          <w:lang w:val="en-US"/>
        </w:rPr>
        <w:t xml:space="preserve"> </w:t>
      </w:r>
      <w:r w:rsidRPr="0052208E">
        <w:rPr>
          <w:color w:val="000000" w:themeColor="text1"/>
          <w:lang w:val="en-US"/>
        </w:rPr>
        <w:t>analysed</w:t>
      </w:r>
      <w:r w:rsidRPr="0052208E">
        <w:rPr>
          <w:color w:val="000000" w:themeColor="text1"/>
          <w:spacing w:val="-3"/>
          <w:lang w:val="en-US"/>
        </w:rPr>
        <w:t xml:space="preserve"> </w:t>
      </w:r>
      <w:r w:rsidRPr="0052208E">
        <w:rPr>
          <w:color w:val="000000" w:themeColor="text1"/>
          <w:lang w:val="en-US"/>
        </w:rPr>
        <w:t>per</w:t>
      </w:r>
      <w:r w:rsidRPr="0052208E">
        <w:rPr>
          <w:color w:val="000000" w:themeColor="text1"/>
          <w:spacing w:val="-4"/>
          <w:lang w:val="en-US"/>
        </w:rPr>
        <w:t xml:space="preserve"> </w:t>
      </w:r>
      <w:r w:rsidRPr="0052208E">
        <w:rPr>
          <w:color w:val="000000" w:themeColor="text1"/>
          <w:lang w:val="en-US"/>
        </w:rPr>
        <w:t>group</w:t>
      </w:r>
      <w:r w:rsidRPr="0052208E">
        <w:rPr>
          <w:color w:val="000000" w:themeColor="text1"/>
          <w:spacing w:val="-4"/>
          <w:lang w:val="en-US"/>
        </w:rPr>
        <w:t xml:space="preserve"> </w:t>
      </w:r>
      <w:r w:rsidRPr="0052208E">
        <w:rPr>
          <w:color w:val="000000" w:themeColor="text1"/>
          <w:lang w:val="en-US"/>
        </w:rPr>
        <w:t>of</w:t>
      </w:r>
      <w:r w:rsidRPr="0052208E">
        <w:rPr>
          <w:color w:val="000000" w:themeColor="text1"/>
          <w:spacing w:val="-4"/>
          <w:lang w:val="en-US"/>
        </w:rPr>
        <w:t xml:space="preserve"> </w:t>
      </w:r>
      <w:r w:rsidRPr="0052208E">
        <w:rPr>
          <w:color w:val="000000" w:themeColor="text1"/>
          <w:lang w:val="en-US"/>
        </w:rPr>
        <w:t>samples.</w:t>
      </w:r>
      <w:r w:rsidRPr="0052208E">
        <w:rPr>
          <w:color w:val="000000" w:themeColor="text1"/>
          <w:spacing w:val="-3"/>
          <w:lang w:val="en-US"/>
        </w:rPr>
        <w:t xml:space="preserve"> </w:t>
      </w:r>
      <w:r w:rsidRPr="0052208E">
        <w:rPr>
          <w:color w:val="000000" w:themeColor="text1"/>
          <w:lang w:val="en-US"/>
        </w:rPr>
        <w:t>Duplicates</w:t>
      </w:r>
      <w:r w:rsidRPr="0052208E">
        <w:rPr>
          <w:color w:val="000000" w:themeColor="text1"/>
          <w:spacing w:val="-4"/>
          <w:lang w:val="en-US"/>
        </w:rPr>
        <w:t xml:space="preserve"> </w:t>
      </w:r>
      <w:r w:rsidRPr="0052208E">
        <w:rPr>
          <w:color w:val="000000" w:themeColor="text1"/>
          <w:lang w:val="en-US"/>
        </w:rPr>
        <w:t>were</w:t>
      </w:r>
      <w:r w:rsidRPr="0052208E">
        <w:rPr>
          <w:color w:val="000000" w:themeColor="text1"/>
          <w:spacing w:val="-4"/>
          <w:lang w:val="en-US"/>
        </w:rPr>
        <w:t xml:space="preserve"> </w:t>
      </w:r>
      <w:r w:rsidRPr="0052208E">
        <w:rPr>
          <w:color w:val="000000" w:themeColor="text1"/>
          <w:lang w:val="en-US"/>
        </w:rPr>
        <w:t>fused</w:t>
      </w:r>
      <w:r w:rsidRPr="0052208E">
        <w:rPr>
          <w:color w:val="000000" w:themeColor="text1"/>
          <w:spacing w:val="-3"/>
          <w:lang w:val="en-US"/>
        </w:rPr>
        <w:t xml:space="preserve"> </w:t>
      </w:r>
      <w:r w:rsidRPr="0052208E">
        <w:rPr>
          <w:color w:val="000000" w:themeColor="text1"/>
          <w:lang w:val="en-US"/>
        </w:rPr>
        <w:t>and</w:t>
      </w:r>
      <w:r w:rsidRPr="0052208E">
        <w:rPr>
          <w:color w:val="000000" w:themeColor="text1"/>
          <w:spacing w:val="-4"/>
          <w:lang w:val="en-US"/>
        </w:rPr>
        <w:t xml:space="preserve"> </w:t>
      </w:r>
      <w:r w:rsidRPr="0052208E">
        <w:rPr>
          <w:color w:val="000000" w:themeColor="text1"/>
          <w:lang w:val="en-US"/>
        </w:rPr>
        <w:t>analysed every 15 samples. Instrument was recalibrated every 40</w:t>
      </w:r>
      <w:r w:rsidRPr="0052208E">
        <w:rPr>
          <w:color w:val="000000" w:themeColor="text1"/>
          <w:spacing w:val="-1"/>
          <w:lang w:val="en-US"/>
        </w:rPr>
        <w:t xml:space="preserve"> </w:t>
      </w:r>
      <w:r w:rsidRPr="0052208E">
        <w:rPr>
          <w:color w:val="000000" w:themeColor="text1"/>
          <w:lang w:val="en-US"/>
        </w:rPr>
        <w:t>samples.</w:t>
      </w:r>
      <w:r w:rsidR="000F7C73" w:rsidRPr="0052208E">
        <w:rPr>
          <w:color w:val="000000" w:themeColor="text1"/>
          <w:lang w:val="en-US"/>
        </w:rPr>
        <w:t xml:space="preserve"> Results of </w:t>
      </w:r>
      <w:r w:rsidR="00286A49" w:rsidRPr="0052208E">
        <w:rPr>
          <w:color w:val="000000" w:themeColor="text1"/>
          <w:lang w:val="en-US"/>
        </w:rPr>
        <w:t>rock standards analyzed for major and trace elements along with unknown samples are presented in ESM 4.</w:t>
      </w:r>
    </w:p>
    <w:p w14:paraId="3818AB75" w14:textId="3614FAD7" w:rsidR="00C103D9" w:rsidRPr="0052208E" w:rsidRDefault="00D938B9" w:rsidP="00402383">
      <w:pPr>
        <w:pStyle w:val="BodyText"/>
        <w:spacing w:line="360" w:lineRule="auto"/>
        <w:ind w:left="104" w:right="100" w:firstLine="270"/>
        <w:jc w:val="both"/>
        <w:rPr>
          <w:color w:val="000000" w:themeColor="text1"/>
          <w:lang w:val="en-US"/>
        </w:rPr>
      </w:pPr>
      <w:r w:rsidRPr="0052208E">
        <w:rPr>
          <w:color w:val="000000" w:themeColor="text1"/>
          <w:lang w:val="en-US"/>
        </w:rPr>
        <w:t xml:space="preserve">Sr-Nd-Pb isotope analyses were carried out at the </w:t>
      </w:r>
      <w:r w:rsidRPr="0052208E">
        <w:rPr>
          <w:i/>
          <w:color w:val="000000" w:themeColor="text1"/>
          <w:lang w:val="en-US"/>
        </w:rPr>
        <w:t xml:space="preserve">Istituto di Geoscienze e Georisorse </w:t>
      </w:r>
      <w:r w:rsidR="00437227" w:rsidRPr="0052208E">
        <w:rPr>
          <w:color w:val="000000" w:themeColor="text1"/>
          <w:lang w:val="en-US"/>
        </w:rPr>
        <w:t xml:space="preserve">- </w:t>
      </w:r>
      <w:r w:rsidRPr="0052208E">
        <w:rPr>
          <w:color w:val="000000" w:themeColor="text1"/>
          <w:lang w:val="en-US"/>
        </w:rPr>
        <w:t xml:space="preserve">CNR of Pisa </w:t>
      </w:r>
      <w:r w:rsidRPr="0052208E">
        <w:rPr>
          <w:color w:val="000000" w:themeColor="text1"/>
          <w:position w:val="2"/>
          <w:lang w:val="en-US"/>
        </w:rPr>
        <w:t>(Italy). Rock powders were dissolved in HF+HNO</w:t>
      </w:r>
      <w:r w:rsidRPr="0052208E">
        <w:rPr>
          <w:color w:val="000000" w:themeColor="text1"/>
          <w:sz w:val="16"/>
          <w:lang w:val="en-US"/>
        </w:rPr>
        <w:t xml:space="preserve">3 </w:t>
      </w:r>
      <w:r w:rsidRPr="0052208E">
        <w:rPr>
          <w:color w:val="000000" w:themeColor="text1"/>
          <w:position w:val="2"/>
          <w:lang w:val="en-US"/>
        </w:rPr>
        <w:t xml:space="preserve">and, after thorough drying, Sr and REE were purified </w:t>
      </w:r>
      <w:r w:rsidRPr="0052208E">
        <w:rPr>
          <w:color w:val="000000" w:themeColor="text1"/>
          <w:lang w:val="en-US"/>
        </w:rPr>
        <w:t xml:space="preserve">in HCl solution through ion-exchange chromatography columns. Nd was purified from other REE using diluted HCl solution passing through an Eichrom® Ln resin. Lead was extracted by matrix after eluting with HBr and HCl. Once separated chromatographically, Sr, Nd and Pb were loaded onto Re filaments and then into the Finnigan Mat 262 thermal ionization mass spectrometer with measurements performed in a static mode. Sr and Nd isotopic compositions were corrected for mass fractionation using </w:t>
      </w:r>
      <w:r w:rsidRPr="0052208E">
        <w:rPr>
          <w:color w:val="000000" w:themeColor="text1"/>
          <w:position w:val="8"/>
          <w:sz w:val="16"/>
          <w:lang w:val="en-US"/>
        </w:rPr>
        <w:t>86</w:t>
      </w:r>
      <w:r w:rsidRPr="0052208E">
        <w:rPr>
          <w:color w:val="000000" w:themeColor="text1"/>
          <w:lang w:val="en-US"/>
        </w:rPr>
        <w:t>Sr/</w:t>
      </w:r>
      <w:r w:rsidRPr="0052208E">
        <w:rPr>
          <w:color w:val="000000" w:themeColor="text1"/>
          <w:position w:val="8"/>
          <w:sz w:val="16"/>
          <w:lang w:val="en-US"/>
        </w:rPr>
        <w:t>88</w:t>
      </w:r>
      <w:r w:rsidRPr="0052208E">
        <w:rPr>
          <w:color w:val="000000" w:themeColor="text1"/>
          <w:lang w:val="en-US"/>
        </w:rPr>
        <w:t xml:space="preserve">Sr = 0.1194 and </w:t>
      </w:r>
      <w:r w:rsidRPr="0052208E">
        <w:rPr>
          <w:color w:val="000000" w:themeColor="text1"/>
          <w:position w:val="8"/>
          <w:sz w:val="16"/>
          <w:lang w:val="en-US"/>
        </w:rPr>
        <w:t>146</w:t>
      </w:r>
      <w:r w:rsidRPr="0052208E">
        <w:rPr>
          <w:color w:val="000000" w:themeColor="text1"/>
          <w:lang w:val="en-US"/>
        </w:rPr>
        <w:t>Nd/</w:t>
      </w:r>
      <w:r w:rsidRPr="0052208E">
        <w:rPr>
          <w:color w:val="000000" w:themeColor="text1"/>
          <w:position w:val="8"/>
          <w:sz w:val="16"/>
          <w:lang w:val="en-US"/>
        </w:rPr>
        <w:t>144</w:t>
      </w:r>
      <w:r w:rsidRPr="0052208E">
        <w:rPr>
          <w:color w:val="000000" w:themeColor="text1"/>
          <w:lang w:val="en-US"/>
        </w:rPr>
        <w:t>Nd = 0.7219. During the analytical period, the Sr standard NIST SRM</w:t>
      </w:r>
      <w:r w:rsidRPr="0052208E">
        <w:rPr>
          <w:color w:val="000000" w:themeColor="text1"/>
          <w:spacing w:val="-3"/>
          <w:lang w:val="en-US"/>
        </w:rPr>
        <w:t xml:space="preserve"> </w:t>
      </w:r>
      <w:r w:rsidRPr="0052208E">
        <w:rPr>
          <w:color w:val="000000" w:themeColor="text1"/>
          <w:lang w:val="en-US"/>
        </w:rPr>
        <w:t>987</w:t>
      </w:r>
      <w:r w:rsidRPr="0052208E">
        <w:rPr>
          <w:color w:val="000000" w:themeColor="text1"/>
          <w:spacing w:val="-3"/>
          <w:lang w:val="en-US"/>
        </w:rPr>
        <w:t xml:space="preserve"> </w:t>
      </w:r>
      <w:r w:rsidRPr="0052208E">
        <w:rPr>
          <w:color w:val="000000" w:themeColor="text1"/>
          <w:lang w:val="en-US"/>
        </w:rPr>
        <w:t>and</w:t>
      </w:r>
      <w:r w:rsidRPr="0052208E">
        <w:rPr>
          <w:color w:val="000000" w:themeColor="text1"/>
          <w:spacing w:val="-2"/>
          <w:lang w:val="en-US"/>
        </w:rPr>
        <w:t xml:space="preserve"> </w:t>
      </w:r>
      <w:r w:rsidRPr="0052208E">
        <w:rPr>
          <w:color w:val="000000" w:themeColor="text1"/>
          <w:lang w:val="en-US"/>
        </w:rPr>
        <w:t>the</w:t>
      </w:r>
      <w:r w:rsidRPr="0052208E">
        <w:rPr>
          <w:color w:val="000000" w:themeColor="text1"/>
          <w:spacing w:val="-3"/>
          <w:lang w:val="en-US"/>
        </w:rPr>
        <w:t xml:space="preserve"> </w:t>
      </w:r>
      <w:r w:rsidRPr="0052208E">
        <w:rPr>
          <w:color w:val="000000" w:themeColor="text1"/>
          <w:lang w:val="en-US"/>
        </w:rPr>
        <w:t>Nd</w:t>
      </w:r>
      <w:r w:rsidRPr="0052208E">
        <w:rPr>
          <w:color w:val="000000" w:themeColor="text1"/>
          <w:spacing w:val="-2"/>
          <w:lang w:val="en-US"/>
        </w:rPr>
        <w:t xml:space="preserve"> </w:t>
      </w:r>
      <w:r w:rsidRPr="0052208E">
        <w:rPr>
          <w:color w:val="000000" w:themeColor="text1"/>
          <w:lang w:val="en-US"/>
        </w:rPr>
        <w:t>standard</w:t>
      </w:r>
      <w:r w:rsidRPr="0052208E">
        <w:rPr>
          <w:color w:val="000000" w:themeColor="text1"/>
          <w:spacing w:val="-3"/>
          <w:lang w:val="en-US"/>
        </w:rPr>
        <w:t xml:space="preserve"> </w:t>
      </w:r>
      <w:r w:rsidRPr="0052208E">
        <w:rPr>
          <w:color w:val="000000" w:themeColor="text1"/>
          <w:lang w:val="en-US"/>
        </w:rPr>
        <w:t>J-Ndi1</w:t>
      </w:r>
      <w:r w:rsidRPr="0052208E">
        <w:rPr>
          <w:color w:val="000000" w:themeColor="text1"/>
          <w:spacing w:val="-2"/>
          <w:lang w:val="en-US"/>
        </w:rPr>
        <w:t xml:space="preserve"> </w:t>
      </w:r>
      <w:r w:rsidRPr="0052208E">
        <w:rPr>
          <w:color w:val="000000" w:themeColor="text1"/>
          <w:lang w:val="en-US"/>
        </w:rPr>
        <w:t>yielded</w:t>
      </w:r>
      <w:r w:rsidRPr="0052208E">
        <w:rPr>
          <w:color w:val="000000" w:themeColor="text1"/>
          <w:spacing w:val="-3"/>
          <w:lang w:val="en-US"/>
        </w:rPr>
        <w:t xml:space="preserve"> </w:t>
      </w:r>
      <w:r w:rsidRPr="0052208E">
        <w:rPr>
          <w:color w:val="000000" w:themeColor="text1"/>
          <w:lang w:val="en-US"/>
        </w:rPr>
        <w:t>average</w:t>
      </w:r>
      <w:r w:rsidRPr="0052208E">
        <w:rPr>
          <w:color w:val="000000" w:themeColor="text1"/>
          <w:spacing w:val="-2"/>
          <w:lang w:val="en-US"/>
        </w:rPr>
        <w:t xml:space="preserve"> </w:t>
      </w:r>
      <w:r w:rsidRPr="0052208E">
        <w:rPr>
          <w:color w:val="000000" w:themeColor="text1"/>
          <w:lang w:val="en-US"/>
        </w:rPr>
        <w:t>values</w:t>
      </w:r>
      <w:r w:rsidRPr="0052208E">
        <w:rPr>
          <w:color w:val="000000" w:themeColor="text1"/>
          <w:spacing w:val="-3"/>
          <w:lang w:val="en-US"/>
        </w:rPr>
        <w:t xml:space="preserve"> </w:t>
      </w:r>
      <w:r w:rsidRPr="0052208E">
        <w:rPr>
          <w:color w:val="000000" w:themeColor="text1"/>
          <w:lang w:val="en-US"/>
        </w:rPr>
        <w:t>of</w:t>
      </w:r>
      <w:r w:rsidRPr="0052208E">
        <w:rPr>
          <w:color w:val="000000" w:themeColor="text1"/>
          <w:spacing w:val="-2"/>
          <w:lang w:val="en-US"/>
        </w:rPr>
        <w:t xml:space="preserve"> </w:t>
      </w:r>
      <w:r w:rsidRPr="0052208E">
        <w:rPr>
          <w:color w:val="000000" w:themeColor="text1"/>
          <w:position w:val="8"/>
          <w:sz w:val="16"/>
          <w:lang w:val="en-US"/>
        </w:rPr>
        <w:t>87</w:t>
      </w:r>
      <w:r w:rsidRPr="0052208E">
        <w:rPr>
          <w:color w:val="000000" w:themeColor="text1"/>
          <w:lang w:val="en-US"/>
        </w:rPr>
        <w:t>Sr/</w:t>
      </w:r>
      <w:r w:rsidRPr="0052208E">
        <w:rPr>
          <w:color w:val="000000" w:themeColor="text1"/>
          <w:position w:val="8"/>
          <w:sz w:val="16"/>
          <w:lang w:val="en-US"/>
        </w:rPr>
        <w:t>86</w:t>
      </w:r>
      <w:r w:rsidRPr="0052208E">
        <w:rPr>
          <w:color w:val="000000" w:themeColor="text1"/>
          <w:lang w:val="en-US"/>
        </w:rPr>
        <w:t>Sr</w:t>
      </w:r>
      <w:r w:rsidRPr="0052208E">
        <w:rPr>
          <w:color w:val="000000" w:themeColor="text1"/>
          <w:spacing w:val="-3"/>
          <w:lang w:val="en-US"/>
        </w:rPr>
        <w:t xml:space="preserve"> </w:t>
      </w:r>
      <w:r w:rsidRPr="0052208E">
        <w:rPr>
          <w:color w:val="000000" w:themeColor="text1"/>
          <w:lang w:val="en-US"/>
        </w:rPr>
        <w:t>=</w:t>
      </w:r>
      <w:r w:rsidRPr="0052208E">
        <w:rPr>
          <w:color w:val="000000" w:themeColor="text1"/>
          <w:spacing w:val="-3"/>
          <w:lang w:val="en-US"/>
        </w:rPr>
        <w:t xml:space="preserve"> </w:t>
      </w:r>
      <w:r w:rsidRPr="0052208E">
        <w:rPr>
          <w:color w:val="000000" w:themeColor="text1"/>
          <w:lang w:val="en-US"/>
        </w:rPr>
        <w:t>0.710239</w:t>
      </w:r>
      <w:r w:rsidRPr="0052208E">
        <w:rPr>
          <w:color w:val="000000" w:themeColor="text1"/>
          <w:spacing w:val="-2"/>
          <w:lang w:val="en-US"/>
        </w:rPr>
        <w:t xml:space="preserve"> </w:t>
      </w:r>
      <w:r w:rsidRPr="0052208E">
        <w:rPr>
          <w:color w:val="000000" w:themeColor="text1"/>
          <w:lang w:val="en-US"/>
        </w:rPr>
        <w:t>±</w:t>
      </w:r>
      <w:r w:rsidRPr="0052208E">
        <w:rPr>
          <w:color w:val="000000" w:themeColor="text1"/>
          <w:spacing w:val="-3"/>
          <w:lang w:val="en-US"/>
        </w:rPr>
        <w:t xml:space="preserve"> </w:t>
      </w:r>
      <w:r w:rsidRPr="0052208E">
        <w:rPr>
          <w:color w:val="000000" w:themeColor="text1"/>
          <w:lang w:val="en-US"/>
        </w:rPr>
        <w:t>0.00001</w:t>
      </w:r>
      <w:r w:rsidR="00555E23" w:rsidRPr="0052208E">
        <w:rPr>
          <w:color w:val="000000" w:themeColor="text1"/>
          <w:lang w:val="en-US"/>
        </w:rPr>
        <w:t>8</w:t>
      </w:r>
      <w:r w:rsidRPr="0052208E">
        <w:rPr>
          <w:color w:val="000000" w:themeColor="text1"/>
          <w:spacing w:val="-2"/>
          <w:lang w:val="en-US"/>
        </w:rPr>
        <w:t xml:space="preserve"> </w:t>
      </w:r>
      <w:r w:rsidRPr="0052208E">
        <w:rPr>
          <w:color w:val="000000" w:themeColor="text1"/>
          <w:lang w:val="en-US"/>
        </w:rPr>
        <w:t>(2SD;</w:t>
      </w:r>
      <w:r w:rsidRPr="0052208E">
        <w:rPr>
          <w:color w:val="000000" w:themeColor="text1"/>
          <w:spacing w:val="-3"/>
          <w:lang w:val="en-US"/>
        </w:rPr>
        <w:t xml:space="preserve"> </w:t>
      </w:r>
      <w:r w:rsidRPr="0052208E">
        <w:rPr>
          <w:color w:val="000000" w:themeColor="text1"/>
          <w:lang w:val="en-US"/>
        </w:rPr>
        <w:t>n</w:t>
      </w:r>
    </w:p>
    <w:p w14:paraId="25766F70" w14:textId="2BF00774" w:rsidR="00C103D9" w:rsidRPr="0052208E" w:rsidRDefault="00D938B9">
      <w:pPr>
        <w:pStyle w:val="BodyText"/>
        <w:spacing w:line="360" w:lineRule="auto"/>
        <w:ind w:left="104" w:right="100"/>
        <w:jc w:val="both"/>
        <w:rPr>
          <w:color w:val="000000" w:themeColor="text1"/>
          <w:lang w:val="en-US"/>
        </w:rPr>
      </w:pPr>
      <w:r w:rsidRPr="0052208E">
        <w:rPr>
          <w:color w:val="000000" w:themeColor="text1"/>
          <w:lang w:val="en-US"/>
        </w:rPr>
        <w:t>=</w:t>
      </w:r>
      <w:r w:rsidRPr="0052208E">
        <w:rPr>
          <w:color w:val="000000" w:themeColor="text1"/>
          <w:spacing w:val="-15"/>
          <w:lang w:val="en-US"/>
        </w:rPr>
        <w:t xml:space="preserve"> </w:t>
      </w:r>
      <w:r w:rsidRPr="0052208E">
        <w:rPr>
          <w:color w:val="000000" w:themeColor="text1"/>
          <w:lang w:val="en-US"/>
        </w:rPr>
        <w:t>43)</w:t>
      </w:r>
      <w:r w:rsidRPr="0052208E">
        <w:rPr>
          <w:color w:val="000000" w:themeColor="text1"/>
          <w:spacing w:val="-13"/>
          <w:lang w:val="en-US"/>
        </w:rPr>
        <w:t xml:space="preserve"> </w:t>
      </w:r>
      <w:r w:rsidRPr="0052208E">
        <w:rPr>
          <w:color w:val="000000" w:themeColor="text1"/>
          <w:lang w:val="en-US"/>
        </w:rPr>
        <w:t>and</w:t>
      </w:r>
      <w:r w:rsidRPr="0052208E">
        <w:rPr>
          <w:color w:val="000000" w:themeColor="text1"/>
          <w:spacing w:val="-15"/>
          <w:lang w:val="en-US"/>
        </w:rPr>
        <w:t xml:space="preserve"> </w:t>
      </w:r>
      <w:r w:rsidRPr="0052208E">
        <w:rPr>
          <w:color w:val="000000" w:themeColor="text1"/>
          <w:position w:val="8"/>
          <w:sz w:val="16"/>
          <w:lang w:val="en-US"/>
        </w:rPr>
        <w:t>143</w:t>
      </w:r>
      <w:r w:rsidRPr="0052208E">
        <w:rPr>
          <w:color w:val="000000" w:themeColor="text1"/>
          <w:lang w:val="en-US"/>
        </w:rPr>
        <w:t>Nd/</w:t>
      </w:r>
      <w:r w:rsidRPr="0052208E">
        <w:rPr>
          <w:color w:val="000000" w:themeColor="text1"/>
          <w:position w:val="8"/>
          <w:sz w:val="16"/>
          <w:lang w:val="en-US"/>
        </w:rPr>
        <w:t>144</w:t>
      </w:r>
      <w:r w:rsidRPr="0052208E">
        <w:rPr>
          <w:color w:val="000000" w:themeColor="text1"/>
          <w:lang w:val="en-US"/>
        </w:rPr>
        <w:t>Nd</w:t>
      </w:r>
      <w:r w:rsidRPr="0052208E">
        <w:rPr>
          <w:color w:val="000000" w:themeColor="text1"/>
          <w:spacing w:val="-13"/>
          <w:lang w:val="en-US"/>
        </w:rPr>
        <w:t xml:space="preserve"> </w:t>
      </w:r>
      <w:r w:rsidRPr="0052208E">
        <w:rPr>
          <w:color w:val="000000" w:themeColor="text1"/>
          <w:lang w:val="en-US"/>
        </w:rPr>
        <w:t>=</w:t>
      </w:r>
      <w:r w:rsidRPr="0052208E">
        <w:rPr>
          <w:color w:val="000000" w:themeColor="text1"/>
          <w:spacing w:val="-15"/>
          <w:lang w:val="en-US"/>
        </w:rPr>
        <w:t xml:space="preserve"> </w:t>
      </w:r>
      <w:r w:rsidRPr="0052208E">
        <w:rPr>
          <w:color w:val="000000" w:themeColor="text1"/>
          <w:lang w:val="en-US"/>
        </w:rPr>
        <w:t>0.51210</w:t>
      </w:r>
      <w:r w:rsidR="00875EF1" w:rsidRPr="0052208E">
        <w:rPr>
          <w:color w:val="000000" w:themeColor="text1"/>
          <w:lang w:val="en-US"/>
        </w:rPr>
        <w:t>5</w:t>
      </w:r>
      <w:r w:rsidRPr="0052208E">
        <w:rPr>
          <w:color w:val="000000" w:themeColor="text1"/>
          <w:spacing w:val="-14"/>
          <w:lang w:val="en-US"/>
        </w:rPr>
        <w:t xml:space="preserve"> </w:t>
      </w:r>
      <w:r w:rsidRPr="0052208E">
        <w:rPr>
          <w:color w:val="000000" w:themeColor="text1"/>
          <w:lang w:val="en-US"/>
        </w:rPr>
        <w:t>±</w:t>
      </w:r>
      <w:r w:rsidRPr="0052208E">
        <w:rPr>
          <w:color w:val="000000" w:themeColor="text1"/>
          <w:spacing w:val="-15"/>
          <w:lang w:val="en-US"/>
        </w:rPr>
        <w:t xml:space="preserve"> </w:t>
      </w:r>
      <w:r w:rsidR="00875EF1" w:rsidRPr="0052208E">
        <w:rPr>
          <w:color w:val="000000" w:themeColor="text1"/>
          <w:lang w:val="en-US"/>
        </w:rPr>
        <w:t>0.000009</w:t>
      </w:r>
      <w:r w:rsidRPr="0052208E">
        <w:rPr>
          <w:color w:val="000000" w:themeColor="text1"/>
          <w:spacing w:val="-14"/>
          <w:lang w:val="en-US"/>
        </w:rPr>
        <w:t xml:space="preserve"> </w:t>
      </w:r>
      <w:r w:rsidRPr="0052208E">
        <w:rPr>
          <w:color w:val="000000" w:themeColor="text1"/>
          <w:lang w:val="en-US"/>
        </w:rPr>
        <w:t>(2SD;</w:t>
      </w:r>
      <w:r w:rsidRPr="0052208E">
        <w:rPr>
          <w:color w:val="000000" w:themeColor="text1"/>
          <w:spacing w:val="-14"/>
          <w:lang w:val="en-US"/>
        </w:rPr>
        <w:t xml:space="preserve"> </w:t>
      </w:r>
      <w:r w:rsidRPr="0052208E">
        <w:rPr>
          <w:color w:val="000000" w:themeColor="text1"/>
          <w:lang w:val="en-US"/>
        </w:rPr>
        <w:t>n</w:t>
      </w:r>
      <w:r w:rsidRPr="0052208E">
        <w:rPr>
          <w:color w:val="000000" w:themeColor="text1"/>
          <w:spacing w:val="-13"/>
          <w:lang w:val="en-US"/>
        </w:rPr>
        <w:t xml:space="preserve"> </w:t>
      </w:r>
      <w:r w:rsidRPr="0052208E">
        <w:rPr>
          <w:color w:val="000000" w:themeColor="text1"/>
          <w:lang w:val="en-US"/>
        </w:rPr>
        <w:t>=</w:t>
      </w:r>
      <w:r w:rsidRPr="0052208E">
        <w:rPr>
          <w:color w:val="000000" w:themeColor="text1"/>
          <w:spacing w:val="-15"/>
          <w:lang w:val="en-US"/>
        </w:rPr>
        <w:t xml:space="preserve"> </w:t>
      </w:r>
      <w:r w:rsidRPr="0052208E">
        <w:rPr>
          <w:color w:val="000000" w:themeColor="text1"/>
          <w:lang w:val="en-US"/>
        </w:rPr>
        <w:t>16),</w:t>
      </w:r>
      <w:r w:rsidRPr="0052208E">
        <w:rPr>
          <w:color w:val="000000" w:themeColor="text1"/>
          <w:spacing w:val="-13"/>
          <w:lang w:val="en-US"/>
        </w:rPr>
        <w:t xml:space="preserve"> </w:t>
      </w:r>
      <w:r w:rsidRPr="0052208E">
        <w:rPr>
          <w:color w:val="000000" w:themeColor="text1"/>
          <w:lang w:val="en-US"/>
        </w:rPr>
        <w:t>respectively;</w:t>
      </w:r>
      <w:r w:rsidRPr="0052208E">
        <w:rPr>
          <w:color w:val="000000" w:themeColor="text1"/>
          <w:spacing w:val="-14"/>
          <w:lang w:val="en-US"/>
        </w:rPr>
        <w:t xml:space="preserve"> </w:t>
      </w:r>
      <w:r w:rsidRPr="0052208E">
        <w:rPr>
          <w:color w:val="000000" w:themeColor="text1"/>
          <w:lang w:val="en-US"/>
        </w:rPr>
        <w:t>measured</w:t>
      </w:r>
      <w:r w:rsidRPr="0052208E">
        <w:rPr>
          <w:color w:val="000000" w:themeColor="text1"/>
          <w:spacing w:val="-13"/>
          <w:lang w:val="en-US"/>
        </w:rPr>
        <w:t xml:space="preserve"> </w:t>
      </w:r>
      <w:r w:rsidRPr="0052208E">
        <w:rPr>
          <w:color w:val="000000" w:themeColor="text1"/>
          <w:lang w:val="en-US"/>
        </w:rPr>
        <w:t>values</w:t>
      </w:r>
      <w:r w:rsidRPr="0052208E">
        <w:rPr>
          <w:color w:val="000000" w:themeColor="text1"/>
          <w:spacing w:val="-14"/>
          <w:lang w:val="en-US"/>
        </w:rPr>
        <w:t xml:space="preserve"> </w:t>
      </w:r>
      <w:r w:rsidRPr="0052208E">
        <w:rPr>
          <w:color w:val="000000" w:themeColor="text1"/>
          <w:lang w:val="en-US"/>
        </w:rPr>
        <w:t>were</w:t>
      </w:r>
      <w:r w:rsidRPr="0052208E">
        <w:rPr>
          <w:color w:val="000000" w:themeColor="text1"/>
          <w:spacing w:val="-13"/>
          <w:lang w:val="en-US"/>
        </w:rPr>
        <w:t xml:space="preserve"> </w:t>
      </w:r>
      <w:r w:rsidRPr="0052208E">
        <w:rPr>
          <w:color w:val="000000" w:themeColor="text1"/>
          <w:lang w:val="en-US"/>
        </w:rPr>
        <w:t xml:space="preserve">adjusted at 0.710250 for </w:t>
      </w:r>
      <w:r w:rsidRPr="0052208E">
        <w:rPr>
          <w:color w:val="000000" w:themeColor="text1"/>
          <w:position w:val="8"/>
          <w:sz w:val="16"/>
          <w:lang w:val="en-US"/>
        </w:rPr>
        <w:t>87</w:t>
      </w:r>
      <w:r w:rsidRPr="0052208E">
        <w:rPr>
          <w:color w:val="000000" w:themeColor="text1"/>
          <w:lang w:val="en-US"/>
        </w:rPr>
        <w:t>Sr/</w:t>
      </w:r>
      <w:r w:rsidRPr="0052208E">
        <w:rPr>
          <w:color w:val="000000" w:themeColor="text1"/>
          <w:position w:val="8"/>
          <w:sz w:val="16"/>
          <w:lang w:val="en-US"/>
        </w:rPr>
        <w:t>86</w:t>
      </w:r>
      <w:r w:rsidRPr="0052208E">
        <w:rPr>
          <w:color w:val="000000" w:themeColor="text1"/>
          <w:lang w:val="en-US"/>
        </w:rPr>
        <w:t>Sr, whereas no Nd isotope adjustment was required. The Sr and Nd blanks were respectively</w:t>
      </w:r>
      <w:r w:rsidRPr="0052208E">
        <w:rPr>
          <w:color w:val="000000" w:themeColor="text1"/>
          <w:spacing w:val="-4"/>
          <w:lang w:val="en-US"/>
        </w:rPr>
        <w:t xml:space="preserve"> </w:t>
      </w:r>
      <w:r w:rsidRPr="0052208E">
        <w:rPr>
          <w:color w:val="000000" w:themeColor="text1"/>
          <w:lang w:val="en-US"/>
        </w:rPr>
        <w:t>about</w:t>
      </w:r>
      <w:r w:rsidRPr="0052208E">
        <w:rPr>
          <w:color w:val="000000" w:themeColor="text1"/>
          <w:spacing w:val="-3"/>
          <w:lang w:val="en-US"/>
        </w:rPr>
        <w:t xml:space="preserve"> </w:t>
      </w:r>
      <w:r w:rsidRPr="0052208E">
        <w:rPr>
          <w:color w:val="000000" w:themeColor="text1"/>
          <w:lang w:val="en-US"/>
        </w:rPr>
        <w:t>2.3</w:t>
      </w:r>
      <w:r w:rsidRPr="0052208E">
        <w:rPr>
          <w:color w:val="000000" w:themeColor="text1"/>
          <w:spacing w:val="-4"/>
          <w:lang w:val="en-US"/>
        </w:rPr>
        <w:t xml:space="preserve"> </w:t>
      </w:r>
      <w:r w:rsidRPr="0052208E">
        <w:rPr>
          <w:color w:val="000000" w:themeColor="text1"/>
          <w:lang w:val="en-US"/>
        </w:rPr>
        <w:t>ng</w:t>
      </w:r>
      <w:r w:rsidRPr="0052208E">
        <w:rPr>
          <w:color w:val="000000" w:themeColor="text1"/>
          <w:spacing w:val="-3"/>
          <w:lang w:val="en-US"/>
        </w:rPr>
        <w:t xml:space="preserve"> </w:t>
      </w:r>
      <w:r w:rsidRPr="0052208E">
        <w:rPr>
          <w:color w:val="000000" w:themeColor="text1"/>
          <w:lang w:val="en-US"/>
        </w:rPr>
        <w:t>and</w:t>
      </w:r>
      <w:r w:rsidRPr="0052208E">
        <w:rPr>
          <w:color w:val="000000" w:themeColor="text1"/>
          <w:spacing w:val="-3"/>
          <w:lang w:val="en-US"/>
        </w:rPr>
        <w:t xml:space="preserve"> </w:t>
      </w:r>
      <w:r w:rsidRPr="0052208E">
        <w:rPr>
          <w:color w:val="000000" w:themeColor="text1"/>
          <w:lang w:val="en-US"/>
        </w:rPr>
        <w:t>1.0,</w:t>
      </w:r>
      <w:r w:rsidRPr="0052208E">
        <w:rPr>
          <w:color w:val="000000" w:themeColor="text1"/>
          <w:spacing w:val="-4"/>
          <w:lang w:val="en-US"/>
        </w:rPr>
        <w:t xml:space="preserve"> </w:t>
      </w:r>
      <w:r w:rsidRPr="0052208E">
        <w:rPr>
          <w:color w:val="000000" w:themeColor="text1"/>
          <w:lang w:val="en-US"/>
        </w:rPr>
        <w:t>which</w:t>
      </w:r>
      <w:r w:rsidRPr="0052208E">
        <w:rPr>
          <w:color w:val="000000" w:themeColor="text1"/>
          <w:spacing w:val="-3"/>
          <w:lang w:val="en-US"/>
        </w:rPr>
        <w:t xml:space="preserve"> </w:t>
      </w:r>
      <w:r w:rsidRPr="0052208E">
        <w:rPr>
          <w:color w:val="000000" w:themeColor="text1"/>
          <w:lang w:val="en-US"/>
        </w:rPr>
        <w:t>are</w:t>
      </w:r>
      <w:r w:rsidRPr="0052208E">
        <w:rPr>
          <w:color w:val="000000" w:themeColor="text1"/>
          <w:spacing w:val="-4"/>
          <w:lang w:val="en-US"/>
        </w:rPr>
        <w:t xml:space="preserve"> </w:t>
      </w:r>
      <w:r w:rsidRPr="0052208E">
        <w:rPr>
          <w:color w:val="000000" w:themeColor="text1"/>
          <w:lang w:val="en-US"/>
        </w:rPr>
        <w:t>negligible</w:t>
      </w:r>
      <w:r w:rsidRPr="0052208E">
        <w:rPr>
          <w:color w:val="000000" w:themeColor="text1"/>
          <w:spacing w:val="-3"/>
          <w:lang w:val="en-US"/>
        </w:rPr>
        <w:t xml:space="preserve"> </w:t>
      </w:r>
      <w:r w:rsidRPr="0052208E">
        <w:rPr>
          <w:color w:val="000000" w:themeColor="text1"/>
          <w:lang w:val="en-US"/>
        </w:rPr>
        <w:t>for</w:t>
      </w:r>
      <w:r w:rsidRPr="0052208E">
        <w:rPr>
          <w:color w:val="000000" w:themeColor="text1"/>
          <w:spacing w:val="-3"/>
          <w:lang w:val="en-US"/>
        </w:rPr>
        <w:t xml:space="preserve"> </w:t>
      </w:r>
      <w:r w:rsidRPr="0052208E">
        <w:rPr>
          <w:color w:val="000000" w:themeColor="text1"/>
          <w:lang w:val="en-US"/>
        </w:rPr>
        <w:t>the</w:t>
      </w:r>
      <w:r w:rsidRPr="0052208E">
        <w:rPr>
          <w:color w:val="000000" w:themeColor="text1"/>
          <w:spacing w:val="-4"/>
          <w:lang w:val="en-US"/>
        </w:rPr>
        <w:t xml:space="preserve"> </w:t>
      </w:r>
      <w:r w:rsidRPr="0052208E">
        <w:rPr>
          <w:color w:val="000000" w:themeColor="text1"/>
          <w:lang w:val="en-US"/>
        </w:rPr>
        <w:t>analysed</w:t>
      </w:r>
      <w:r w:rsidRPr="0052208E">
        <w:rPr>
          <w:color w:val="000000" w:themeColor="text1"/>
          <w:spacing w:val="-3"/>
          <w:lang w:val="en-US"/>
        </w:rPr>
        <w:t xml:space="preserve"> </w:t>
      </w:r>
      <w:r w:rsidRPr="0052208E">
        <w:rPr>
          <w:color w:val="000000" w:themeColor="text1"/>
          <w:lang w:val="en-US"/>
        </w:rPr>
        <w:t>samples.</w:t>
      </w:r>
      <w:r w:rsidRPr="0052208E">
        <w:rPr>
          <w:color w:val="000000" w:themeColor="text1"/>
          <w:spacing w:val="-4"/>
          <w:lang w:val="en-US"/>
        </w:rPr>
        <w:t xml:space="preserve"> </w:t>
      </w:r>
      <w:r w:rsidRPr="0052208E">
        <w:rPr>
          <w:color w:val="000000" w:themeColor="text1"/>
          <w:lang w:val="en-US"/>
        </w:rPr>
        <w:t>Lead</w:t>
      </w:r>
      <w:r w:rsidRPr="0052208E">
        <w:rPr>
          <w:color w:val="000000" w:themeColor="text1"/>
          <w:spacing w:val="-3"/>
          <w:lang w:val="en-US"/>
        </w:rPr>
        <w:t xml:space="preserve"> </w:t>
      </w:r>
      <w:r w:rsidRPr="0052208E">
        <w:rPr>
          <w:color w:val="000000" w:themeColor="text1"/>
          <w:lang w:val="en-US"/>
        </w:rPr>
        <w:t>isotope</w:t>
      </w:r>
      <w:r w:rsidRPr="0052208E">
        <w:rPr>
          <w:color w:val="000000" w:themeColor="text1"/>
          <w:spacing w:val="-3"/>
          <w:lang w:val="en-US"/>
        </w:rPr>
        <w:t xml:space="preserve"> </w:t>
      </w:r>
      <w:r w:rsidRPr="0052208E">
        <w:rPr>
          <w:color w:val="000000" w:themeColor="text1"/>
          <w:lang w:val="en-US"/>
        </w:rPr>
        <w:t>analyses were</w:t>
      </w:r>
      <w:r w:rsidRPr="0052208E">
        <w:rPr>
          <w:color w:val="000000" w:themeColor="text1"/>
          <w:spacing w:val="-8"/>
          <w:lang w:val="en-US"/>
        </w:rPr>
        <w:t xml:space="preserve"> </w:t>
      </w:r>
      <w:r w:rsidRPr="0052208E">
        <w:rPr>
          <w:color w:val="000000" w:themeColor="text1"/>
          <w:lang w:val="en-US"/>
        </w:rPr>
        <w:t>performed</w:t>
      </w:r>
      <w:r w:rsidRPr="0052208E">
        <w:rPr>
          <w:color w:val="000000" w:themeColor="text1"/>
          <w:spacing w:val="-8"/>
          <w:lang w:val="en-US"/>
        </w:rPr>
        <w:t xml:space="preserve"> </w:t>
      </w:r>
      <w:r w:rsidRPr="0052208E">
        <w:rPr>
          <w:color w:val="000000" w:themeColor="text1"/>
          <w:lang w:val="en-US"/>
        </w:rPr>
        <w:t>using</w:t>
      </w:r>
      <w:r w:rsidRPr="0052208E">
        <w:rPr>
          <w:color w:val="000000" w:themeColor="text1"/>
          <w:spacing w:val="-8"/>
          <w:lang w:val="en-US"/>
        </w:rPr>
        <w:t xml:space="preserve"> </w:t>
      </w:r>
      <w:r w:rsidRPr="0052208E">
        <w:rPr>
          <w:color w:val="000000" w:themeColor="text1"/>
          <w:lang w:val="en-US"/>
        </w:rPr>
        <w:t>a</w:t>
      </w:r>
      <w:r w:rsidRPr="0052208E">
        <w:rPr>
          <w:color w:val="000000" w:themeColor="text1"/>
          <w:spacing w:val="-7"/>
          <w:lang w:val="en-US"/>
        </w:rPr>
        <w:t xml:space="preserve"> </w:t>
      </w:r>
      <w:r w:rsidRPr="0052208E">
        <w:rPr>
          <w:color w:val="000000" w:themeColor="text1"/>
          <w:lang w:val="en-US"/>
        </w:rPr>
        <w:t>Finnigan</w:t>
      </w:r>
      <w:r w:rsidRPr="0052208E">
        <w:rPr>
          <w:color w:val="000000" w:themeColor="text1"/>
          <w:spacing w:val="-8"/>
          <w:lang w:val="en-US"/>
        </w:rPr>
        <w:t xml:space="preserve"> </w:t>
      </w:r>
      <w:r w:rsidRPr="0052208E">
        <w:rPr>
          <w:color w:val="000000" w:themeColor="text1"/>
          <w:lang w:val="en-US"/>
        </w:rPr>
        <w:t>MAT</w:t>
      </w:r>
      <w:r w:rsidRPr="0052208E">
        <w:rPr>
          <w:color w:val="000000" w:themeColor="text1"/>
          <w:spacing w:val="-8"/>
          <w:lang w:val="en-US"/>
        </w:rPr>
        <w:t xml:space="preserve"> </w:t>
      </w:r>
      <w:r w:rsidRPr="0052208E">
        <w:rPr>
          <w:color w:val="000000" w:themeColor="text1"/>
          <w:lang w:val="en-US"/>
        </w:rPr>
        <w:t>262</w:t>
      </w:r>
      <w:r w:rsidRPr="0052208E">
        <w:rPr>
          <w:color w:val="000000" w:themeColor="text1"/>
          <w:spacing w:val="-7"/>
          <w:lang w:val="en-US"/>
        </w:rPr>
        <w:t xml:space="preserve"> </w:t>
      </w:r>
      <w:r w:rsidRPr="0052208E">
        <w:rPr>
          <w:color w:val="000000" w:themeColor="text1"/>
          <w:lang w:val="en-US"/>
        </w:rPr>
        <w:t>multi-collector</w:t>
      </w:r>
      <w:r w:rsidRPr="0052208E">
        <w:rPr>
          <w:color w:val="000000" w:themeColor="text1"/>
          <w:spacing w:val="-8"/>
          <w:lang w:val="en-US"/>
        </w:rPr>
        <w:t xml:space="preserve"> </w:t>
      </w:r>
      <w:r w:rsidRPr="0052208E">
        <w:rPr>
          <w:color w:val="000000" w:themeColor="text1"/>
          <w:lang w:val="en-US"/>
        </w:rPr>
        <w:t>mass</w:t>
      </w:r>
      <w:r w:rsidRPr="0052208E">
        <w:rPr>
          <w:color w:val="000000" w:themeColor="text1"/>
          <w:spacing w:val="-8"/>
          <w:lang w:val="en-US"/>
        </w:rPr>
        <w:t xml:space="preserve"> </w:t>
      </w:r>
      <w:r w:rsidRPr="0052208E">
        <w:rPr>
          <w:color w:val="000000" w:themeColor="text1"/>
          <w:lang w:val="en-US"/>
        </w:rPr>
        <w:t>spectrometer</w:t>
      </w:r>
      <w:r w:rsidRPr="0052208E">
        <w:rPr>
          <w:color w:val="000000" w:themeColor="text1"/>
          <w:spacing w:val="-7"/>
          <w:lang w:val="en-US"/>
        </w:rPr>
        <w:t xml:space="preserve"> </w:t>
      </w:r>
      <w:r w:rsidRPr="0052208E">
        <w:rPr>
          <w:color w:val="000000" w:themeColor="text1"/>
          <w:lang w:val="en-US"/>
        </w:rPr>
        <w:t>operating</w:t>
      </w:r>
      <w:r w:rsidRPr="0052208E">
        <w:rPr>
          <w:color w:val="000000" w:themeColor="text1"/>
          <w:spacing w:val="-8"/>
          <w:lang w:val="en-US"/>
        </w:rPr>
        <w:t xml:space="preserve"> </w:t>
      </w:r>
      <w:r w:rsidRPr="0052208E">
        <w:rPr>
          <w:color w:val="000000" w:themeColor="text1"/>
          <w:lang w:val="en-US"/>
        </w:rPr>
        <w:t>in</w:t>
      </w:r>
      <w:r w:rsidRPr="0052208E">
        <w:rPr>
          <w:color w:val="000000" w:themeColor="text1"/>
          <w:spacing w:val="-8"/>
          <w:lang w:val="en-US"/>
        </w:rPr>
        <w:t xml:space="preserve"> </w:t>
      </w:r>
      <w:r w:rsidRPr="0052208E">
        <w:rPr>
          <w:color w:val="000000" w:themeColor="text1"/>
          <w:lang w:val="en-US"/>
        </w:rPr>
        <w:t>static</w:t>
      </w:r>
      <w:r w:rsidRPr="0052208E">
        <w:rPr>
          <w:color w:val="000000" w:themeColor="text1"/>
          <w:spacing w:val="-7"/>
          <w:lang w:val="en-US"/>
        </w:rPr>
        <w:t xml:space="preserve"> </w:t>
      </w:r>
      <w:r w:rsidRPr="0052208E">
        <w:rPr>
          <w:color w:val="000000" w:themeColor="text1"/>
          <w:lang w:val="en-US"/>
        </w:rPr>
        <w:t xml:space="preserve">mode. Replicate analyses of Pb isotope ratios are accurate within 0.25‰ (2SD) per mass unit, after applying </w:t>
      </w:r>
      <w:bookmarkStart w:id="0" w:name="_GoBack"/>
      <w:bookmarkEnd w:id="0"/>
      <w:r w:rsidRPr="0052208E">
        <w:rPr>
          <w:color w:val="000000" w:themeColor="text1"/>
          <w:lang w:val="en-US"/>
        </w:rPr>
        <w:t xml:space="preserve">mass discrimination corrections of </w:t>
      </w:r>
      <w:r w:rsidR="002F4FA1" w:rsidRPr="0052208E">
        <w:rPr>
          <w:color w:val="000000" w:themeColor="text1"/>
          <w:lang w:val="en-US"/>
        </w:rPr>
        <w:t xml:space="preserve">= </w:t>
      </w:r>
      <w:r w:rsidRPr="0052208E">
        <w:rPr>
          <w:color w:val="000000" w:themeColor="text1"/>
          <w:lang w:val="en-US"/>
        </w:rPr>
        <w:t>0.15 ± 0.01% per mass unit relative to the NIST SRM 981 reference composition of Todt et al. (1993). Pb blanks were of the order of 0.2-0.4 ng, and no blank correction was made. In addition, Sr, Nd and Pb isotope data were age-corrected (see Table 4 for further</w:t>
      </w:r>
      <w:r w:rsidRPr="0052208E">
        <w:rPr>
          <w:color w:val="000000" w:themeColor="text1"/>
          <w:spacing w:val="-10"/>
          <w:lang w:val="en-US"/>
        </w:rPr>
        <w:t xml:space="preserve"> </w:t>
      </w:r>
      <w:r w:rsidRPr="0052208E">
        <w:rPr>
          <w:color w:val="000000" w:themeColor="text1"/>
          <w:lang w:val="en-US"/>
        </w:rPr>
        <w:t>details).</w:t>
      </w:r>
    </w:p>
    <w:p w14:paraId="50AF785E" w14:textId="37C9910A" w:rsidR="00F91271" w:rsidRPr="0052208E" w:rsidRDefault="00F91271">
      <w:pPr>
        <w:pStyle w:val="BodyText"/>
        <w:spacing w:line="360" w:lineRule="auto"/>
        <w:ind w:left="104" w:right="100"/>
        <w:jc w:val="both"/>
        <w:rPr>
          <w:color w:val="000000" w:themeColor="text1"/>
          <w:lang w:val="en-US"/>
        </w:rPr>
      </w:pPr>
      <w:r w:rsidRPr="0052208E">
        <w:rPr>
          <w:color w:val="000000" w:themeColor="text1"/>
          <w:lang w:val="en-US"/>
        </w:rPr>
        <w:t>Detailed results on isotopic standards</w:t>
      </w:r>
      <w:r w:rsidR="005B58D9" w:rsidRPr="0052208E">
        <w:rPr>
          <w:color w:val="000000" w:themeColor="text1"/>
          <w:lang w:val="en-US"/>
        </w:rPr>
        <w:t xml:space="preserve"> and Pb fractionaction factors</w:t>
      </w:r>
      <w:r w:rsidRPr="0052208E">
        <w:rPr>
          <w:color w:val="000000" w:themeColor="text1"/>
          <w:lang w:val="en-US"/>
        </w:rPr>
        <w:t xml:space="preserve"> in ESM 4.</w:t>
      </w:r>
    </w:p>
    <w:p w14:paraId="4B9DDD8D" w14:textId="77777777" w:rsidR="00C103D9" w:rsidRPr="0052208E" w:rsidRDefault="00D938B9">
      <w:pPr>
        <w:pStyle w:val="Heading1"/>
        <w:spacing w:before="227"/>
        <w:jc w:val="both"/>
        <w:rPr>
          <w:color w:val="000000" w:themeColor="text1"/>
          <w:sz w:val="28"/>
          <w:lang w:val="en-US"/>
        </w:rPr>
      </w:pPr>
      <w:r w:rsidRPr="0052208E">
        <w:rPr>
          <w:color w:val="000000" w:themeColor="text1"/>
          <w:sz w:val="28"/>
          <w:lang w:val="en-US"/>
        </w:rPr>
        <w:t>Mineralogy and Petrography</w:t>
      </w:r>
    </w:p>
    <w:p w14:paraId="0249371A" w14:textId="77777777" w:rsidR="00C103D9" w:rsidRPr="0052208E" w:rsidRDefault="00C103D9">
      <w:pPr>
        <w:pStyle w:val="BodyText"/>
        <w:spacing w:before="7"/>
        <w:rPr>
          <w:b/>
          <w:color w:val="000000" w:themeColor="text1"/>
          <w:sz w:val="21"/>
          <w:lang w:val="en-US"/>
        </w:rPr>
      </w:pPr>
    </w:p>
    <w:p w14:paraId="4DD3A1DB" w14:textId="77777777" w:rsidR="00C103D9" w:rsidRPr="0052208E" w:rsidRDefault="00D938B9" w:rsidP="00402383">
      <w:pPr>
        <w:pStyle w:val="BodyText"/>
        <w:spacing w:before="1" w:line="360" w:lineRule="auto"/>
        <w:ind w:left="104" w:right="136"/>
        <w:jc w:val="both"/>
        <w:rPr>
          <w:color w:val="000000" w:themeColor="text1"/>
          <w:lang w:val="en-US"/>
        </w:rPr>
      </w:pPr>
      <w:r w:rsidRPr="0052208E">
        <w:rPr>
          <w:color w:val="000000" w:themeColor="text1"/>
          <w:lang w:val="en-US"/>
        </w:rPr>
        <w:t xml:space="preserve">Early to </w:t>
      </w:r>
      <w:r w:rsidR="005B4D82" w:rsidRPr="0052208E">
        <w:rPr>
          <w:color w:val="000000" w:themeColor="text1"/>
          <w:lang w:val="en-US"/>
        </w:rPr>
        <w:t>m</w:t>
      </w:r>
      <w:r w:rsidRPr="0052208E">
        <w:rPr>
          <w:color w:val="000000" w:themeColor="text1"/>
          <w:lang w:val="en-US"/>
        </w:rPr>
        <w:t>iddle Miocene calc-alkaline volcanic rocks from Yamadağ and Kepez Dağ volcanic centres show</w:t>
      </w:r>
      <w:r w:rsidRPr="0052208E">
        <w:rPr>
          <w:color w:val="000000" w:themeColor="text1"/>
          <w:spacing w:val="-5"/>
          <w:lang w:val="en-US"/>
        </w:rPr>
        <w:t xml:space="preserve"> </w:t>
      </w:r>
      <w:r w:rsidRPr="0052208E">
        <w:rPr>
          <w:color w:val="000000" w:themeColor="text1"/>
          <w:lang w:val="en-US"/>
        </w:rPr>
        <w:t>textures</w:t>
      </w:r>
      <w:r w:rsidRPr="0052208E">
        <w:rPr>
          <w:color w:val="000000" w:themeColor="text1"/>
          <w:spacing w:val="-4"/>
          <w:lang w:val="en-US"/>
        </w:rPr>
        <w:t xml:space="preserve"> </w:t>
      </w:r>
      <w:r w:rsidRPr="0052208E">
        <w:rPr>
          <w:color w:val="000000" w:themeColor="text1"/>
          <w:lang w:val="en-US"/>
        </w:rPr>
        <w:t>ranging</w:t>
      </w:r>
      <w:r w:rsidRPr="0052208E">
        <w:rPr>
          <w:color w:val="000000" w:themeColor="text1"/>
          <w:spacing w:val="-5"/>
          <w:lang w:val="en-US"/>
        </w:rPr>
        <w:t xml:space="preserve"> </w:t>
      </w:r>
      <w:r w:rsidRPr="0052208E">
        <w:rPr>
          <w:color w:val="000000" w:themeColor="text1"/>
          <w:lang w:val="en-US"/>
        </w:rPr>
        <w:t>from</w:t>
      </w:r>
      <w:r w:rsidRPr="0052208E">
        <w:rPr>
          <w:color w:val="000000" w:themeColor="text1"/>
          <w:spacing w:val="-4"/>
          <w:lang w:val="en-US"/>
        </w:rPr>
        <w:t xml:space="preserve"> </w:t>
      </w:r>
      <w:r w:rsidRPr="0052208E">
        <w:rPr>
          <w:color w:val="000000" w:themeColor="text1"/>
          <w:lang w:val="en-US"/>
        </w:rPr>
        <w:t>highly</w:t>
      </w:r>
      <w:r w:rsidRPr="0052208E">
        <w:rPr>
          <w:color w:val="000000" w:themeColor="text1"/>
          <w:spacing w:val="-5"/>
          <w:lang w:val="en-US"/>
        </w:rPr>
        <w:t xml:space="preserve"> </w:t>
      </w:r>
      <w:r w:rsidRPr="0052208E">
        <w:rPr>
          <w:color w:val="000000" w:themeColor="text1"/>
          <w:lang w:val="en-US"/>
        </w:rPr>
        <w:t>porphyritic</w:t>
      </w:r>
      <w:r w:rsidRPr="0052208E">
        <w:rPr>
          <w:color w:val="000000" w:themeColor="text1"/>
          <w:spacing w:val="-4"/>
          <w:lang w:val="en-US"/>
        </w:rPr>
        <w:t xml:space="preserve"> </w:t>
      </w:r>
      <w:r w:rsidRPr="0052208E">
        <w:rPr>
          <w:color w:val="000000" w:themeColor="text1"/>
          <w:lang w:val="en-US"/>
        </w:rPr>
        <w:t>(Porphyritic</w:t>
      </w:r>
      <w:r w:rsidRPr="0052208E">
        <w:rPr>
          <w:color w:val="000000" w:themeColor="text1"/>
          <w:spacing w:val="-5"/>
          <w:lang w:val="en-US"/>
        </w:rPr>
        <w:t xml:space="preserve"> </w:t>
      </w:r>
      <w:r w:rsidRPr="0052208E">
        <w:rPr>
          <w:color w:val="000000" w:themeColor="text1"/>
          <w:lang w:val="en-US"/>
        </w:rPr>
        <w:t>Index</w:t>
      </w:r>
      <w:r w:rsidRPr="0052208E">
        <w:rPr>
          <w:color w:val="000000" w:themeColor="text1"/>
          <w:spacing w:val="-4"/>
          <w:lang w:val="en-US"/>
        </w:rPr>
        <w:t xml:space="preserve"> </w:t>
      </w:r>
      <w:r w:rsidRPr="0052208E">
        <w:rPr>
          <w:color w:val="000000" w:themeColor="text1"/>
          <w:lang w:val="en-US"/>
        </w:rPr>
        <w:t>=</w:t>
      </w:r>
      <w:r w:rsidRPr="0052208E">
        <w:rPr>
          <w:color w:val="000000" w:themeColor="text1"/>
          <w:spacing w:val="-5"/>
          <w:lang w:val="en-US"/>
        </w:rPr>
        <w:t xml:space="preserve"> </w:t>
      </w:r>
      <w:r w:rsidRPr="0052208E">
        <w:rPr>
          <w:color w:val="000000" w:themeColor="text1"/>
          <w:lang w:val="en-US"/>
        </w:rPr>
        <w:t>P.I.</w:t>
      </w:r>
      <w:r w:rsidRPr="0052208E">
        <w:rPr>
          <w:color w:val="000000" w:themeColor="text1"/>
          <w:spacing w:val="-4"/>
          <w:lang w:val="en-US"/>
        </w:rPr>
        <w:t xml:space="preserve"> </w:t>
      </w:r>
      <w:r w:rsidRPr="0052208E">
        <w:rPr>
          <w:color w:val="000000" w:themeColor="text1"/>
          <w:lang w:val="en-US"/>
        </w:rPr>
        <w:t>up</w:t>
      </w:r>
      <w:r w:rsidRPr="0052208E">
        <w:rPr>
          <w:color w:val="000000" w:themeColor="text1"/>
          <w:spacing w:val="-5"/>
          <w:lang w:val="en-US"/>
        </w:rPr>
        <w:t xml:space="preserve"> </w:t>
      </w:r>
      <w:r w:rsidRPr="0052208E">
        <w:rPr>
          <w:color w:val="000000" w:themeColor="text1"/>
          <w:lang w:val="en-US"/>
        </w:rPr>
        <w:t>to</w:t>
      </w:r>
      <w:r w:rsidRPr="0052208E">
        <w:rPr>
          <w:color w:val="000000" w:themeColor="text1"/>
          <w:spacing w:val="-4"/>
          <w:lang w:val="en-US"/>
        </w:rPr>
        <w:t xml:space="preserve"> </w:t>
      </w:r>
      <w:r w:rsidRPr="0052208E">
        <w:rPr>
          <w:color w:val="000000" w:themeColor="text1"/>
          <w:lang w:val="en-US"/>
        </w:rPr>
        <w:t>25</w:t>
      </w:r>
      <w:r w:rsidRPr="0052208E">
        <w:rPr>
          <w:color w:val="000000" w:themeColor="text1"/>
          <w:spacing w:val="-5"/>
          <w:lang w:val="en-US"/>
        </w:rPr>
        <w:t xml:space="preserve"> </w:t>
      </w:r>
      <w:r w:rsidRPr="0052208E">
        <w:rPr>
          <w:color w:val="000000" w:themeColor="text1"/>
          <w:lang w:val="en-US"/>
        </w:rPr>
        <w:t>vol.%)</w:t>
      </w:r>
      <w:r w:rsidRPr="0052208E">
        <w:rPr>
          <w:color w:val="000000" w:themeColor="text1"/>
          <w:spacing w:val="-4"/>
          <w:lang w:val="en-US"/>
        </w:rPr>
        <w:t xml:space="preserve"> </w:t>
      </w:r>
      <w:r w:rsidRPr="0052208E">
        <w:rPr>
          <w:color w:val="000000" w:themeColor="text1"/>
          <w:lang w:val="en-US"/>
        </w:rPr>
        <w:t>to</w:t>
      </w:r>
      <w:r w:rsidRPr="0052208E">
        <w:rPr>
          <w:color w:val="000000" w:themeColor="text1"/>
          <w:spacing w:val="-5"/>
          <w:lang w:val="en-US"/>
        </w:rPr>
        <w:t xml:space="preserve"> </w:t>
      </w:r>
      <w:r w:rsidRPr="0052208E">
        <w:rPr>
          <w:color w:val="000000" w:themeColor="text1"/>
          <w:lang w:val="en-US"/>
        </w:rPr>
        <w:t>aphyric.</w:t>
      </w:r>
      <w:r w:rsidRPr="0052208E">
        <w:rPr>
          <w:color w:val="000000" w:themeColor="text1"/>
          <w:spacing w:val="-4"/>
          <w:lang w:val="en-US"/>
        </w:rPr>
        <w:t xml:space="preserve"> </w:t>
      </w:r>
      <w:r w:rsidRPr="0052208E">
        <w:rPr>
          <w:color w:val="000000" w:themeColor="text1"/>
          <w:lang w:val="en-US"/>
        </w:rPr>
        <w:t>Mafic rocks have sub-porphyritic (P.I. = 5-15 vol.%) textures with phenocrysts of plagioclase ±</w:t>
      </w:r>
      <w:r w:rsidRPr="0052208E">
        <w:rPr>
          <w:color w:val="000000" w:themeColor="text1"/>
          <w:spacing w:val="-1"/>
          <w:lang w:val="en-US"/>
        </w:rPr>
        <w:t xml:space="preserve"> </w:t>
      </w:r>
      <w:r w:rsidRPr="0052208E">
        <w:rPr>
          <w:color w:val="000000" w:themeColor="text1"/>
          <w:lang w:val="en-US"/>
        </w:rPr>
        <w:t>clinopyroxene</w:t>
      </w:r>
    </w:p>
    <w:p w14:paraId="4AF53E5B" w14:textId="77777777" w:rsidR="00437227" w:rsidRPr="0052208E" w:rsidRDefault="00D938B9" w:rsidP="00402383">
      <w:pPr>
        <w:pStyle w:val="BodyText"/>
        <w:spacing w:before="1" w:line="360" w:lineRule="auto"/>
        <w:ind w:left="104" w:right="137"/>
        <w:jc w:val="both"/>
        <w:rPr>
          <w:color w:val="000000" w:themeColor="text1"/>
          <w:lang w:val="en-US"/>
        </w:rPr>
      </w:pPr>
      <w:r w:rsidRPr="0052208E">
        <w:rPr>
          <w:color w:val="000000" w:themeColor="text1"/>
          <w:lang w:val="en-US"/>
        </w:rPr>
        <w:t>± olivine set in hypocrystalline groundmasses in which plagioclase is the most abundant phase with subordinate clinopyroxene, hyperstene, olivine</w:t>
      </w:r>
      <w:r w:rsidR="00F728BE" w:rsidRPr="0052208E">
        <w:rPr>
          <w:color w:val="000000" w:themeColor="text1"/>
          <w:lang w:val="en-US"/>
        </w:rPr>
        <w:t>, rare orthopyroxene</w:t>
      </w:r>
      <w:r w:rsidRPr="0052208E">
        <w:rPr>
          <w:color w:val="000000" w:themeColor="text1"/>
          <w:lang w:val="en-US"/>
        </w:rPr>
        <w:t xml:space="preserve"> and opaques. Anhedral to subhedral olivine and euhedral clinopyroxene phenocrysts show variable degree of weathering, whilst plagioclase is better preserved and rarely zoned as also pointed out by Leo et al. (1974).</w:t>
      </w:r>
      <w:r w:rsidR="00437227" w:rsidRPr="0052208E" w:rsidDel="00437227">
        <w:rPr>
          <w:color w:val="000000" w:themeColor="text1"/>
          <w:lang w:val="en-US"/>
        </w:rPr>
        <w:t xml:space="preserve"> </w:t>
      </w:r>
    </w:p>
    <w:p w14:paraId="3D65F3D6" w14:textId="77777777" w:rsidR="00C103D9" w:rsidRPr="0052208E" w:rsidRDefault="00D938B9" w:rsidP="00402383">
      <w:pPr>
        <w:pStyle w:val="BodyText"/>
        <w:spacing w:before="1" w:line="360" w:lineRule="auto"/>
        <w:ind w:right="137" w:firstLine="360"/>
        <w:jc w:val="both"/>
        <w:rPr>
          <w:color w:val="000000" w:themeColor="text1"/>
          <w:lang w:val="en-US"/>
        </w:rPr>
      </w:pPr>
      <w:r w:rsidRPr="0052208E">
        <w:rPr>
          <w:color w:val="000000" w:themeColor="text1"/>
          <w:lang w:val="en-US"/>
        </w:rPr>
        <w:t>Andesites are characterised by porphyritic textures (P.I. = 15 vol.%) with phenocrysts of plagioclase</w:t>
      </w:r>
    </w:p>
    <w:p w14:paraId="0B483D39" w14:textId="77777777" w:rsidR="00C103D9" w:rsidRPr="0052208E" w:rsidRDefault="00D938B9" w:rsidP="00402383">
      <w:pPr>
        <w:pStyle w:val="BodyText"/>
        <w:spacing w:line="360" w:lineRule="auto"/>
        <w:ind w:left="104" w:right="136"/>
        <w:jc w:val="both"/>
        <w:rPr>
          <w:color w:val="000000" w:themeColor="text1"/>
          <w:lang w:val="en-US"/>
        </w:rPr>
      </w:pPr>
      <w:r w:rsidRPr="0052208E">
        <w:rPr>
          <w:color w:val="000000" w:themeColor="text1"/>
          <w:lang w:val="en-US"/>
        </w:rPr>
        <w:t xml:space="preserve">+ amphibole ± biotite set in a cryptocrystalline groundmass made prevalently by felsic feldspars, and opaques. Horneblende phenocrysts and plagioclase + horneblende ± hyperstene + sanidine groundmass assemblage is observed only in the andesitic sample from Yamadağ volcanic centre. The most differentiated products (dacites and rhyolites) are highly porphyritic to porphyritic (P.I. = 25-10 vol.%), with an aphyritic dacite (CA 146), made up by phenocrysts of plagioclase ± clinopyroxene ± hyperstene ± biotite ± amphibole and minor </w:t>
      </w:r>
      <w:r w:rsidR="00F728BE" w:rsidRPr="0052208E">
        <w:rPr>
          <w:color w:val="000000" w:themeColor="text1"/>
          <w:lang w:val="en-US"/>
        </w:rPr>
        <w:t>orthopyroxene</w:t>
      </w:r>
      <w:r w:rsidRPr="0052208E">
        <w:rPr>
          <w:color w:val="000000" w:themeColor="text1"/>
          <w:lang w:val="en-US"/>
        </w:rPr>
        <w:t xml:space="preserve"> and quartz set in a vitrophyric groundmass. Plagioclase shows partially resorbed and sieved textures, whilst horneblende is characterised by opacitic rims.</w:t>
      </w:r>
    </w:p>
    <w:p w14:paraId="6D617D6F" w14:textId="77777777" w:rsidR="00C103D9" w:rsidRPr="0052208E" w:rsidRDefault="00D938B9" w:rsidP="00402383">
      <w:pPr>
        <w:pStyle w:val="BodyText"/>
        <w:spacing w:line="360" w:lineRule="auto"/>
        <w:ind w:left="104" w:right="137" w:firstLine="284"/>
        <w:jc w:val="both"/>
        <w:rPr>
          <w:color w:val="000000" w:themeColor="text1"/>
          <w:lang w:val="en-US"/>
        </w:rPr>
      </w:pPr>
      <w:r w:rsidRPr="0052208E">
        <w:rPr>
          <w:color w:val="000000" w:themeColor="text1"/>
          <w:lang w:val="en-US"/>
        </w:rPr>
        <w:t xml:space="preserve">Early to </w:t>
      </w:r>
      <w:r w:rsidR="005B4D82" w:rsidRPr="0052208E">
        <w:rPr>
          <w:color w:val="000000" w:themeColor="text1"/>
          <w:lang w:val="en-US"/>
        </w:rPr>
        <w:t>m</w:t>
      </w:r>
      <w:r w:rsidRPr="0052208E">
        <w:rPr>
          <w:color w:val="000000" w:themeColor="text1"/>
          <w:lang w:val="en-US"/>
        </w:rPr>
        <w:t>iddle Miocene Na-alkaline rocks from Sivas volcanic field show porphyritic to sub- porphyritic textures (P.I. = 5-10 vol.%), characterised by olivine phenocrysts with strongly subordinate clinopyroxene and plagioclase microphenocrysts set in groundmasses composed predominantly by plagioclase, olivine, clinopyroxene, and opaques.</w:t>
      </w:r>
    </w:p>
    <w:p w14:paraId="50160156" w14:textId="77777777" w:rsidR="00C103D9" w:rsidRPr="0052208E" w:rsidRDefault="00D938B9" w:rsidP="00402383">
      <w:pPr>
        <w:pStyle w:val="BodyText"/>
        <w:spacing w:line="360" w:lineRule="auto"/>
        <w:ind w:left="104" w:right="137" w:firstLine="284"/>
        <w:jc w:val="both"/>
        <w:rPr>
          <w:color w:val="000000" w:themeColor="text1"/>
          <w:lang w:val="en-US"/>
        </w:rPr>
      </w:pPr>
      <w:r w:rsidRPr="0052208E">
        <w:rPr>
          <w:color w:val="000000" w:themeColor="text1"/>
          <w:lang w:val="en-US"/>
        </w:rPr>
        <w:t>Middle-</w:t>
      </w:r>
      <w:r w:rsidR="005B4D82" w:rsidRPr="0052208E">
        <w:rPr>
          <w:color w:val="000000" w:themeColor="text1"/>
          <w:lang w:val="en-US"/>
        </w:rPr>
        <w:t>l</w:t>
      </w:r>
      <w:r w:rsidRPr="0052208E">
        <w:rPr>
          <w:color w:val="000000" w:themeColor="text1"/>
          <w:lang w:val="en-US"/>
        </w:rPr>
        <w:t>ate Miocene Na-alkal</w:t>
      </w:r>
      <w:r w:rsidR="00717F44" w:rsidRPr="0052208E">
        <w:rPr>
          <w:color w:val="000000" w:themeColor="text1"/>
          <w:lang w:val="en-US"/>
        </w:rPr>
        <w:t>ine volcanic rocks from Arguvan</w:t>
      </w:r>
      <w:r w:rsidRPr="0052208E">
        <w:rPr>
          <w:color w:val="000000" w:themeColor="text1"/>
          <w:lang w:val="en-US"/>
        </w:rPr>
        <w:t xml:space="preserve"> volcanic field show porphyritic (P.I. = 5-20 vol.%) to intersertal textures with ubiquitous olivine phenocrysts, strongly subordinate</w:t>
      </w:r>
      <w:r w:rsidRPr="0052208E">
        <w:rPr>
          <w:color w:val="000000" w:themeColor="text1"/>
          <w:spacing w:val="-8"/>
          <w:lang w:val="en-US"/>
        </w:rPr>
        <w:t xml:space="preserve"> </w:t>
      </w:r>
      <w:r w:rsidRPr="0052208E">
        <w:rPr>
          <w:color w:val="000000" w:themeColor="text1"/>
          <w:lang w:val="en-US"/>
        </w:rPr>
        <w:t>plagioclase</w:t>
      </w:r>
      <w:r w:rsidRPr="0052208E">
        <w:rPr>
          <w:color w:val="000000" w:themeColor="text1"/>
          <w:spacing w:val="-7"/>
          <w:lang w:val="en-US"/>
        </w:rPr>
        <w:t xml:space="preserve"> </w:t>
      </w:r>
      <w:r w:rsidRPr="0052208E">
        <w:rPr>
          <w:color w:val="000000" w:themeColor="text1"/>
          <w:lang w:val="en-US"/>
        </w:rPr>
        <w:t>and</w:t>
      </w:r>
      <w:r w:rsidRPr="0052208E">
        <w:rPr>
          <w:color w:val="000000" w:themeColor="text1"/>
          <w:spacing w:val="-7"/>
          <w:lang w:val="en-US"/>
        </w:rPr>
        <w:t xml:space="preserve"> </w:t>
      </w:r>
      <w:r w:rsidRPr="0052208E">
        <w:rPr>
          <w:color w:val="000000" w:themeColor="text1"/>
          <w:lang w:val="en-US"/>
        </w:rPr>
        <w:t>clinopyroxene</w:t>
      </w:r>
      <w:r w:rsidRPr="0052208E">
        <w:rPr>
          <w:color w:val="000000" w:themeColor="text1"/>
          <w:spacing w:val="-7"/>
          <w:lang w:val="en-US"/>
        </w:rPr>
        <w:t xml:space="preserve"> </w:t>
      </w:r>
      <w:r w:rsidRPr="0052208E">
        <w:rPr>
          <w:color w:val="000000" w:themeColor="text1"/>
          <w:lang w:val="en-US"/>
        </w:rPr>
        <w:t>microphenocrysts</w:t>
      </w:r>
      <w:r w:rsidRPr="0052208E">
        <w:rPr>
          <w:color w:val="000000" w:themeColor="text1"/>
          <w:spacing w:val="-7"/>
          <w:lang w:val="en-US"/>
        </w:rPr>
        <w:t xml:space="preserve"> </w:t>
      </w:r>
      <w:r w:rsidRPr="0052208E">
        <w:rPr>
          <w:color w:val="000000" w:themeColor="text1"/>
          <w:lang w:val="en-US"/>
        </w:rPr>
        <w:t>set</w:t>
      </w:r>
      <w:r w:rsidRPr="0052208E">
        <w:rPr>
          <w:color w:val="000000" w:themeColor="text1"/>
          <w:spacing w:val="-7"/>
          <w:lang w:val="en-US"/>
        </w:rPr>
        <w:t xml:space="preserve"> </w:t>
      </w:r>
      <w:r w:rsidRPr="0052208E">
        <w:rPr>
          <w:color w:val="000000" w:themeColor="text1"/>
          <w:lang w:val="en-US"/>
        </w:rPr>
        <w:t>in</w:t>
      </w:r>
      <w:r w:rsidRPr="0052208E">
        <w:rPr>
          <w:color w:val="000000" w:themeColor="text1"/>
          <w:spacing w:val="-7"/>
          <w:lang w:val="en-US"/>
        </w:rPr>
        <w:t xml:space="preserve"> </w:t>
      </w:r>
      <w:r w:rsidRPr="0052208E">
        <w:rPr>
          <w:color w:val="000000" w:themeColor="text1"/>
          <w:lang w:val="en-US"/>
        </w:rPr>
        <w:t>a</w:t>
      </w:r>
      <w:r w:rsidRPr="0052208E">
        <w:rPr>
          <w:color w:val="000000" w:themeColor="text1"/>
          <w:spacing w:val="-7"/>
          <w:lang w:val="en-US"/>
        </w:rPr>
        <w:t xml:space="preserve"> </w:t>
      </w:r>
      <w:r w:rsidRPr="0052208E">
        <w:rPr>
          <w:color w:val="000000" w:themeColor="text1"/>
          <w:lang w:val="en-US"/>
        </w:rPr>
        <w:t>plagioclase</w:t>
      </w:r>
      <w:r w:rsidRPr="0052208E">
        <w:rPr>
          <w:color w:val="000000" w:themeColor="text1"/>
          <w:spacing w:val="-7"/>
          <w:lang w:val="en-US"/>
        </w:rPr>
        <w:t xml:space="preserve"> </w:t>
      </w:r>
      <w:r w:rsidRPr="0052208E">
        <w:rPr>
          <w:color w:val="000000" w:themeColor="text1"/>
          <w:lang w:val="en-US"/>
        </w:rPr>
        <w:t>rich</w:t>
      </w:r>
      <w:r w:rsidRPr="0052208E">
        <w:rPr>
          <w:color w:val="000000" w:themeColor="text1"/>
          <w:spacing w:val="-7"/>
          <w:lang w:val="en-US"/>
        </w:rPr>
        <w:t xml:space="preserve"> </w:t>
      </w:r>
      <w:r w:rsidRPr="0052208E">
        <w:rPr>
          <w:color w:val="000000" w:themeColor="text1"/>
          <w:lang w:val="en-US"/>
        </w:rPr>
        <w:t>groundmass</w:t>
      </w:r>
      <w:r w:rsidRPr="0052208E">
        <w:rPr>
          <w:color w:val="000000" w:themeColor="text1"/>
          <w:spacing w:val="-7"/>
          <w:lang w:val="en-US"/>
        </w:rPr>
        <w:t xml:space="preserve"> </w:t>
      </w:r>
      <w:r w:rsidRPr="0052208E">
        <w:rPr>
          <w:color w:val="000000" w:themeColor="text1"/>
          <w:lang w:val="en-US"/>
        </w:rPr>
        <w:t>with subordinate olivine, clinopyroxene and opaques. Sample CA 151 displays an ophitic texture with plagioclase phenocrysts clearly enclosed by large laths of clinopyroxene of the</w:t>
      </w:r>
      <w:r w:rsidRPr="0052208E">
        <w:rPr>
          <w:color w:val="000000" w:themeColor="text1"/>
          <w:spacing w:val="-5"/>
          <w:lang w:val="en-US"/>
        </w:rPr>
        <w:t xml:space="preserve"> </w:t>
      </w:r>
      <w:r w:rsidRPr="0052208E">
        <w:rPr>
          <w:color w:val="000000" w:themeColor="text1"/>
          <w:lang w:val="en-US"/>
        </w:rPr>
        <w:t>groundmass.</w:t>
      </w:r>
    </w:p>
    <w:p w14:paraId="773E1D60" w14:textId="77777777" w:rsidR="00C103D9" w:rsidRPr="0052208E" w:rsidRDefault="00D938B9" w:rsidP="00402383">
      <w:pPr>
        <w:pStyle w:val="BodyText"/>
        <w:spacing w:line="360" w:lineRule="auto"/>
        <w:ind w:left="104" w:right="136" w:firstLine="284"/>
        <w:jc w:val="both"/>
        <w:rPr>
          <w:color w:val="000000" w:themeColor="text1"/>
          <w:lang w:val="en-US"/>
        </w:rPr>
        <w:sectPr w:rsidR="00C103D9" w:rsidRPr="0052208E">
          <w:pgSz w:w="12240" w:h="15840"/>
          <w:pgMar w:top="1500" w:right="1020" w:bottom="960" w:left="1040" w:header="855" w:footer="776" w:gutter="0"/>
          <w:cols w:space="720"/>
        </w:sectPr>
      </w:pPr>
      <w:r w:rsidRPr="0052208E">
        <w:rPr>
          <w:color w:val="000000" w:themeColor="text1"/>
          <w:lang w:val="en-US"/>
        </w:rPr>
        <w:t>Late Miocene to Pliocene K-alkaline volcanic rocks from Kangal have porphyritic to sub-porphyritic (P.I. = 2.5-10 vol.%) and intersertal textures made of abundant euhedral to subhedral and skeletal olivine, often iddingsitised, phenocrysts with strongly subordinate plagioclase and clinopyroxene microphenocrysts set in groundmass consisting of plagioclase, olivine, clinopyroxene and opaques. Rare orthopyroxene and quartz xenocrysts are also found, both surrounded by clinopyroxene</w:t>
      </w:r>
      <w:r w:rsidRPr="0052208E">
        <w:rPr>
          <w:color w:val="000000" w:themeColor="text1"/>
          <w:spacing w:val="-38"/>
          <w:lang w:val="en-US"/>
        </w:rPr>
        <w:t xml:space="preserve"> </w:t>
      </w:r>
      <w:r w:rsidR="00402383" w:rsidRPr="0052208E">
        <w:rPr>
          <w:color w:val="000000" w:themeColor="text1"/>
          <w:lang w:val="en-US"/>
        </w:rPr>
        <w:t>reaction rim.</w:t>
      </w:r>
    </w:p>
    <w:p w14:paraId="24F9E39D" w14:textId="77777777" w:rsidR="00C103D9" w:rsidRPr="0052208E" w:rsidRDefault="00C103D9">
      <w:pPr>
        <w:pStyle w:val="BodyText"/>
        <w:spacing w:before="11"/>
        <w:rPr>
          <w:color w:val="000000" w:themeColor="text1"/>
          <w:sz w:val="29"/>
          <w:lang w:val="en-US"/>
        </w:rPr>
      </w:pPr>
    </w:p>
    <w:p w14:paraId="219DBBB4" w14:textId="0167D3AA" w:rsidR="00C103D9" w:rsidRPr="0052208E" w:rsidRDefault="00D938B9">
      <w:pPr>
        <w:pStyle w:val="Heading1"/>
        <w:rPr>
          <w:color w:val="000000" w:themeColor="text1"/>
          <w:sz w:val="28"/>
          <w:lang w:val="en-US"/>
        </w:rPr>
      </w:pPr>
      <w:r w:rsidRPr="0052208E">
        <w:rPr>
          <w:color w:val="000000" w:themeColor="text1"/>
          <w:sz w:val="28"/>
          <w:lang w:val="en-US"/>
        </w:rPr>
        <w:t>References</w:t>
      </w:r>
      <w:r w:rsidR="007F0763" w:rsidRPr="0052208E">
        <w:rPr>
          <w:color w:val="000000" w:themeColor="text1"/>
          <w:sz w:val="28"/>
          <w:lang w:val="en-US"/>
        </w:rPr>
        <w:t xml:space="preserve"> for Electronic Supplementary Materials</w:t>
      </w:r>
    </w:p>
    <w:p w14:paraId="3B36AEAD" w14:textId="77777777" w:rsidR="00C103D9" w:rsidRPr="0052208E" w:rsidRDefault="00C103D9">
      <w:pPr>
        <w:pStyle w:val="BodyText"/>
        <w:spacing w:before="7"/>
        <w:rPr>
          <w:b/>
          <w:color w:val="000000" w:themeColor="text1"/>
          <w:sz w:val="21"/>
          <w:lang w:val="en-US"/>
        </w:rPr>
      </w:pPr>
    </w:p>
    <w:p w14:paraId="38C24C82" w14:textId="004E645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Arger</w:t>
      </w:r>
      <w:r w:rsidRPr="0052208E">
        <w:rPr>
          <w:color w:val="000000" w:themeColor="text1"/>
          <w:spacing w:val="-14"/>
          <w:lang w:val="en-US"/>
        </w:rPr>
        <w:t xml:space="preserve"> </w:t>
      </w:r>
      <w:r w:rsidRPr="0052208E">
        <w:rPr>
          <w:color w:val="000000" w:themeColor="text1"/>
          <w:lang w:val="en-US"/>
        </w:rPr>
        <w:t>J,</w:t>
      </w:r>
      <w:r w:rsidRPr="0052208E">
        <w:rPr>
          <w:color w:val="000000" w:themeColor="text1"/>
          <w:spacing w:val="-14"/>
          <w:lang w:val="en-US"/>
        </w:rPr>
        <w:t xml:space="preserve"> </w:t>
      </w:r>
      <w:r w:rsidRPr="0052208E">
        <w:rPr>
          <w:color w:val="000000" w:themeColor="text1"/>
          <w:lang w:val="en-US"/>
        </w:rPr>
        <w:t>Mitchell</w:t>
      </w:r>
      <w:r w:rsidRPr="0052208E">
        <w:rPr>
          <w:color w:val="000000" w:themeColor="text1"/>
          <w:spacing w:val="-14"/>
          <w:lang w:val="en-US"/>
        </w:rPr>
        <w:t xml:space="preserve"> </w:t>
      </w:r>
      <w:r w:rsidRPr="0052208E">
        <w:rPr>
          <w:color w:val="000000" w:themeColor="text1"/>
          <w:lang w:val="en-US"/>
        </w:rPr>
        <w:t>JG,</w:t>
      </w:r>
      <w:r w:rsidRPr="0052208E">
        <w:rPr>
          <w:color w:val="000000" w:themeColor="text1"/>
          <w:spacing w:val="-14"/>
          <w:lang w:val="en-US"/>
        </w:rPr>
        <w:t xml:space="preserve"> </w:t>
      </w:r>
      <w:r w:rsidRPr="0052208E">
        <w:rPr>
          <w:color w:val="000000" w:themeColor="text1"/>
          <w:lang w:val="en-US"/>
        </w:rPr>
        <w:t>Westaway</w:t>
      </w:r>
      <w:r w:rsidRPr="0052208E">
        <w:rPr>
          <w:color w:val="000000" w:themeColor="text1"/>
          <w:spacing w:val="-15"/>
          <w:lang w:val="en-US"/>
        </w:rPr>
        <w:t xml:space="preserve"> </w:t>
      </w:r>
      <w:r w:rsidRPr="0052208E">
        <w:rPr>
          <w:color w:val="000000" w:themeColor="text1"/>
          <w:lang w:val="en-US"/>
        </w:rPr>
        <w:t>RWC</w:t>
      </w:r>
      <w:r w:rsidRPr="0052208E">
        <w:rPr>
          <w:color w:val="000000" w:themeColor="text1"/>
          <w:spacing w:val="-14"/>
          <w:lang w:val="en-US"/>
        </w:rPr>
        <w:t xml:space="preserve"> </w:t>
      </w:r>
      <w:r w:rsidRPr="0052208E">
        <w:rPr>
          <w:color w:val="000000" w:themeColor="text1"/>
          <w:lang w:val="en-US"/>
        </w:rPr>
        <w:t>(2000)</w:t>
      </w:r>
      <w:r w:rsidRPr="0052208E">
        <w:rPr>
          <w:color w:val="000000" w:themeColor="text1"/>
          <w:spacing w:val="-14"/>
          <w:lang w:val="en-US"/>
        </w:rPr>
        <w:t xml:space="preserve"> </w:t>
      </w:r>
      <w:r w:rsidRPr="0052208E">
        <w:rPr>
          <w:color w:val="000000" w:themeColor="text1"/>
          <w:lang w:val="en-US"/>
        </w:rPr>
        <w:t>Neogene</w:t>
      </w:r>
      <w:r w:rsidRPr="0052208E">
        <w:rPr>
          <w:color w:val="000000" w:themeColor="text1"/>
          <w:spacing w:val="-14"/>
          <w:lang w:val="en-US"/>
        </w:rPr>
        <w:t xml:space="preserve"> </w:t>
      </w:r>
      <w:r w:rsidRPr="0052208E">
        <w:rPr>
          <w:color w:val="000000" w:themeColor="text1"/>
          <w:lang w:val="en-US"/>
        </w:rPr>
        <w:t>and</w:t>
      </w:r>
      <w:r w:rsidRPr="0052208E">
        <w:rPr>
          <w:color w:val="000000" w:themeColor="text1"/>
          <w:spacing w:val="-14"/>
          <w:lang w:val="en-US"/>
        </w:rPr>
        <w:t xml:space="preserve"> </w:t>
      </w:r>
      <w:r w:rsidRPr="0052208E">
        <w:rPr>
          <w:color w:val="000000" w:themeColor="text1"/>
          <w:lang w:val="en-US"/>
        </w:rPr>
        <w:t>Quaternary</w:t>
      </w:r>
      <w:r w:rsidRPr="0052208E">
        <w:rPr>
          <w:color w:val="000000" w:themeColor="text1"/>
          <w:spacing w:val="-14"/>
          <w:lang w:val="en-US"/>
        </w:rPr>
        <w:t xml:space="preserve"> </w:t>
      </w:r>
      <w:r w:rsidRPr="0052208E">
        <w:rPr>
          <w:color w:val="000000" w:themeColor="text1"/>
          <w:lang w:val="en-US"/>
        </w:rPr>
        <w:t>volcanism</w:t>
      </w:r>
      <w:r w:rsidRPr="0052208E">
        <w:rPr>
          <w:color w:val="000000" w:themeColor="text1"/>
          <w:spacing w:val="-14"/>
          <w:lang w:val="en-US"/>
        </w:rPr>
        <w:t xml:space="preserve"> </w:t>
      </w:r>
      <w:r w:rsidRPr="0052208E">
        <w:rPr>
          <w:color w:val="000000" w:themeColor="text1"/>
          <w:lang w:val="en-US"/>
        </w:rPr>
        <w:t>of</w:t>
      </w:r>
      <w:r w:rsidRPr="0052208E">
        <w:rPr>
          <w:color w:val="000000" w:themeColor="text1"/>
          <w:spacing w:val="-14"/>
          <w:lang w:val="en-US"/>
        </w:rPr>
        <w:t xml:space="preserve"> </w:t>
      </w:r>
      <w:r w:rsidRPr="0052208E">
        <w:rPr>
          <w:color w:val="000000" w:themeColor="text1"/>
          <w:lang w:val="en-US"/>
        </w:rPr>
        <w:t>southeastern</w:t>
      </w:r>
      <w:r w:rsidRPr="0052208E">
        <w:rPr>
          <w:color w:val="000000" w:themeColor="text1"/>
          <w:spacing w:val="-14"/>
          <w:lang w:val="en-US"/>
        </w:rPr>
        <w:t xml:space="preserve"> </w:t>
      </w:r>
      <w:r w:rsidRPr="0052208E">
        <w:rPr>
          <w:color w:val="000000" w:themeColor="text1"/>
          <w:lang w:val="en-US"/>
        </w:rPr>
        <w:t>Turkey. In: Bozkur</w:t>
      </w:r>
      <w:r w:rsidR="00BF76C8">
        <w:rPr>
          <w:color w:val="000000" w:themeColor="text1"/>
          <w:lang w:val="en-US"/>
        </w:rPr>
        <w:t>t E, Winchester JA, Piper JDA (e</w:t>
      </w:r>
      <w:r w:rsidRPr="0052208E">
        <w:rPr>
          <w:color w:val="000000" w:themeColor="text1"/>
          <w:lang w:val="en-US"/>
        </w:rPr>
        <w:t>ds) Tectonics and Magmatism in Turkey and its Surrounding        Area.        Geol        Soc        London        Spec        Publ       173: 459-487.</w:t>
      </w:r>
      <w:r w:rsidRPr="0052208E">
        <w:rPr>
          <w:color w:val="000000" w:themeColor="text1"/>
          <w:spacing w:val="54"/>
          <w:lang w:val="en-US"/>
        </w:rPr>
        <w:t xml:space="preserve"> </w:t>
      </w:r>
      <w:r w:rsidRPr="0052208E">
        <w:rPr>
          <w:color w:val="000000" w:themeColor="text1"/>
          <w:lang w:val="en-US"/>
        </w:rPr>
        <w:t>https://doi.org/10.1144/GSL.SP.2000.173.01.22</w:t>
      </w:r>
    </w:p>
    <w:p w14:paraId="10FDE54E" w14:textId="5A6C0E3C" w:rsidR="008016DC" w:rsidRPr="0052208E" w:rsidRDefault="008016DC" w:rsidP="008016DC">
      <w:pPr>
        <w:pStyle w:val="BodyText"/>
        <w:ind w:left="824" w:right="100" w:hanging="720"/>
        <w:jc w:val="both"/>
        <w:rPr>
          <w:color w:val="000000" w:themeColor="text1"/>
          <w:lang w:val="en-US"/>
        </w:rPr>
      </w:pPr>
      <w:r w:rsidRPr="0052208E">
        <w:rPr>
          <w:color w:val="000000" w:themeColor="text1"/>
          <w:lang w:val="en-US"/>
        </w:rPr>
        <w:t>Adam J, Green T (2006) Trace element partitioning between mica- and amphibole-bearing garnet lherzolite and hydrous basanitic melt: 1. Experimental results and the investigation of controls on</w:t>
      </w:r>
      <w:r w:rsidRPr="0052208E">
        <w:rPr>
          <w:color w:val="000000" w:themeColor="text1"/>
          <w:spacing w:val="-14"/>
          <w:lang w:val="en-US"/>
        </w:rPr>
        <w:t xml:space="preserve"> </w:t>
      </w:r>
      <w:r w:rsidRPr="0052208E">
        <w:rPr>
          <w:color w:val="000000" w:themeColor="text1"/>
          <w:lang w:val="en-US"/>
        </w:rPr>
        <w:t>partitioning</w:t>
      </w:r>
      <w:r w:rsidRPr="0052208E">
        <w:rPr>
          <w:color w:val="000000" w:themeColor="text1"/>
          <w:spacing w:val="-13"/>
          <w:lang w:val="en-US"/>
        </w:rPr>
        <w:t xml:space="preserve"> </w:t>
      </w:r>
      <w:r w:rsidRPr="0052208E">
        <w:rPr>
          <w:color w:val="000000" w:themeColor="text1"/>
          <w:lang w:val="en-US"/>
        </w:rPr>
        <w:t>behaviour.</w:t>
      </w:r>
      <w:r w:rsidRPr="0052208E">
        <w:rPr>
          <w:color w:val="000000" w:themeColor="text1"/>
          <w:spacing w:val="-2"/>
          <w:lang w:val="en-US"/>
        </w:rPr>
        <w:t xml:space="preserve"> </w:t>
      </w:r>
      <w:r w:rsidRPr="0052208E">
        <w:rPr>
          <w:color w:val="000000" w:themeColor="text1"/>
          <w:lang w:val="en-US"/>
        </w:rPr>
        <w:t>Contrib</w:t>
      </w:r>
      <w:r w:rsidRPr="0052208E">
        <w:rPr>
          <w:color w:val="000000" w:themeColor="text1"/>
          <w:spacing w:val="-13"/>
          <w:lang w:val="en-US"/>
        </w:rPr>
        <w:t xml:space="preserve"> </w:t>
      </w:r>
      <w:r w:rsidRPr="0052208E">
        <w:rPr>
          <w:color w:val="000000" w:themeColor="text1"/>
          <w:lang w:val="en-US"/>
        </w:rPr>
        <w:t>Mineral</w:t>
      </w:r>
      <w:r w:rsidRPr="0052208E">
        <w:rPr>
          <w:color w:val="000000" w:themeColor="text1"/>
          <w:spacing w:val="-13"/>
          <w:lang w:val="en-US"/>
        </w:rPr>
        <w:t xml:space="preserve"> </w:t>
      </w:r>
      <w:r w:rsidRPr="0052208E">
        <w:rPr>
          <w:color w:val="000000" w:themeColor="text1"/>
          <w:lang w:val="en-US"/>
        </w:rPr>
        <w:t>Petr</w:t>
      </w:r>
      <w:r w:rsidR="00BF76C8">
        <w:rPr>
          <w:color w:val="000000" w:themeColor="text1"/>
          <w:lang w:val="en-US"/>
        </w:rPr>
        <w:t>ol</w:t>
      </w:r>
      <w:r w:rsidRPr="0052208E">
        <w:rPr>
          <w:color w:val="000000" w:themeColor="text1"/>
          <w:spacing w:val="-13"/>
          <w:lang w:val="en-US"/>
        </w:rPr>
        <w:t xml:space="preserve"> </w:t>
      </w:r>
      <w:r w:rsidRPr="0052208E">
        <w:rPr>
          <w:color w:val="000000" w:themeColor="text1"/>
          <w:lang w:val="en-US"/>
        </w:rPr>
        <w:t>152:</w:t>
      </w:r>
      <w:r w:rsidRPr="0052208E">
        <w:rPr>
          <w:color w:val="000000" w:themeColor="text1"/>
          <w:spacing w:val="-14"/>
          <w:lang w:val="en-US"/>
        </w:rPr>
        <w:t xml:space="preserve"> </w:t>
      </w:r>
      <w:r w:rsidRPr="0052208E">
        <w:rPr>
          <w:color w:val="000000" w:themeColor="text1"/>
          <w:lang w:val="en-US"/>
        </w:rPr>
        <w:t>1-17.</w:t>
      </w:r>
      <w:r w:rsidRPr="0052208E">
        <w:rPr>
          <w:color w:val="000000" w:themeColor="text1"/>
          <w:spacing w:val="-13"/>
          <w:lang w:val="en-US"/>
        </w:rPr>
        <w:t xml:space="preserve"> </w:t>
      </w:r>
      <w:r w:rsidRPr="0052208E">
        <w:rPr>
          <w:color w:val="000000" w:themeColor="text1"/>
          <w:lang w:val="en-US"/>
        </w:rPr>
        <w:t>https://doi.org/10.1007/s00410-006- 0085-4</w:t>
      </w:r>
    </w:p>
    <w:p w14:paraId="77529F26"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Boztuğ</w:t>
      </w:r>
      <w:r w:rsidRPr="0052208E">
        <w:rPr>
          <w:color w:val="000000" w:themeColor="text1"/>
          <w:spacing w:val="-10"/>
          <w:lang w:val="en-US"/>
        </w:rPr>
        <w:t xml:space="preserve"> </w:t>
      </w:r>
      <w:r w:rsidRPr="0052208E">
        <w:rPr>
          <w:color w:val="000000" w:themeColor="text1"/>
          <w:lang w:val="en-US"/>
        </w:rPr>
        <w:t>D,</w:t>
      </w:r>
      <w:r w:rsidRPr="0052208E">
        <w:rPr>
          <w:color w:val="000000" w:themeColor="text1"/>
          <w:spacing w:val="-10"/>
          <w:lang w:val="en-US"/>
        </w:rPr>
        <w:t xml:space="preserve"> </w:t>
      </w:r>
      <w:r w:rsidRPr="0052208E">
        <w:rPr>
          <w:color w:val="000000" w:themeColor="text1"/>
          <w:lang w:val="en-US"/>
        </w:rPr>
        <w:t>Harlavan</w:t>
      </w:r>
      <w:r w:rsidRPr="0052208E">
        <w:rPr>
          <w:color w:val="000000" w:themeColor="text1"/>
          <w:spacing w:val="-10"/>
          <w:lang w:val="en-US"/>
        </w:rPr>
        <w:t xml:space="preserve"> </w:t>
      </w:r>
      <w:r w:rsidRPr="0052208E">
        <w:rPr>
          <w:color w:val="000000" w:themeColor="text1"/>
          <w:lang w:val="en-US"/>
        </w:rPr>
        <w:t>Y,</w:t>
      </w:r>
      <w:r w:rsidRPr="0052208E">
        <w:rPr>
          <w:color w:val="000000" w:themeColor="text1"/>
          <w:spacing w:val="-10"/>
          <w:lang w:val="en-US"/>
        </w:rPr>
        <w:t xml:space="preserve"> </w:t>
      </w:r>
      <w:r w:rsidRPr="0052208E">
        <w:rPr>
          <w:color w:val="000000" w:themeColor="text1"/>
          <w:lang w:val="en-US"/>
        </w:rPr>
        <w:t>Arehart</w:t>
      </w:r>
      <w:r w:rsidRPr="0052208E">
        <w:rPr>
          <w:color w:val="000000" w:themeColor="text1"/>
          <w:spacing w:val="-10"/>
          <w:lang w:val="en-US"/>
        </w:rPr>
        <w:t xml:space="preserve"> </w:t>
      </w:r>
      <w:r w:rsidRPr="0052208E">
        <w:rPr>
          <w:color w:val="000000" w:themeColor="text1"/>
          <w:lang w:val="en-US"/>
        </w:rPr>
        <w:t>GB,</w:t>
      </w:r>
      <w:r w:rsidRPr="0052208E">
        <w:rPr>
          <w:color w:val="000000" w:themeColor="text1"/>
          <w:spacing w:val="-11"/>
          <w:lang w:val="en-US"/>
        </w:rPr>
        <w:t xml:space="preserve"> </w:t>
      </w:r>
      <w:r w:rsidRPr="0052208E">
        <w:rPr>
          <w:color w:val="000000" w:themeColor="text1"/>
          <w:lang w:val="en-US"/>
        </w:rPr>
        <w:t>Satır</w:t>
      </w:r>
      <w:r w:rsidRPr="0052208E">
        <w:rPr>
          <w:color w:val="000000" w:themeColor="text1"/>
          <w:spacing w:val="-10"/>
          <w:lang w:val="en-US"/>
        </w:rPr>
        <w:t xml:space="preserve"> </w:t>
      </w:r>
      <w:r w:rsidRPr="0052208E">
        <w:rPr>
          <w:color w:val="000000" w:themeColor="text1"/>
          <w:lang w:val="en-US"/>
        </w:rPr>
        <w:t>M,</w:t>
      </w:r>
      <w:r w:rsidRPr="0052208E">
        <w:rPr>
          <w:color w:val="000000" w:themeColor="text1"/>
          <w:spacing w:val="-11"/>
          <w:lang w:val="en-US"/>
        </w:rPr>
        <w:t xml:space="preserve"> </w:t>
      </w:r>
      <w:r w:rsidRPr="0052208E">
        <w:rPr>
          <w:color w:val="000000" w:themeColor="text1"/>
          <w:lang w:val="en-US"/>
        </w:rPr>
        <w:t>Avcı</w:t>
      </w:r>
      <w:r w:rsidRPr="0052208E">
        <w:rPr>
          <w:color w:val="000000" w:themeColor="text1"/>
          <w:spacing w:val="-10"/>
          <w:lang w:val="en-US"/>
        </w:rPr>
        <w:t xml:space="preserve"> </w:t>
      </w:r>
      <w:r w:rsidRPr="0052208E">
        <w:rPr>
          <w:color w:val="000000" w:themeColor="text1"/>
          <w:lang w:val="en-US"/>
        </w:rPr>
        <w:t>N</w:t>
      </w:r>
      <w:r w:rsidRPr="0052208E">
        <w:rPr>
          <w:color w:val="000000" w:themeColor="text1"/>
          <w:spacing w:val="-10"/>
          <w:lang w:val="en-US"/>
        </w:rPr>
        <w:t xml:space="preserve"> </w:t>
      </w:r>
      <w:r w:rsidRPr="0052208E">
        <w:rPr>
          <w:color w:val="000000" w:themeColor="text1"/>
          <w:lang w:val="en-US"/>
        </w:rPr>
        <w:t>(2007)</w:t>
      </w:r>
      <w:r w:rsidRPr="0052208E">
        <w:rPr>
          <w:color w:val="000000" w:themeColor="text1"/>
          <w:spacing w:val="-10"/>
          <w:lang w:val="en-US"/>
        </w:rPr>
        <w:t xml:space="preserve"> </w:t>
      </w:r>
      <w:r w:rsidRPr="0052208E">
        <w:rPr>
          <w:color w:val="000000" w:themeColor="text1"/>
          <w:lang w:val="en-US"/>
        </w:rPr>
        <w:t>K-Ar</w:t>
      </w:r>
      <w:r w:rsidRPr="0052208E">
        <w:rPr>
          <w:color w:val="000000" w:themeColor="text1"/>
          <w:spacing w:val="-10"/>
          <w:lang w:val="en-US"/>
        </w:rPr>
        <w:t xml:space="preserve"> </w:t>
      </w:r>
      <w:r w:rsidRPr="0052208E">
        <w:rPr>
          <w:color w:val="000000" w:themeColor="text1"/>
          <w:lang w:val="en-US"/>
        </w:rPr>
        <w:t>age,</w:t>
      </w:r>
      <w:r w:rsidRPr="0052208E">
        <w:rPr>
          <w:color w:val="000000" w:themeColor="text1"/>
          <w:spacing w:val="-10"/>
          <w:lang w:val="en-US"/>
        </w:rPr>
        <w:t xml:space="preserve"> </w:t>
      </w:r>
      <w:r w:rsidRPr="0052208E">
        <w:rPr>
          <w:color w:val="000000" w:themeColor="text1"/>
          <w:lang w:val="en-US"/>
        </w:rPr>
        <w:t>whole-rock</w:t>
      </w:r>
      <w:r w:rsidRPr="0052208E">
        <w:rPr>
          <w:color w:val="000000" w:themeColor="text1"/>
          <w:spacing w:val="-11"/>
          <w:lang w:val="en-US"/>
        </w:rPr>
        <w:t xml:space="preserve"> </w:t>
      </w:r>
      <w:r w:rsidRPr="0052208E">
        <w:rPr>
          <w:color w:val="000000" w:themeColor="text1"/>
          <w:lang w:val="en-US"/>
        </w:rPr>
        <w:t>and</w:t>
      </w:r>
      <w:r w:rsidRPr="0052208E">
        <w:rPr>
          <w:color w:val="000000" w:themeColor="text1"/>
          <w:spacing w:val="-10"/>
          <w:lang w:val="en-US"/>
        </w:rPr>
        <w:t xml:space="preserve"> </w:t>
      </w:r>
      <w:r w:rsidRPr="0052208E">
        <w:rPr>
          <w:color w:val="000000" w:themeColor="text1"/>
          <w:lang w:val="en-US"/>
        </w:rPr>
        <w:t>isotope</w:t>
      </w:r>
      <w:r w:rsidRPr="0052208E">
        <w:rPr>
          <w:color w:val="000000" w:themeColor="text1"/>
          <w:spacing w:val="-10"/>
          <w:lang w:val="en-US"/>
        </w:rPr>
        <w:t xml:space="preserve"> </w:t>
      </w:r>
      <w:r w:rsidRPr="0052208E">
        <w:rPr>
          <w:color w:val="000000" w:themeColor="text1"/>
          <w:lang w:val="en-US"/>
        </w:rPr>
        <w:t>geochemistry of A-type granitoids in the Divriği-Sivas region, eastern-central Anatolia, Turkey. Lithos 97:</w:t>
      </w:r>
      <w:r w:rsidRPr="0052208E">
        <w:rPr>
          <w:color w:val="000000" w:themeColor="text1"/>
          <w:spacing w:val="-20"/>
          <w:lang w:val="en-US"/>
        </w:rPr>
        <w:t xml:space="preserve"> </w:t>
      </w:r>
      <w:r w:rsidRPr="0052208E">
        <w:rPr>
          <w:color w:val="000000" w:themeColor="text1"/>
          <w:lang w:val="en-US"/>
        </w:rPr>
        <w:t>193- 218.</w:t>
      </w:r>
      <w:r w:rsidRPr="0052208E">
        <w:rPr>
          <w:color w:val="000000" w:themeColor="text1"/>
          <w:spacing w:val="-1"/>
          <w:lang w:val="en-US"/>
        </w:rPr>
        <w:t xml:space="preserve"> </w:t>
      </w:r>
      <w:r w:rsidRPr="0052208E">
        <w:rPr>
          <w:color w:val="000000" w:themeColor="text1"/>
          <w:lang w:val="en-US"/>
        </w:rPr>
        <w:t>https://doi.org/10.1016/j.lithos.2006.12.014</w:t>
      </w:r>
    </w:p>
    <w:p w14:paraId="37B06F63"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D’Orazio M (1995) Trace element determination in igneous rocks by ICP-MS: Results on ten international reference samples. Period Mineral 64: 315-328.</w:t>
      </w:r>
    </w:p>
    <w:p w14:paraId="06AE091A"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Dostal J, Dupuy C, Carron JP, Le Guen de Kerneizon M, Maury RC (1983). Partition-Coefficients of Trace-Elements - Application to Volcanic-Rocks of St-Vincent, West-Indies. Geochim Cosmochim Acta 47(3): 525-533. https://doi: 10.1016/0016-7037(83)90275-2</w:t>
      </w:r>
    </w:p>
    <w:p w14:paraId="5D9FDFA5"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Dunn T, Sen C. (1994) Mineral/Matrix Partition-Coefficients for Ortho-Pyroxene, Plagioclase, and Olivine in Basaltic to Andesitic Systems - a Combined Analytical and Experimental-Study. Geochim Cosmochim Acta 58(2): 717-733. https://doi: 10.1016/0016-7037(94)90501-0.</w:t>
      </w:r>
    </w:p>
    <w:p w14:paraId="5D484A07" w14:textId="77777777" w:rsidR="007F12B2" w:rsidRPr="0052208E" w:rsidRDefault="008016DC" w:rsidP="007F12B2">
      <w:pPr>
        <w:pStyle w:val="BodyText"/>
        <w:ind w:left="824" w:right="101" w:hanging="720"/>
        <w:jc w:val="both"/>
        <w:rPr>
          <w:color w:val="000000" w:themeColor="text1"/>
          <w:lang w:val="en-US"/>
        </w:rPr>
      </w:pPr>
      <w:r w:rsidRPr="0052208E">
        <w:rPr>
          <w:color w:val="000000" w:themeColor="text1"/>
          <w:lang w:val="en-US"/>
        </w:rPr>
        <w:t>Ekici T (2003) Petrology of the Neogene Volcanics Along the Malatya Fault Between Arguvan and Arapkir (Malatya). (Ph.D. Thesis). Çukurova University, p. 121 (unpublished).</w:t>
      </w:r>
    </w:p>
    <w:p w14:paraId="011C07CD" w14:textId="394CC550" w:rsidR="007F12B2" w:rsidRPr="0052208E" w:rsidRDefault="007F12B2" w:rsidP="007F12B2">
      <w:pPr>
        <w:pStyle w:val="BodyText"/>
        <w:ind w:left="824" w:right="101" w:hanging="720"/>
        <w:jc w:val="both"/>
        <w:rPr>
          <w:color w:val="000000" w:themeColor="text1"/>
          <w:lang w:val="en-GB"/>
        </w:rPr>
      </w:pPr>
      <w:r w:rsidRPr="0052208E">
        <w:rPr>
          <w:color w:val="000000" w:themeColor="text1"/>
          <w:lang w:val="en-GB"/>
        </w:rPr>
        <w:t>Ekıcı T (2016)  Collision-related slab break-off volcanism in the Eastern Anatolia, Kepez volcanic complex (TURKEY), Geodin Acta, 28(3): 223-239. https://doi.org/10.1080/09853111.2015.1121796</w:t>
      </w:r>
    </w:p>
    <w:p w14:paraId="550C25DF"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Ekıcı T, Alpaslan M, Parlak O, Uçurum A (2009) Geochemistry of the Middle Miocene Collision-related Yamadağı (Eastern Anatolia) Calc-alkaline Volcanics, Turkey. Turk J Earth Sci 18: 511–528. https://doi:10.3906/yer-0712-1</w:t>
      </w:r>
    </w:p>
    <w:p w14:paraId="4E15C9EE"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Ewart A, Griffin WL (1994) Application of proton-microprobe data to trace-element partitioning in volcanic rocks. Chem Geol 117: 251-284. https://doi.org/10.1016/0009-2541(94)90131-7</w:t>
      </w:r>
    </w:p>
    <w:p w14:paraId="34F09B35" w14:textId="77777777" w:rsidR="008016DC" w:rsidRPr="0052208E" w:rsidRDefault="008016DC" w:rsidP="008016DC">
      <w:pPr>
        <w:pStyle w:val="BodyText"/>
        <w:spacing w:before="94"/>
        <w:ind w:left="824" w:right="101" w:hanging="720"/>
        <w:jc w:val="both"/>
        <w:rPr>
          <w:color w:val="000000" w:themeColor="text1"/>
          <w:lang w:val="en-US"/>
        </w:rPr>
      </w:pPr>
      <w:r w:rsidRPr="0052208E">
        <w:rPr>
          <w:color w:val="000000" w:themeColor="text1"/>
          <w:lang w:val="en-US"/>
        </w:rPr>
        <w:t>Green T, Blundy J, Adam J, Yaxley G (2000) SIMS determination of trace element partition coefficients between garnet, clinopyroxene and hydrous basaltic liquids at 2-7.5 GPa and 1080-1200</w:t>
      </w:r>
    </w:p>
    <w:p w14:paraId="0D7F21BD" w14:textId="77777777" w:rsidR="008016DC" w:rsidRPr="0052208E" w:rsidRDefault="008016DC" w:rsidP="008016DC">
      <w:pPr>
        <w:pStyle w:val="BodyText"/>
        <w:spacing w:line="293" w:lineRule="exact"/>
        <w:ind w:left="824"/>
        <w:jc w:val="both"/>
        <w:rPr>
          <w:color w:val="000000" w:themeColor="text1"/>
          <w:lang w:val="en-US"/>
        </w:rPr>
      </w:pPr>
      <w:r w:rsidRPr="0052208E">
        <w:rPr>
          <w:color w:val="000000" w:themeColor="text1"/>
          <w:lang w:val="en-US"/>
        </w:rPr>
        <w:t xml:space="preserve">°C. Lithos 53: 165-187. </w:t>
      </w:r>
      <w:hyperlink r:id="rId10">
        <w:r w:rsidRPr="0052208E">
          <w:rPr>
            <w:color w:val="000000" w:themeColor="text1"/>
            <w:lang w:val="en-US"/>
          </w:rPr>
          <w:t>http://doi.org/10.1016/S0024-4937(00)00023-2</w:t>
        </w:r>
      </w:hyperlink>
    </w:p>
    <w:p w14:paraId="613E0F33"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Gürsoy</w:t>
      </w:r>
      <w:r w:rsidRPr="0052208E">
        <w:rPr>
          <w:color w:val="000000" w:themeColor="text1"/>
          <w:spacing w:val="-7"/>
          <w:lang w:val="en-US"/>
        </w:rPr>
        <w:t xml:space="preserve"> </w:t>
      </w:r>
      <w:r w:rsidRPr="0052208E">
        <w:rPr>
          <w:color w:val="000000" w:themeColor="text1"/>
          <w:lang w:val="en-US"/>
        </w:rPr>
        <w:t>H,</w:t>
      </w:r>
      <w:r w:rsidRPr="0052208E">
        <w:rPr>
          <w:color w:val="000000" w:themeColor="text1"/>
          <w:spacing w:val="-7"/>
          <w:lang w:val="en-US"/>
        </w:rPr>
        <w:t xml:space="preserve"> </w:t>
      </w:r>
      <w:r w:rsidRPr="0052208E">
        <w:rPr>
          <w:color w:val="000000" w:themeColor="text1"/>
          <w:lang w:val="en-US"/>
        </w:rPr>
        <w:t>Tatar</w:t>
      </w:r>
      <w:r w:rsidRPr="0052208E">
        <w:rPr>
          <w:color w:val="000000" w:themeColor="text1"/>
          <w:spacing w:val="-6"/>
          <w:lang w:val="en-US"/>
        </w:rPr>
        <w:t xml:space="preserve"> </w:t>
      </w:r>
      <w:r w:rsidRPr="0052208E">
        <w:rPr>
          <w:color w:val="000000" w:themeColor="text1"/>
          <w:lang w:val="en-US"/>
        </w:rPr>
        <w:t>O,</w:t>
      </w:r>
      <w:r w:rsidRPr="0052208E">
        <w:rPr>
          <w:color w:val="000000" w:themeColor="text1"/>
          <w:spacing w:val="-7"/>
          <w:lang w:val="en-US"/>
        </w:rPr>
        <w:t xml:space="preserve"> </w:t>
      </w:r>
      <w:r w:rsidRPr="0052208E">
        <w:rPr>
          <w:color w:val="000000" w:themeColor="text1"/>
          <w:lang w:val="en-US"/>
        </w:rPr>
        <w:t>Piper</w:t>
      </w:r>
      <w:r w:rsidRPr="0052208E">
        <w:rPr>
          <w:color w:val="000000" w:themeColor="text1"/>
          <w:spacing w:val="-7"/>
          <w:lang w:val="en-US"/>
        </w:rPr>
        <w:t xml:space="preserve"> </w:t>
      </w:r>
      <w:r w:rsidRPr="0052208E">
        <w:rPr>
          <w:color w:val="000000" w:themeColor="text1"/>
          <w:lang w:val="en-US"/>
        </w:rPr>
        <w:t>J,</w:t>
      </w:r>
      <w:r w:rsidRPr="0052208E">
        <w:rPr>
          <w:color w:val="000000" w:themeColor="text1"/>
          <w:spacing w:val="-6"/>
          <w:lang w:val="en-US"/>
        </w:rPr>
        <w:t xml:space="preserve"> </w:t>
      </w:r>
      <w:r w:rsidRPr="0052208E">
        <w:rPr>
          <w:color w:val="000000" w:themeColor="text1"/>
          <w:lang w:val="en-US"/>
        </w:rPr>
        <w:t>Koçbulut</w:t>
      </w:r>
      <w:r w:rsidRPr="0052208E">
        <w:rPr>
          <w:color w:val="000000" w:themeColor="text1"/>
          <w:spacing w:val="-7"/>
          <w:lang w:val="en-US"/>
        </w:rPr>
        <w:t xml:space="preserve"> </w:t>
      </w:r>
      <w:r w:rsidRPr="0052208E">
        <w:rPr>
          <w:color w:val="000000" w:themeColor="text1"/>
          <w:lang w:val="en-US"/>
        </w:rPr>
        <w:t>F,</w:t>
      </w:r>
      <w:r w:rsidRPr="0052208E">
        <w:rPr>
          <w:color w:val="000000" w:themeColor="text1"/>
          <w:spacing w:val="-5"/>
          <w:lang w:val="en-US"/>
        </w:rPr>
        <w:t xml:space="preserve"> </w:t>
      </w:r>
      <w:r w:rsidRPr="0052208E">
        <w:rPr>
          <w:color w:val="000000" w:themeColor="text1"/>
          <w:lang w:val="en-US"/>
        </w:rPr>
        <w:t>Akpınar</w:t>
      </w:r>
      <w:r w:rsidRPr="0052208E">
        <w:rPr>
          <w:color w:val="000000" w:themeColor="text1"/>
          <w:spacing w:val="-7"/>
          <w:lang w:val="en-US"/>
        </w:rPr>
        <w:t xml:space="preserve"> </w:t>
      </w:r>
      <w:r w:rsidRPr="0052208E">
        <w:rPr>
          <w:color w:val="000000" w:themeColor="text1"/>
          <w:lang w:val="en-US"/>
        </w:rPr>
        <w:t>Z,</w:t>
      </w:r>
      <w:r w:rsidRPr="0052208E">
        <w:rPr>
          <w:color w:val="000000" w:themeColor="text1"/>
          <w:spacing w:val="-7"/>
          <w:lang w:val="en-US"/>
        </w:rPr>
        <w:t xml:space="preserve"> </w:t>
      </w:r>
      <w:r w:rsidRPr="0052208E">
        <w:rPr>
          <w:color w:val="000000" w:themeColor="text1"/>
          <w:lang w:val="en-US"/>
        </w:rPr>
        <w:t>Huang</w:t>
      </w:r>
      <w:r w:rsidRPr="0052208E">
        <w:rPr>
          <w:color w:val="000000" w:themeColor="text1"/>
          <w:spacing w:val="-6"/>
          <w:lang w:val="en-US"/>
        </w:rPr>
        <w:t xml:space="preserve"> </w:t>
      </w:r>
      <w:r w:rsidRPr="0052208E">
        <w:rPr>
          <w:color w:val="000000" w:themeColor="text1"/>
          <w:lang w:val="en-US"/>
        </w:rPr>
        <w:t>B,</w:t>
      </w:r>
      <w:r w:rsidRPr="0052208E">
        <w:rPr>
          <w:color w:val="000000" w:themeColor="text1"/>
          <w:spacing w:val="-7"/>
          <w:lang w:val="en-US"/>
        </w:rPr>
        <w:t xml:space="preserve"> </w:t>
      </w:r>
      <w:r w:rsidRPr="0052208E">
        <w:rPr>
          <w:color w:val="000000" w:themeColor="text1"/>
          <w:lang w:val="en-US"/>
        </w:rPr>
        <w:t>Roberts</w:t>
      </w:r>
      <w:r w:rsidRPr="0052208E">
        <w:rPr>
          <w:color w:val="000000" w:themeColor="text1"/>
          <w:spacing w:val="-7"/>
          <w:lang w:val="en-US"/>
        </w:rPr>
        <w:t xml:space="preserve"> </w:t>
      </w:r>
      <w:r w:rsidRPr="0052208E">
        <w:rPr>
          <w:color w:val="000000" w:themeColor="text1"/>
          <w:lang w:val="en-US"/>
        </w:rPr>
        <w:t>AP,</w:t>
      </w:r>
      <w:r w:rsidRPr="0052208E">
        <w:rPr>
          <w:color w:val="000000" w:themeColor="text1"/>
          <w:spacing w:val="-6"/>
          <w:lang w:val="en-US"/>
        </w:rPr>
        <w:t xml:space="preserve"> </w:t>
      </w:r>
      <w:r w:rsidRPr="0052208E">
        <w:rPr>
          <w:color w:val="000000" w:themeColor="text1"/>
          <w:lang w:val="en-US"/>
        </w:rPr>
        <w:t>Mesci</w:t>
      </w:r>
      <w:r w:rsidRPr="0052208E">
        <w:rPr>
          <w:color w:val="000000" w:themeColor="text1"/>
          <w:spacing w:val="-7"/>
          <w:lang w:val="en-US"/>
        </w:rPr>
        <w:t xml:space="preserve"> </w:t>
      </w:r>
      <w:r w:rsidRPr="0052208E">
        <w:rPr>
          <w:color w:val="000000" w:themeColor="text1"/>
          <w:lang w:val="en-US"/>
        </w:rPr>
        <w:t>BL</w:t>
      </w:r>
      <w:r w:rsidRPr="0052208E">
        <w:rPr>
          <w:color w:val="000000" w:themeColor="text1"/>
          <w:spacing w:val="-6"/>
          <w:lang w:val="en-US"/>
        </w:rPr>
        <w:t xml:space="preserve"> </w:t>
      </w:r>
      <w:r w:rsidRPr="0052208E">
        <w:rPr>
          <w:color w:val="000000" w:themeColor="text1"/>
          <w:lang w:val="en-US"/>
        </w:rPr>
        <w:t>(2011)</w:t>
      </w:r>
      <w:r w:rsidRPr="0052208E">
        <w:rPr>
          <w:color w:val="000000" w:themeColor="text1"/>
          <w:spacing w:val="-7"/>
          <w:lang w:val="en-US"/>
        </w:rPr>
        <w:t xml:space="preserve"> </w:t>
      </w:r>
      <w:r w:rsidRPr="0052208E">
        <w:rPr>
          <w:color w:val="000000" w:themeColor="text1"/>
          <w:lang w:val="en-US"/>
        </w:rPr>
        <w:t>Palaeomagnetic study of the Kepezdağ and Yamadağ volcanic complexes, central Turkey: Neogene tectonic escape and block definition in the central-east Anatolides. J Geod 51: 308–326. https://doi.org/10.1016/j.jog.2010.07.004</w:t>
      </w:r>
    </w:p>
    <w:p w14:paraId="24D9F291"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Koçaarslan A, Ersoy EY (2018) Petrologic evolution of Miocene-Pliocene mafic volcanism in the Kangal and Gürün basins (Sivas-Malatya), central east Anatolia: Evidence for Miocene anorogenic magmas contaminated by continental crust. Lithos 310-311: 392-408. https://doi.org/10.1016/j.lithos.2018.04.021</w:t>
      </w:r>
    </w:p>
    <w:p w14:paraId="583B72C0"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 xml:space="preserve">Kürüm S, Önal A, Boztuğ D, Spell T, Arslan M (2008) </w:t>
      </w:r>
      <w:r w:rsidRPr="0052208E">
        <w:rPr>
          <w:color w:val="000000" w:themeColor="text1"/>
          <w:position w:val="8"/>
          <w:sz w:val="16"/>
          <w:lang w:val="en-US"/>
        </w:rPr>
        <w:t>40</w:t>
      </w:r>
      <w:r w:rsidRPr="0052208E">
        <w:rPr>
          <w:color w:val="000000" w:themeColor="text1"/>
          <w:lang w:val="en-US"/>
        </w:rPr>
        <w:t>Ar/</w:t>
      </w:r>
      <w:r w:rsidRPr="0052208E">
        <w:rPr>
          <w:color w:val="000000" w:themeColor="text1"/>
          <w:position w:val="8"/>
          <w:sz w:val="16"/>
          <w:lang w:val="en-US"/>
        </w:rPr>
        <w:t>39</w:t>
      </w:r>
      <w:r w:rsidRPr="0052208E">
        <w:rPr>
          <w:color w:val="000000" w:themeColor="text1"/>
          <w:lang w:val="en-US"/>
        </w:rPr>
        <w:t>Ar age and geochemistry of the post- collisional</w:t>
      </w:r>
      <w:r w:rsidRPr="0052208E">
        <w:rPr>
          <w:color w:val="000000" w:themeColor="text1"/>
          <w:spacing w:val="-5"/>
          <w:lang w:val="en-US"/>
        </w:rPr>
        <w:t xml:space="preserve"> </w:t>
      </w:r>
      <w:r w:rsidRPr="0052208E">
        <w:rPr>
          <w:color w:val="000000" w:themeColor="text1"/>
          <w:lang w:val="en-US"/>
        </w:rPr>
        <w:t>Miocene</w:t>
      </w:r>
      <w:r w:rsidRPr="0052208E">
        <w:rPr>
          <w:color w:val="000000" w:themeColor="text1"/>
          <w:spacing w:val="-5"/>
          <w:lang w:val="en-US"/>
        </w:rPr>
        <w:t xml:space="preserve"> </w:t>
      </w:r>
      <w:r w:rsidRPr="0052208E">
        <w:rPr>
          <w:color w:val="000000" w:themeColor="text1"/>
          <w:lang w:val="en-US"/>
        </w:rPr>
        <w:t>Yamadağ</w:t>
      </w:r>
      <w:r w:rsidRPr="0052208E">
        <w:rPr>
          <w:color w:val="000000" w:themeColor="text1"/>
          <w:spacing w:val="-6"/>
          <w:lang w:val="en-US"/>
        </w:rPr>
        <w:t xml:space="preserve"> </w:t>
      </w:r>
      <w:r w:rsidRPr="0052208E">
        <w:rPr>
          <w:color w:val="000000" w:themeColor="text1"/>
          <w:lang w:val="en-US"/>
        </w:rPr>
        <w:t>volcanics</w:t>
      </w:r>
      <w:r w:rsidRPr="0052208E">
        <w:rPr>
          <w:color w:val="000000" w:themeColor="text1"/>
          <w:spacing w:val="-5"/>
          <w:lang w:val="en-US"/>
        </w:rPr>
        <w:t xml:space="preserve"> </w:t>
      </w:r>
      <w:r w:rsidRPr="0052208E">
        <w:rPr>
          <w:color w:val="000000" w:themeColor="text1"/>
          <w:lang w:val="en-US"/>
        </w:rPr>
        <w:t>in</w:t>
      </w:r>
      <w:r w:rsidRPr="0052208E">
        <w:rPr>
          <w:color w:val="000000" w:themeColor="text1"/>
          <w:spacing w:val="-5"/>
          <w:lang w:val="en-US"/>
        </w:rPr>
        <w:t xml:space="preserve"> </w:t>
      </w:r>
      <w:r w:rsidRPr="0052208E">
        <w:rPr>
          <w:color w:val="000000" w:themeColor="text1"/>
          <w:lang w:val="en-US"/>
        </w:rPr>
        <w:t>the</w:t>
      </w:r>
      <w:r w:rsidRPr="0052208E">
        <w:rPr>
          <w:color w:val="000000" w:themeColor="text1"/>
          <w:spacing w:val="-5"/>
          <w:lang w:val="en-US"/>
        </w:rPr>
        <w:t xml:space="preserve"> </w:t>
      </w:r>
      <w:r w:rsidRPr="0052208E">
        <w:rPr>
          <w:color w:val="000000" w:themeColor="text1"/>
          <w:lang w:val="en-US"/>
        </w:rPr>
        <w:t>Arapkir</w:t>
      </w:r>
      <w:r w:rsidRPr="0052208E">
        <w:rPr>
          <w:color w:val="000000" w:themeColor="text1"/>
          <w:spacing w:val="-5"/>
          <w:lang w:val="en-US"/>
        </w:rPr>
        <w:t xml:space="preserve"> </w:t>
      </w:r>
      <w:r w:rsidRPr="0052208E">
        <w:rPr>
          <w:color w:val="000000" w:themeColor="text1"/>
          <w:lang w:val="en-US"/>
        </w:rPr>
        <w:t>area</w:t>
      </w:r>
      <w:r w:rsidRPr="0052208E">
        <w:rPr>
          <w:color w:val="000000" w:themeColor="text1"/>
          <w:spacing w:val="-5"/>
          <w:lang w:val="en-US"/>
        </w:rPr>
        <w:t xml:space="preserve"> </w:t>
      </w:r>
      <w:r w:rsidRPr="0052208E">
        <w:rPr>
          <w:color w:val="000000" w:themeColor="text1"/>
          <w:lang w:val="en-US"/>
        </w:rPr>
        <w:t>(Malatya</w:t>
      </w:r>
      <w:r w:rsidRPr="0052208E">
        <w:rPr>
          <w:color w:val="000000" w:themeColor="text1"/>
          <w:spacing w:val="-4"/>
          <w:lang w:val="en-US"/>
        </w:rPr>
        <w:t xml:space="preserve"> </w:t>
      </w:r>
      <w:r w:rsidRPr="0052208E">
        <w:rPr>
          <w:color w:val="000000" w:themeColor="text1"/>
          <w:lang w:val="en-US"/>
        </w:rPr>
        <w:t>Province),</w:t>
      </w:r>
      <w:r w:rsidRPr="0052208E">
        <w:rPr>
          <w:color w:val="000000" w:themeColor="text1"/>
          <w:spacing w:val="-5"/>
          <w:lang w:val="en-US"/>
        </w:rPr>
        <w:t xml:space="preserve"> </w:t>
      </w:r>
      <w:r w:rsidRPr="0052208E">
        <w:rPr>
          <w:color w:val="000000" w:themeColor="text1"/>
          <w:lang w:val="en-US"/>
        </w:rPr>
        <w:t>eastern</w:t>
      </w:r>
      <w:r w:rsidRPr="0052208E">
        <w:rPr>
          <w:color w:val="000000" w:themeColor="text1"/>
          <w:spacing w:val="-5"/>
          <w:lang w:val="en-US"/>
        </w:rPr>
        <w:t xml:space="preserve"> </w:t>
      </w:r>
      <w:r w:rsidRPr="0052208E">
        <w:rPr>
          <w:color w:val="000000" w:themeColor="text1"/>
          <w:lang w:val="en-US"/>
        </w:rPr>
        <w:t>Anatolia, Turkey. J Asian Earth Sci 33: 229–251.</w:t>
      </w:r>
      <w:r w:rsidRPr="0052208E">
        <w:rPr>
          <w:color w:val="000000" w:themeColor="text1"/>
          <w:spacing w:val="-2"/>
          <w:lang w:val="en-US"/>
        </w:rPr>
        <w:t xml:space="preserve"> </w:t>
      </w:r>
      <w:r w:rsidRPr="0052208E">
        <w:rPr>
          <w:color w:val="000000" w:themeColor="text1"/>
          <w:lang w:val="en-US"/>
        </w:rPr>
        <w:t>https://doi.org/10.1016/j.jseaes.2007.12.001</w:t>
      </w:r>
    </w:p>
    <w:p w14:paraId="603F65AE" w14:textId="77777777" w:rsidR="008016DC" w:rsidRPr="0052208E" w:rsidRDefault="008016DC" w:rsidP="008016DC">
      <w:pPr>
        <w:pStyle w:val="BodyText"/>
        <w:spacing w:line="244" w:lineRule="auto"/>
        <w:ind w:left="824" w:right="101" w:hanging="720"/>
        <w:jc w:val="both"/>
        <w:rPr>
          <w:color w:val="000000" w:themeColor="text1"/>
          <w:lang w:val="en-US"/>
        </w:rPr>
      </w:pPr>
      <w:r w:rsidRPr="0052208E">
        <w:rPr>
          <w:color w:val="000000" w:themeColor="text1"/>
          <w:lang w:val="en-US"/>
        </w:rPr>
        <w:t>Leo GW, Marvin R, Mehnert HH (1974) Geologic Framework of the Kuluncak-Sofular Area,</w:t>
      </w:r>
      <w:r w:rsidRPr="0052208E">
        <w:rPr>
          <w:color w:val="000000" w:themeColor="text1"/>
          <w:spacing w:val="-38"/>
          <w:lang w:val="en-US"/>
        </w:rPr>
        <w:t xml:space="preserve"> </w:t>
      </w:r>
      <w:r w:rsidRPr="0052208E">
        <w:rPr>
          <w:color w:val="000000" w:themeColor="text1"/>
          <w:lang w:val="en-US"/>
        </w:rPr>
        <w:t>East-Central Turkey,</w:t>
      </w:r>
      <w:r w:rsidRPr="0052208E">
        <w:rPr>
          <w:color w:val="000000" w:themeColor="text1"/>
          <w:spacing w:val="14"/>
          <w:lang w:val="en-US"/>
        </w:rPr>
        <w:t xml:space="preserve"> </w:t>
      </w:r>
      <w:r w:rsidRPr="0052208E">
        <w:rPr>
          <w:color w:val="000000" w:themeColor="text1"/>
          <w:lang w:val="en-US"/>
        </w:rPr>
        <w:t>and</w:t>
      </w:r>
      <w:r w:rsidRPr="0052208E">
        <w:rPr>
          <w:color w:val="000000" w:themeColor="text1"/>
          <w:spacing w:val="14"/>
          <w:lang w:val="en-US"/>
        </w:rPr>
        <w:t xml:space="preserve"> </w:t>
      </w:r>
      <w:r w:rsidRPr="0052208E">
        <w:rPr>
          <w:color w:val="000000" w:themeColor="text1"/>
          <w:lang w:val="en-US"/>
        </w:rPr>
        <w:t>K-Ar</w:t>
      </w:r>
      <w:r w:rsidRPr="0052208E">
        <w:rPr>
          <w:color w:val="000000" w:themeColor="text1"/>
          <w:spacing w:val="15"/>
          <w:lang w:val="en-US"/>
        </w:rPr>
        <w:t xml:space="preserve"> </w:t>
      </w:r>
      <w:r w:rsidRPr="0052208E">
        <w:rPr>
          <w:color w:val="000000" w:themeColor="text1"/>
          <w:lang w:val="en-US"/>
        </w:rPr>
        <w:t>Ages</w:t>
      </w:r>
      <w:r w:rsidRPr="0052208E">
        <w:rPr>
          <w:color w:val="000000" w:themeColor="text1"/>
          <w:spacing w:val="14"/>
          <w:lang w:val="en-US"/>
        </w:rPr>
        <w:t xml:space="preserve"> </w:t>
      </w:r>
      <w:r w:rsidRPr="0052208E">
        <w:rPr>
          <w:color w:val="000000" w:themeColor="text1"/>
          <w:lang w:val="en-US"/>
        </w:rPr>
        <w:t>of</w:t>
      </w:r>
      <w:r w:rsidRPr="0052208E">
        <w:rPr>
          <w:color w:val="000000" w:themeColor="text1"/>
          <w:spacing w:val="15"/>
          <w:lang w:val="en-US"/>
        </w:rPr>
        <w:t xml:space="preserve"> </w:t>
      </w:r>
      <w:r w:rsidRPr="0052208E">
        <w:rPr>
          <w:color w:val="000000" w:themeColor="text1"/>
          <w:lang w:val="en-US"/>
        </w:rPr>
        <w:t>Igneous</w:t>
      </w:r>
      <w:r w:rsidRPr="0052208E">
        <w:rPr>
          <w:color w:val="000000" w:themeColor="text1"/>
          <w:spacing w:val="14"/>
          <w:lang w:val="en-US"/>
        </w:rPr>
        <w:t xml:space="preserve"> </w:t>
      </w:r>
      <w:r w:rsidRPr="0052208E">
        <w:rPr>
          <w:color w:val="000000" w:themeColor="text1"/>
          <w:lang w:val="en-US"/>
        </w:rPr>
        <w:t>Rocks.</w:t>
      </w:r>
      <w:r w:rsidRPr="0052208E">
        <w:rPr>
          <w:color w:val="000000" w:themeColor="text1"/>
          <w:spacing w:val="14"/>
          <w:lang w:val="en-US"/>
        </w:rPr>
        <w:t xml:space="preserve"> </w:t>
      </w:r>
      <w:r w:rsidRPr="0052208E">
        <w:rPr>
          <w:color w:val="000000" w:themeColor="text1"/>
          <w:lang w:val="en-US"/>
        </w:rPr>
        <w:t>Geol</w:t>
      </w:r>
      <w:r w:rsidRPr="0052208E">
        <w:rPr>
          <w:color w:val="000000" w:themeColor="text1"/>
          <w:spacing w:val="15"/>
          <w:lang w:val="en-US"/>
        </w:rPr>
        <w:t xml:space="preserve"> </w:t>
      </w:r>
      <w:r w:rsidRPr="0052208E">
        <w:rPr>
          <w:color w:val="000000" w:themeColor="text1"/>
          <w:lang w:val="en-US"/>
        </w:rPr>
        <w:t>Soc</w:t>
      </w:r>
      <w:r w:rsidRPr="0052208E">
        <w:rPr>
          <w:color w:val="000000" w:themeColor="text1"/>
          <w:spacing w:val="14"/>
          <w:lang w:val="en-US"/>
        </w:rPr>
        <w:t xml:space="preserve"> </w:t>
      </w:r>
      <w:r w:rsidRPr="0052208E">
        <w:rPr>
          <w:color w:val="000000" w:themeColor="text1"/>
          <w:lang w:val="en-US"/>
        </w:rPr>
        <w:t>Am</w:t>
      </w:r>
      <w:r w:rsidRPr="0052208E">
        <w:rPr>
          <w:color w:val="000000" w:themeColor="text1"/>
          <w:spacing w:val="15"/>
          <w:lang w:val="en-US"/>
        </w:rPr>
        <w:t xml:space="preserve"> </w:t>
      </w:r>
      <w:r w:rsidRPr="0052208E">
        <w:rPr>
          <w:color w:val="000000" w:themeColor="text1"/>
          <w:lang w:val="en-US"/>
        </w:rPr>
        <w:t>Bull</w:t>
      </w:r>
      <w:r w:rsidRPr="0052208E">
        <w:rPr>
          <w:color w:val="000000" w:themeColor="text1"/>
          <w:spacing w:val="14"/>
          <w:lang w:val="en-US"/>
        </w:rPr>
        <w:t xml:space="preserve"> </w:t>
      </w:r>
      <w:r w:rsidRPr="0052208E">
        <w:rPr>
          <w:color w:val="000000" w:themeColor="text1"/>
          <w:lang w:val="en-US"/>
        </w:rPr>
        <w:t>85:</w:t>
      </w:r>
      <w:r w:rsidRPr="0052208E">
        <w:rPr>
          <w:color w:val="000000" w:themeColor="text1"/>
          <w:spacing w:val="15"/>
          <w:lang w:val="en-US"/>
        </w:rPr>
        <w:t xml:space="preserve"> </w:t>
      </w:r>
      <w:r w:rsidRPr="0052208E">
        <w:rPr>
          <w:color w:val="000000" w:themeColor="text1"/>
          <w:lang w:val="en-US"/>
        </w:rPr>
        <w:t>1785-1788.</w:t>
      </w:r>
    </w:p>
    <w:p w14:paraId="7B2CA457" w14:textId="77777777" w:rsidR="008016DC" w:rsidRPr="0052208E" w:rsidRDefault="006A7AD0" w:rsidP="008016DC">
      <w:pPr>
        <w:pStyle w:val="BodyText"/>
        <w:spacing w:line="293" w:lineRule="exact"/>
        <w:ind w:left="824"/>
        <w:rPr>
          <w:color w:val="000000" w:themeColor="text1"/>
          <w:lang w:val="en-US"/>
        </w:rPr>
      </w:pPr>
      <w:hyperlink r:id="rId11" w:history="1">
        <w:r w:rsidR="008016DC" w:rsidRPr="0052208E">
          <w:rPr>
            <w:color w:val="000000" w:themeColor="text1"/>
            <w:lang w:val="en-US"/>
          </w:rPr>
          <w:t>https://doi.org/10.1130/0016-7606(1974)85&lt;1785:GFOTKA&gt;2.0.CO;2</w:t>
        </w:r>
      </w:hyperlink>
    </w:p>
    <w:p w14:paraId="5859FD0C" w14:textId="03841AD5" w:rsidR="008016DC" w:rsidRPr="0052208E" w:rsidRDefault="008016DC" w:rsidP="008016DC">
      <w:pPr>
        <w:pStyle w:val="BodyText"/>
        <w:ind w:left="824" w:right="100" w:hanging="720"/>
        <w:jc w:val="both"/>
        <w:rPr>
          <w:color w:val="000000" w:themeColor="text1"/>
          <w:lang w:val="en-US"/>
        </w:rPr>
      </w:pPr>
      <w:r w:rsidRPr="0052208E">
        <w:rPr>
          <w:color w:val="000000" w:themeColor="text1"/>
          <w:lang w:val="en-US"/>
        </w:rPr>
        <w:t>Maloney</w:t>
      </w:r>
      <w:r w:rsidRPr="0052208E">
        <w:rPr>
          <w:color w:val="000000" w:themeColor="text1"/>
          <w:spacing w:val="-9"/>
          <w:lang w:val="en-US"/>
        </w:rPr>
        <w:t xml:space="preserve"> </w:t>
      </w:r>
      <w:r w:rsidRPr="0052208E">
        <w:rPr>
          <w:color w:val="000000" w:themeColor="text1"/>
          <w:lang w:val="en-US"/>
        </w:rPr>
        <w:t>PM,</w:t>
      </w:r>
      <w:r w:rsidRPr="0052208E">
        <w:rPr>
          <w:color w:val="000000" w:themeColor="text1"/>
          <w:spacing w:val="-9"/>
          <w:lang w:val="en-US"/>
        </w:rPr>
        <w:t xml:space="preserve"> </w:t>
      </w:r>
      <w:r w:rsidRPr="0052208E">
        <w:rPr>
          <w:color w:val="000000" w:themeColor="text1"/>
          <w:lang w:val="en-US"/>
        </w:rPr>
        <w:t>Reid</w:t>
      </w:r>
      <w:r w:rsidRPr="0052208E">
        <w:rPr>
          <w:color w:val="000000" w:themeColor="text1"/>
          <w:spacing w:val="-9"/>
          <w:lang w:val="en-US"/>
        </w:rPr>
        <w:t xml:space="preserve"> </w:t>
      </w:r>
      <w:r w:rsidRPr="0052208E">
        <w:rPr>
          <w:color w:val="000000" w:themeColor="text1"/>
          <w:lang w:val="en-US"/>
        </w:rPr>
        <w:t>MR,</w:t>
      </w:r>
      <w:r w:rsidRPr="0052208E">
        <w:rPr>
          <w:color w:val="000000" w:themeColor="text1"/>
          <w:spacing w:val="-9"/>
          <w:lang w:val="en-US"/>
        </w:rPr>
        <w:t xml:space="preserve"> </w:t>
      </w:r>
      <w:r w:rsidRPr="0052208E">
        <w:rPr>
          <w:color w:val="000000" w:themeColor="text1"/>
          <w:lang w:val="en-US"/>
        </w:rPr>
        <w:t>Cosca</w:t>
      </w:r>
      <w:r w:rsidRPr="0052208E">
        <w:rPr>
          <w:color w:val="000000" w:themeColor="text1"/>
          <w:spacing w:val="-9"/>
          <w:lang w:val="en-US"/>
        </w:rPr>
        <w:t xml:space="preserve"> </w:t>
      </w:r>
      <w:r w:rsidRPr="0052208E">
        <w:rPr>
          <w:color w:val="000000" w:themeColor="text1"/>
          <w:lang w:val="en-US"/>
        </w:rPr>
        <w:t>MA,</w:t>
      </w:r>
      <w:r w:rsidRPr="0052208E">
        <w:rPr>
          <w:color w:val="000000" w:themeColor="text1"/>
          <w:spacing w:val="-9"/>
          <w:lang w:val="en-US"/>
        </w:rPr>
        <w:t xml:space="preserve"> </w:t>
      </w:r>
      <w:r w:rsidRPr="0052208E">
        <w:rPr>
          <w:color w:val="000000" w:themeColor="text1"/>
          <w:lang w:val="en-US"/>
        </w:rPr>
        <w:t>Gencalioğlu-Kusku</w:t>
      </w:r>
      <w:r w:rsidRPr="0052208E">
        <w:rPr>
          <w:color w:val="000000" w:themeColor="text1"/>
          <w:spacing w:val="-9"/>
          <w:lang w:val="en-US"/>
        </w:rPr>
        <w:t xml:space="preserve"> </w:t>
      </w:r>
      <w:r w:rsidRPr="0052208E">
        <w:rPr>
          <w:color w:val="000000" w:themeColor="text1"/>
          <w:lang w:val="en-US"/>
        </w:rPr>
        <w:t>G</w:t>
      </w:r>
      <w:r w:rsidRPr="0052208E">
        <w:rPr>
          <w:color w:val="000000" w:themeColor="text1"/>
          <w:spacing w:val="-9"/>
          <w:lang w:val="en-US"/>
        </w:rPr>
        <w:t xml:space="preserve"> </w:t>
      </w:r>
      <w:r w:rsidRPr="0052208E">
        <w:rPr>
          <w:color w:val="000000" w:themeColor="text1"/>
          <w:lang w:val="en-US"/>
        </w:rPr>
        <w:t>(2013)</w:t>
      </w:r>
      <w:r w:rsidRPr="0052208E">
        <w:rPr>
          <w:color w:val="000000" w:themeColor="text1"/>
          <w:spacing w:val="-9"/>
          <w:lang w:val="en-US"/>
        </w:rPr>
        <w:t xml:space="preserve"> </w:t>
      </w:r>
      <w:r w:rsidRPr="0052208E">
        <w:rPr>
          <w:color w:val="000000" w:themeColor="text1"/>
          <w:lang w:val="en-US"/>
        </w:rPr>
        <w:t>Melting</w:t>
      </w:r>
      <w:r w:rsidRPr="0052208E">
        <w:rPr>
          <w:color w:val="000000" w:themeColor="text1"/>
          <w:spacing w:val="-8"/>
          <w:lang w:val="en-US"/>
        </w:rPr>
        <w:t xml:space="preserve"> </w:t>
      </w:r>
      <w:r w:rsidRPr="0052208E">
        <w:rPr>
          <w:color w:val="000000" w:themeColor="text1"/>
          <w:lang w:val="en-US"/>
        </w:rPr>
        <w:t>Conditions</w:t>
      </w:r>
      <w:r w:rsidRPr="0052208E">
        <w:rPr>
          <w:color w:val="000000" w:themeColor="text1"/>
          <w:spacing w:val="-9"/>
          <w:lang w:val="en-US"/>
        </w:rPr>
        <w:t xml:space="preserve"> </w:t>
      </w:r>
      <w:r w:rsidRPr="0052208E">
        <w:rPr>
          <w:color w:val="000000" w:themeColor="text1"/>
          <w:lang w:val="en-US"/>
        </w:rPr>
        <w:t>of</w:t>
      </w:r>
      <w:r w:rsidRPr="0052208E">
        <w:rPr>
          <w:color w:val="000000" w:themeColor="text1"/>
          <w:spacing w:val="-9"/>
          <w:lang w:val="en-US"/>
        </w:rPr>
        <w:t xml:space="preserve"> </w:t>
      </w:r>
      <w:r w:rsidRPr="0052208E">
        <w:rPr>
          <w:color w:val="000000" w:themeColor="text1"/>
          <w:lang w:val="en-US"/>
        </w:rPr>
        <w:t>Basaltic</w:t>
      </w:r>
      <w:r w:rsidRPr="0052208E">
        <w:rPr>
          <w:color w:val="000000" w:themeColor="text1"/>
          <w:spacing w:val="-9"/>
          <w:lang w:val="en-US"/>
        </w:rPr>
        <w:t xml:space="preserve"> </w:t>
      </w:r>
      <w:r w:rsidRPr="0052208E">
        <w:rPr>
          <w:color w:val="000000" w:themeColor="text1"/>
          <w:lang w:val="en-US"/>
        </w:rPr>
        <w:t>Volcanism from Collision to Escape in the Central Anatolian Volcanic Province. Am Geophys Un, Fall Meeting 2013,</w:t>
      </w:r>
      <w:r w:rsidRPr="0052208E">
        <w:rPr>
          <w:color w:val="000000" w:themeColor="text1"/>
          <w:spacing w:val="-1"/>
          <w:lang w:val="en-US"/>
        </w:rPr>
        <w:t xml:space="preserve"> </w:t>
      </w:r>
      <w:r w:rsidRPr="0052208E">
        <w:rPr>
          <w:color w:val="000000" w:themeColor="text1"/>
          <w:lang w:val="en-US"/>
        </w:rPr>
        <w:t>Abstracts.</w:t>
      </w:r>
    </w:p>
    <w:p w14:paraId="0F4D8AB5" w14:textId="77777777" w:rsidR="008016DC" w:rsidRPr="0052208E" w:rsidRDefault="008016DC" w:rsidP="008016DC">
      <w:pPr>
        <w:pStyle w:val="BodyText"/>
        <w:ind w:left="824" w:right="100" w:hanging="720"/>
        <w:jc w:val="both"/>
        <w:rPr>
          <w:color w:val="000000" w:themeColor="text1"/>
          <w:lang w:val="en-US"/>
        </w:rPr>
      </w:pPr>
      <w:r w:rsidRPr="0052208E">
        <w:rPr>
          <w:color w:val="000000" w:themeColor="text1"/>
          <w:lang w:val="en-US"/>
        </w:rPr>
        <w:t>Matsui Y, Onuma N, Nagasawa H, Higuchi H, Banno S (1977)</w:t>
      </w:r>
      <w:r w:rsidRPr="0052208E" w:rsidDel="00DF5C42">
        <w:rPr>
          <w:color w:val="000000" w:themeColor="text1"/>
          <w:lang w:val="en-US"/>
        </w:rPr>
        <w:t xml:space="preserve"> </w:t>
      </w:r>
      <w:r w:rsidRPr="0052208E">
        <w:rPr>
          <w:color w:val="000000" w:themeColor="text1"/>
          <w:lang w:val="en-US"/>
        </w:rPr>
        <w:t xml:space="preserve">Crystal structure control in trace element partition between crystal and magma. Tectonics 100: 315-324. </w:t>
      </w:r>
      <w:hyperlink r:id="rId12" w:history="1">
        <w:r w:rsidRPr="0052208E">
          <w:rPr>
            <w:color w:val="000000" w:themeColor="text1"/>
            <w:lang w:val="en-US"/>
          </w:rPr>
          <w:t>https://doi.org/10.3406/bulmi.1977.7155</w:t>
        </w:r>
      </w:hyperlink>
    </w:p>
    <w:p w14:paraId="2CCEF0F6" w14:textId="77777777" w:rsidR="008016DC" w:rsidRPr="0052208E" w:rsidRDefault="008016DC" w:rsidP="008016DC">
      <w:pPr>
        <w:pStyle w:val="BodyText"/>
        <w:ind w:left="824" w:right="100" w:hanging="720"/>
        <w:jc w:val="both"/>
        <w:rPr>
          <w:color w:val="000000" w:themeColor="text1"/>
          <w:lang w:val="en-US"/>
        </w:rPr>
      </w:pPr>
      <w:r w:rsidRPr="0052208E">
        <w:rPr>
          <w:color w:val="000000" w:themeColor="text1"/>
          <w:lang w:val="en-US"/>
        </w:rPr>
        <w:t>McKay GA, Weill DF (1977).</w:t>
      </w:r>
      <w:r w:rsidRPr="0052208E" w:rsidDel="00DF5C42">
        <w:rPr>
          <w:color w:val="000000" w:themeColor="text1"/>
          <w:lang w:val="en-US"/>
        </w:rPr>
        <w:t xml:space="preserve"> </w:t>
      </w:r>
      <w:r w:rsidRPr="0052208E">
        <w:rPr>
          <w:color w:val="000000" w:themeColor="text1"/>
          <w:lang w:val="en-US"/>
        </w:rPr>
        <w:t>KREEP petrogenesis revisited.</w:t>
      </w:r>
      <w:r w:rsidRPr="0052208E" w:rsidDel="00DF5C42">
        <w:rPr>
          <w:color w:val="000000" w:themeColor="text1"/>
          <w:lang w:val="en-US"/>
        </w:rPr>
        <w:t xml:space="preserve"> </w:t>
      </w:r>
      <w:r w:rsidRPr="0052208E">
        <w:rPr>
          <w:color w:val="000000" w:themeColor="text1"/>
          <w:lang w:val="en-US"/>
        </w:rPr>
        <w:t>J Geophys Res 2,339-2,355.</w:t>
      </w:r>
    </w:p>
    <w:p w14:paraId="19FED17B" w14:textId="3590E25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 xml:space="preserve">McKenzie DP, O’Nions RK (1991) Partial Melt Distributions from Inversion of Rare Earth Element Concentrations. J Petrol 32: 1027-1091. </w:t>
      </w:r>
      <w:hyperlink r:id="rId13" w:history="1">
        <w:r w:rsidR="009D29BF" w:rsidRPr="0052208E">
          <w:rPr>
            <w:rStyle w:val="Hyperlink"/>
            <w:color w:val="000000" w:themeColor="text1"/>
            <w:u w:val="none"/>
            <w:lang w:val="en-US"/>
          </w:rPr>
          <w:t>https://doi.org/10.1093/petrology/32.5.1021</w:t>
        </w:r>
      </w:hyperlink>
    </w:p>
    <w:p w14:paraId="35A67A13" w14:textId="7AFD116F" w:rsidR="009D29BF" w:rsidRPr="0052208E" w:rsidRDefault="009D29BF" w:rsidP="009D29BF">
      <w:pPr>
        <w:pStyle w:val="BodyText"/>
        <w:ind w:left="824" w:right="101" w:hanging="720"/>
        <w:jc w:val="both"/>
        <w:rPr>
          <w:color w:val="000000" w:themeColor="text1"/>
          <w:lang w:val="en-US"/>
        </w:rPr>
      </w:pPr>
      <w:r w:rsidRPr="0052208E">
        <w:rPr>
          <w:color w:val="000000" w:themeColor="text1"/>
          <w:lang w:val="en-US"/>
        </w:rPr>
        <w:t xml:space="preserve">Niespolo E.M., Rutte D., Deino A.L., Renne P.R. (2017) Intercalibration and age of the Alder Creek sanidine </w:t>
      </w:r>
      <w:r w:rsidRPr="0052208E">
        <w:rPr>
          <w:color w:val="000000" w:themeColor="text1"/>
          <w:vertAlign w:val="superscript"/>
          <w:lang w:val="en-US"/>
        </w:rPr>
        <w:t>40</w:t>
      </w:r>
      <w:r w:rsidRPr="0052208E">
        <w:rPr>
          <w:color w:val="000000" w:themeColor="text1"/>
          <w:lang w:val="en-US"/>
        </w:rPr>
        <w:t>Ar/</w:t>
      </w:r>
      <w:r w:rsidRPr="0052208E">
        <w:rPr>
          <w:color w:val="000000" w:themeColor="text1"/>
          <w:vertAlign w:val="superscript"/>
          <w:lang w:val="en-US"/>
        </w:rPr>
        <w:t>39</w:t>
      </w:r>
      <w:r w:rsidRPr="0052208E">
        <w:rPr>
          <w:color w:val="000000" w:themeColor="text1"/>
          <w:lang w:val="en-US"/>
        </w:rPr>
        <w:t>Ar standard. Quaternary Geochronology 39: 205-213.</w:t>
      </w:r>
    </w:p>
    <w:p w14:paraId="5FB7136E"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Okamoto, K. (1979).</w:t>
      </w:r>
      <w:r w:rsidRPr="0052208E" w:rsidDel="00DF5C42">
        <w:rPr>
          <w:color w:val="000000" w:themeColor="text1"/>
          <w:lang w:val="en-US"/>
        </w:rPr>
        <w:t xml:space="preserve"> </w:t>
      </w:r>
      <w:r w:rsidRPr="0052208E">
        <w:rPr>
          <w:color w:val="000000" w:themeColor="text1"/>
          <w:lang w:val="en-US"/>
        </w:rPr>
        <w:t>Geochemical study on magmatic differentiation of Asama Volcano, central Japan. J Geolog Soc  Japan 85(8): 525-535. https://doi.org/10.5575/geosoc.85.525</w:t>
      </w:r>
    </w:p>
    <w:p w14:paraId="0D714233" w14:textId="77777777" w:rsidR="008016DC" w:rsidRPr="0052208E" w:rsidRDefault="008016DC" w:rsidP="008016DC">
      <w:pPr>
        <w:pStyle w:val="BodyText"/>
        <w:ind w:left="824" w:right="100" w:hanging="720"/>
        <w:jc w:val="both"/>
        <w:rPr>
          <w:color w:val="000000" w:themeColor="text1"/>
          <w:lang w:val="en-US"/>
        </w:rPr>
      </w:pPr>
      <w:r w:rsidRPr="0052208E">
        <w:rPr>
          <w:color w:val="000000" w:themeColor="text1"/>
          <w:lang w:val="en-US"/>
        </w:rPr>
        <w:t xml:space="preserve">Palme H, O'Neill HSC (2003) 3.1 - Cosmochemical Estimates of Mantle Composition. In: Holland H, Turekian KK (eds) Treatise on Geochemistry 3: 1–39. </w:t>
      </w:r>
      <w:hyperlink r:id="rId14" w:history="1">
        <w:r w:rsidRPr="0052208E">
          <w:rPr>
            <w:rStyle w:val="Hyperlink"/>
            <w:color w:val="000000" w:themeColor="text1"/>
            <w:u w:val="none"/>
            <w:lang w:val="en-US"/>
          </w:rPr>
          <w:t>https://doi.org/10.1016/B978-0-08-095975-7.00201-1</w:t>
        </w:r>
      </w:hyperlink>
    </w:p>
    <w:p w14:paraId="4D054CD5" w14:textId="77777777" w:rsidR="008016DC" w:rsidRPr="0052208E" w:rsidRDefault="008016DC" w:rsidP="008016DC">
      <w:pPr>
        <w:pStyle w:val="BodyText"/>
        <w:ind w:left="824" w:right="100" w:hanging="720"/>
        <w:jc w:val="both"/>
        <w:rPr>
          <w:color w:val="000000" w:themeColor="text1"/>
          <w:lang w:val="en-US"/>
        </w:rPr>
      </w:pPr>
      <w:r w:rsidRPr="0052208E">
        <w:rPr>
          <w:color w:val="000000" w:themeColor="text1"/>
          <w:lang w:val="en-US"/>
        </w:rPr>
        <w:t>Platzman ES, Tapirdamaz C, Sanver M (1998) Neogene anticlockwise rotation of central Anatolia (Turkey): preliminary palaeomagnetic and geochronological results. Tectonophysics 299: 175- 189.</w:t>
      </w:r>
      <w:r w:rsidRPr="0052208E">
        <w:rPr>
          <w:color w:val="000000" w:themeColor="text1"/>
          <w:spacing w:val="-1"/>
          <w:lang w:val="en-US"/>
        </w:rPr>
        <w:t xml:space="preserve"> </w:t>
      </w:r>
      <w:r w:rsidRPr="0052208E">
        <w:rPr>
          <w:color w:val="000000" w:themeColor="text1"/>
          <w:lang w:val="en-US"/>
        </w:rPr>
        <w:t>https://doi.org/10.1016/S0040-1951(98)00204-2.</w:t>
      </w:r>
    </w:p>
    <w:p w14:paraId="5F616AF5" w14:textId="77777777" w:rsidR="008016DC" w:rsidRPr="0052208E" w:rsidRDefault="008016DC" w:rsidP="008016DC">
      <w:pPr>
        <w:pStyle w:val="BodyText"/>
        <w:ind w:left="824" w:right="100" w:hanging="720"/>
        <w:jc w:val="both"/>
        <w:rPr>
          <w:color w:val="000000" w:themeColor="text1"/>
          <w:lang w:val="en-US"/>
        </w:rPr>
      </w:pPr>
      <w:r w:rsidRPr="0052208E">
        <w:rPr>
          <w:color w:val="000000" w:themeColor="text1"/>
          <w:lang w:val="en-US"/>
        </w:rPr>
        <w:t>Reid MR, Delph JR, Cosca MA, Schleiffarth WK, Kuşku (2019) Melt equilibration depths as sensor of lithospheric thickness during Eurasia-Arabia collision and the uplift of the Anatolian Plateau. Geology 47:943-947.</w:t>
      </w:r>
      <w:r w:rsidRPr="0052208E">
        <w:rPr>
          <w:color w:val="000000" w:themeColor="text1"/>
          <w:spacing w:val="-2"/>
          <w:lang w:val="en-US"/>
        </w:rPr>
        <w:t xml:space="preserve"> </w:t>
      </w:r>
      <w:hyperlink r:id="rId15">
        <w:r w:rsidRPr="0052208E">
          <w:rPr>
            <w:color w:val="000000" w:themeColor="text1"/>
            <w:lang w:val="en-US"/>
          </w:rPr>
          <w:t>http://doi.org/10.1130/G46420.1</w:t>
        </w:r>
      </w:hyperlink>
    </w:p>
    <w:p w14:paraId="37512234" w14:textId="77777777" w:rsidR="008016DC" w:rsidRPr="0052208E" w:rsidRDefault="008016DC" w:rsidP="008016DC">
      <w:pPr>
        <w:pStyle w:val="BodyText"/>
        <w:ind w:left="824" w:right="100" w:hanging="720"/>
        <w:jc w:val="both"/>
        <w:rPr>
          <w:color w:val="000000" w:themeColor="text1"/>
          <w:lang w:val="en-US"/>
        </w:rPr>
      </w:pPr>
      <w:r w:rsidRPr="0052208E">
        <w:rPr>
          <w:color w:val="000000" w:themeColor="text1"/>
          <w:lang w:val="en-US"/>
        </w:rPr>
        <w:t>Sisson TW (1994). Hornblende-Melt Trace-Element Partitioning Measured by Ion Microprobe. Chem Geol 117(1-4): 331-344. https://doi: 10.1016/0009-2541(94)90135-X.</w:t>
      </w:r>
    </w:p>
    <w:p w14:paraId="3E99FFA1" w14:textId="77777777" w:rsidR="008016DC" w:rsidRPr="0052208E" w:rsidRDefault="008016DC" w:rsidP="008016DC">
      <w:pPr>
        <w:pStyle w:val="BodyText"/>
        <w:ind w:left="824" w:right="101" w:hanging="720"/>
        <w:jc w:val="both"/>
        <w:rPr>
          <w:color w:val="000000" w:themeColor="text1"/>
          <w:lang w:val="en-US"/>
        </w:rPr>
      </w:pPr>
      <w:r w:rsidRPr="0052208E">
        <w:rPr>
          <w:color w:val="000000" w:themeColor="text1"/>
          <w:lang w:val="en-US"/>
        </w:rPr>
        <w:t>Steiger</w:t>
      </w:r>
      <w:r w:rsidRPr="0052208E">
        <w:rPr>
          <w:color w:val="000000" w:themeColor="text1"/>
          <w:spacing w:val="-10"/>
          <w:lang w:val="en-US"/>
        </w:rPr>
        <w:t xml:space="preserve"> </w:t>
      </w:r>
      <w:r w:rsidRPr="0052208E">
        <w:rPr>
          <w:color w:val="000000" w:themeColor="text1"/>
          <w:lang w:val="en-US"/>
        </w:rPr>
        <w:t>KH,</w:t>
      </w:r>
      <w:r w:rsidRPr="0052208E">
        <w:rPr>
          <w:color w:val="000000" w:themeColor="text1"/>
          <w:spacing w:val="-9"/>
          <w:lang w:val="en-US"/>
        </w:rPr>
        <w:t xml:space="preserve"> </w:t>
      </w:r>
      <w:r w:rsidRPr="0052208E">
        <w:rPr>
          <w:color w:val="000000" w:themeColor="text1"/>
          <w:lang w:val="en-US"/>
        </w:rPr>
        <w:t>Jäger</w:t>
      </w:r>
      <w:r w:rsidRPr="0052208E">
        <w:rPr>
          <w:color w:val="000000" w:themeColor="text1"/>
          <w:spacing w:val="-9"/>
          <w:lang w:val="en-US"/>
        </w:rPr>
        <w:t xml:space="preserve"> </w:t>
      </w:r>
      <w:r w:rsidRPr="0052208E">
        <w:rPr>
          <w:color w:val="000000" w:themeColor="text1"/>
          <w:lang w:val="en-US"/>
        </w:rPr>
        <w:t>E</w:t>
      </w:r>
      <w:r w:rsidRPr="0052208E">
        <w:rPr>
          <w:color w:val="000000" w:themeColor="text1"/>
          <w:spacing w:val="-9"/>
          <w:lang w:val="en-US"/>
        </w:rPr>
        <w:t xml:space="preserve"> </w:t>
      </w:r>
      <w:r w:rsidRPr="0052208E">
        <w:rPr>
          <w:color w:val="000000" w:themeColor="text1"/>
          <w:lang w:val="en-US"/>
        </w:rPr>
        <w:t>(1977)</w:t>
      </w:r>
      <w:r w:rsidRPr="0052208E">
        <w:rPr>
          <w:color w:val="000000" w:themeColor="text1"/>
          <w:spacing w:val="-9"/>
          <w:lang w:val="en-US"/>
        </w:rPr>
        <w:t xml:space="preserve"> </w:t>
      </w:r>
      <w:r w:rsidRPr="0052208E">
        <w:rPr>
          <w:color w:val="000000" w:themeColor="text1"/>
          <w:lang w:val="en-US"/>
        </w:rPr>
        <w:t>Subcommission</w:t>
      </w:r>
      <w:r w:rsidRPr="0052208E">
        <w:rPr>
          <w:color w:val="000000" w:themeColor="text1"/>
          <w:spacing w:val="-9"/>
          <w:lang w:val="en-US"/>
        </w:rPr>
        <w:t xml:space="preserve"> </w:t>
      </w:r>
      <w:r w:rsidRPr="0052208E">
        <w:rPr>
          <w:color w:val="000000" w:themeColor="text1"/>
          <w:lang w:val="en-US"/>
        </w:rPr>
        <w:t>on</w:t>
      </w:r>
      <w:r w:rsidRPr="0052208E">
        <w:rPr>
          <w:color w:val="000000" w:themeColor="text1"/>
          <w:spacing w:val="-9"/>
          <w:lang w:val="en-US"/>
        </w:rPr>
        <w:t xml:space="preserve"> </w:t>
      </w:r>
      <w:r w:rsidRPr="0052208E">
        <w:rPr>
          <w:color w:val="000000" w:themeColor="text1"/>
          <w:lang w:val="en-US"/>
        </w:rPr>
        <w:t>geochronology:</w:t>
      </w:r>
      <w:r w:rsidRPr="0052208E">
        <w:rPr>
          <w:color w:val="000000" w:themeColor="text1"/>
          <w:spacing w:val="-9"/>
          <w:lang w:val="en-US"/>
        </w:rPr>
        <w:t xml:space="preserve"> </w:t>
      </w:r>
      <w:r w:rsidRPr="0052208E">
        <w:rPr>
          <w:color w:val="000000" w:themeColor="text1"/>
          <w:lang w:val="en-US"/>
        </w:rPr>
        <w:t>Convention</w:t>
      </w:r>
      <w:r w:rsidRPr="0052208E">
        <w:rPr>
          <w:color w:val="000000" w:themeColor="text1"/>
          <w:spacing w:val="-9"/>
          <w:lang w:val="en-US"/>
        </w:rPr>
        <w:t xml:space="preserve"> </w:t>
      </w:r>
      <w:r w:rsidRPr="0052208E">
        <w:rPr>
          <w:color w:val="000000" w:themeColor="text1"/>
          <w:lang w:val="en-US"/>
        </w:rPr>
        <w:t>on</w:t>
      </w:r>
      <w:r w:rsidRPr="0052208E">
        <w:rPr>
          <w:color w:val="000000" w:themeColor="text1"/>
          <w:spacing w:val="-10"/>
          <w:lang w:val="en-US"/>
        </w:rPr>
        <w:t xml:space="preserve"> </w:t>
      </w:r>
      <w:r w:rsidRPr="0052208E">
        <w:rPr>
          <w:color w:val="000000" w:themeColor="text1"/>
          <w:lang w:val="en-US"/>
        </w:rPr>
        <w:t>the</w:t>
      </w:r>
      <w:r w:rsidRPr="0052208E">
        <w:rPr>
          <w:color w:val="000000" w:themeColor="text1"/>
          <w:spacing w:val="-9"/>
          <w:lang w:val="en-US"/>
        </w:rPr>
        <w:t xml:space="preserve"> </w:t>
      </w:r>
      <w:r w:rsidRPr="0052208E">
        <w:rPr>
          <w:color w:val="000000" w:themeColor="text1"/>
          <w:lang w:val="en-US"/>
        </w:rPr>
        <w:t>use</w:t>
      </w:r>
      <w:r w:rsidRPr="0052208E">
        <w:rPr>
          <w:color w:val="000000" w:themeColor="text1"/>
          <w:spacing w:val="-9"/>
          <w:lang w:val="en-US"/>
        </w:rPr>
        <w:t xml:space="preserve"> </w:t>
      </w:r>
      <w:r w:rsidRPr="0052208E">
        <w:rPr>
          <w:color w:val="000000" w:themeColor="text1"/>
          <w:lang w:val="en-US"/>
        </w:rPr>
        <w:t>of</w:t>
      </w:r>
      <w:r w:rsidRPr="0052208E">
        <w:rPr>
          <w:color w:val="000000" w:themeColor="text1"/>
          <w:spacing w:val="-9"/>
          <w:lang w:val="en-US"/>
        </w:rPr>
        <w:t xml:space="preserve"> </w:t>
      </w:r>
      <w:r w:rsidRPr="0052208E">
        <w:rPr>
          <w:color w:val="000000" w:themeColor="text1"/>
          <w:lang w:val="en-US"/>
        </w:rPr>
        <w:t>decay</w:t>
      </w:r>
      <w:r w:rsidRPr="0052208E">
        <w:rPr>
          <w:color w:val="000000" w:themeColor="text1"/>
          <w:spacing w:val="-9"/>
          <w:lang w:val="en-US"/>
        </w:rPr>
        <w:t xml:space="preserve"> </w:t>
      </w:r>
      <w:r w:rsidRPr="0052208E">
        <w:rPr>
          <w:color w:val="000000" w:themeColor="text1"/>
          <w:lang w:val="en-US"/>
        </w:rPr>
        <w:t>constants in geo- and cosmochronology. Earth Planet Sci Lett 36: 359–62. https://doi.org/10.1016/0012-821X(77)90060-7</w:t>
      </w:r>
      <w:r w:rsidRPr="0052208E" w:rsidDel="00DF5C42">
        <w:rPr>
          <w:color w:val="000000" w:themeColor="text1"/>
          <w:lang w:val="en-US"/>
        </w:rPr>
        <w:t xml:space="preserve"> </w:t>
      </w:r>
    </w:p>
    <w:p w14:paraId="3FB79C9E" w14:textId="6BE33F00" w:rsidR="00C103D9" w:rsidRPr="0052208E" w:rsidRDefault="008016DC" w:rsidP="008016DC">
      <w:pPr>
        <w:pStyle w:val="BodyText"/>
        <w:ind w:left="824" w:right="101" w:hanging="720"/>
        <w:jc w:val="both"/>
        <w:rPr>
          <w:color w:val="000000" w:themeColor="text1"/>
          <w:lang w:val="en-US"/>
        </w:rPr>
      </w:pPr>
      <w:r w:rsidRPr="0052208E">
        <w:rPr>
          <w:color w:val="000000" w:themeColor="text1"/>
          <w:lang w:val="en-US"/>
        </w:rPr>
        <w:t>Todt W, Cliff RA, Hanser A, Hofmann AW (1993) Re-Calibration of NBS Lead Standards using a 202Pb -205Pb Double Spike. Terra Abstracts 5(1): 396.</w:t>
      </w:r>
    </w:p>
    <w:sectPr w:rsidR="00C103D9" w:rsidRPr="0052208E">
      <w:pgSz w:w="12240" w:h="15840"/>
      <w:pgMar w:top="1500" w:right="1020" w:bottom="960" w:left="1040" w:header="855" w:footer="7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4D540" w14:textId="77777777" w:rsidR="00420C08" w:rsidRDefault="00420C08">
      <w:r>
        <w:separator/>
      </w:r>
    </w:p>
  </w:endnote>
  <w:endnote w:type="continuationSeparator" w:id="0">
    <w:p w14:paraId="22A89FAD" w14:textId="77777777" w:rsidR="00420C08" w:rsidRDefault="0042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01816" w14:textId="77777777" w:rsidR="00C103D9" w:rsidRDefault="00991381">
    <w:pPr>
      <w:pStyle w:val="BodyText"/>
      <w:spacing w:line="14" w:lineRule="auto"/>
      <w:rPr>
        <w:sz w:val="20"/>
      </w:rPr>
    </w:pPr>
    <w:r>
      <w:rPr>
        <w:noProof/>
        <w:lang w:val="en-US"/>
      </w:rPr>
      <mc:AlternateContent>
        <mc:Choice Requires="wps">
          <w:drawing>
            <wp:anchor distT="0" distB="0" distL="114300" distR="114300" simplePos="0" relativeHeight="487467520" behindDoc="1" locked="0" layoutInCell="1" allowOverlap="1" wp14:anchorId="077B423C" wp14:editId="1EA8A37C">
              <wp:simplePos x="0" y="0"/>
              <wp:positionH relativeFrom="page">
                <wp:posOffset>6878955</wp:posOffset>
              </wp:positionH>
              <wp:positionV relativeFrom="page">
                <wp:posOffset>9425940</wp:posOffset>
              </wp:positionV>
              <wp:extent cx="217805" cy="1968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EFC2" w14:textId="77777777" w:rsidR="00C103D9" w:rsidRDefault="00D938B9">
                          <w:pPr>
                            <w:spacing w:before="20"/>
                            <w:ind w:left="60"/>
                          </w:pPr>
                          <w:r>
                            <w:fldChar w:fldCharType="begin"/>
                          </w:r>
                          <w:r>
                            <w:instrText xml:space="preserve"> PAGE </w:instrText>
                          </w:r>
                          <w:r>
                            <w:fldChar w:fldCharType="separate"/>
                          </w:r>
                          <w:r w:rsidR="006A7AD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B423C" id="_x0000_t202" coordsize="21600,21600" o:spt="202" path="m,l,21600r21600,l21600,xe">
              <v:stroke joinstyle="miter"/>
              <v:path gradientshapeok="t" o:connecttype="rect"/>
            </v:shapetype>
            <v:shape id="Text Box 1" o:spid="_x0000_s1027" type="#_x0000_t202" style="position:absolute;margin-left:541.65pt;margin-top:742.2pt;width:17.15pt;height:15.5pt;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" filled="f" stroked="f">
              <v:textbox inset="0,0,0,0">
                <w:txbxContent>
                  <w:p w14:paraId="1256EFC2" w14:textId="77777777" w:rsidR="00C103D9" w:rsidRDefault="00D938B9">
                    <w:pPr>
                      <w:spacing w:before="20"/>
                      <w:ind w:left="60"/>
                    </w:pPr>
                    <w:r>
                      <w:fldChar w:fldCharType="begin"/>
                    </w:r>
                    <w:r>
                      <w:instrText xml:space="preserve"> PAGE </w:instrText>
                    </w:r>
                    <w:r>
                      <w:fldChar w:fldCharType="separate"/>
                    </w:r>
                    <w:r w:rsidR="006A7AD0">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948ED" w14:textId="77777777" w:rsidR="00420C08" w:rsidRDefault="00420C08">
      <w:r>
        <w:separator/>
      </w:r>
    </w:p>
  </w:footnote>
  <w:footnote w:type="continuationSeparator" w:id="0">
    <w:p w14:paraId="711BB23A" w14:textId="77777777" w:rsidR="00420C08" w:rsidRDefault="00420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E6EB6" w14:textId="77777777" w:rsidR="00C103D9" w:rsidRDefault="00991381">
    <w:pPr>
      <w:pStyle w:val="BodyText"/>
      <w:spacing w:line="14" w:lineRule="auto"/>
      <w:rPr>
        <w:sz w:val="20"/>
      </w:rPr>
    </w:pPr>
    <w:r>
      <w:rPr>
        <w:noProof/>
        <w:lang w:val="en-US"/>
      </w:rPr>
      <mc:AlternateContent>
        <mc:Choice Requires="wps">
          <w:drawing>
            <wp:anchor distT="0" distB="0" distL="114300" distR="114300" simplePos="0" relativeHeight="487467008" behindDoc="1" locked="0" layoutInCell="1" allowOverlap="1" wp14:anchorId="2B0ECA91" wp14:editId="3B212C1D">
              <wp:simplePos x="0" y="0"/>
              <wp:positionH relativeFrom="page">
                <wp:posOffset>2583543</wp:posOffset>
              </wp:positionH>
              <wp:positionV relativeFrom="page">
                <wp:posOffset>537028</wp:posOffset>
              </wp:positionV>
              <wp:extent cx="3036842" cy="265611"/>
              <wp:effectExtent l="0" t="0" r="11430"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842" cy="265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9E052" w14:textId="3B84B39A" w:rsidR="00C103D9" w:rsidRDefault="00D938B9">
                          <w:pPr>
                            <w:spacing w:before="18"/>
                            <w:ind w:left="20"/>
                            <w:rPr>
                              <w:b/>
                              <w:sz w:val="28"/>
                            </w:rPr>
                          </w:pPr>
                          <w:r>
                            <w:rPr>
                              <w:b/>
                              <w:color w:val="0070C0"/>
                              <w:sz w:val="28"/>
                            </w:rPr>
                            <w:t>Electronic Supplementary Material</w:t>
                          </w:r>
                          <w:r w:rsidR="00402383">
                            <w:rPr>
                              <w:b/>
                              <w:color w:val="0070C0"/>
                              <w:sz w:val="28"/>
                            </w:rPr>
                            <w:t xml:space="preserve"> </w:t>
                          </w:r>
                          <w:r w:rsidR="003E2CF0">
                            <w:rPr>
                              <w:b/>
                              <w:color w:val="0070C0"/>
                              <w:sz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2B0ECA91" id="_x0000_t202" coordsize="21600,21600" o:spt="202" path="m0,0l0,21600,21600,21600,21600,0xe">
              <v:stroke joinstyle="miter"/>
              <v:path gradientshapeok="t" o:connecttype="rect"/>
            </v:shapetype>
            <v:shape id="Text Box 2" o:spid="_x0000_s1026" type="#_x0000_t202" style="position:absolute;margin-left:203.45pt;margin-top:42.3pt;width:239.1pt;height:20.9pt;z-index:-1584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" filled="f" stroked="f">
              <v:textbox inset="0,0,0,0">
                <w:txbxContent>
                  <w:p w14:paraId="47D9E052" w14:textId="3B84B39A" w:rsidR="00C103D9" w:rsidRDefault="00D938B9">
                    <w:pPr>
                      <w:spacing w:before="18"/>
                      <w:ind w:left="20"/>
                      <w:rPr>
                        <w:b/>
                        <w:sz w:val="28"/>
                      </w:rPr>
                    </w:pPr>
                    <w:r>
                      <w:rPr>
                        <w:b/>
                        <w:color w:val="0070C0"/>
                        <w:sz w:val="28"/>
                      </w:rPr>
                      <w:t>Electronic Supplementary Material</w:t>
                    </w:r>
                    <w:r w:rsidR="00402383">
                      <w:rPr>
                        <w:b/>
                        <w:color w:val="0070C0"/>
                        <w:sz w:val="28"/>
                      </w:rPr>
                      <w:t xml:space="preserve"> </w:t>
                    </w:r>
                    <w:r w:rsidR="003E2CF0">
                      <w:rPr>
                        <w:b/>
                        <w:color w:val="0070C0"/>
                        <w:sz w:val="28"/>
                      </w:rPr>
                      <w:t>1</w:t>
                    </w:r>
                  </w:p>
                </w:txbxContent>
              </v:textbox>
              <w10:wrap anchorx="page" anchory="page"/>
            </v:shape>
          </w:pict>
        </mc:Fallback>
      </mc:AlternateContent>
    </w:r>
    <w:r w:rsidR="000500E4">
      <w:rPr>
        <w:sz w:val="20"/>
      </w:rPr>
      <w:t xml:space="preserve">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D2F3B"/>
    <w:multiLevelType w:val="hybridMultilevel"/>
    <w:tmpl w:val="A3BC156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70C4A76"/>
    <w:multiLevelType w:val="hybridMultilevel"/>
    <w:tmpl w:val="AD2039EE"/>
    <w:lvl w:ilvl="0" w:tplc="DB027738">
      <w:start w:val="1"/>
      <w:numFmt w:val="decimal"/>
      <w:lvlText w:val="%1)"/>
      <w:lvlJc w:val="left"/>
      <w:pPr>
        <w:ind w:left="388" w:hanging="284"/>
        <w:jc w:val="left"/>
      </w:pPr>
      <w:rPr>
        <w:rFonts w:ascii="Calibri" w:eastAsia="Calibri" w:hAnsi="Calibri" w:cs="Calibri" w:hint="default"/>
        <w:i/>
        <w:spacing w:val="-19"/>
        <w:w w:val="100"/>
        <w:sz w:val="24"/>
        <w:szCs w:val="24"/>
        <w:lang w:val="it-IT" w:eastAsia="en-US" w:bidi="ar-SA"/>
      </w:rPr>
    </w:lvl>
    <w:lvl w:ilvl="1" w:tplc="157A2F30">
      <w:numFmt w:val="bullet"/>
      <w:lvlText w:val="•"/>
      <w:lvlJc w:val="left"/>
      <w:pPr>
        <w:ind w:left="1360" w:hanging="284"/>
      </w:pPr>
      <w:rPr>
        <w:rFonts w:hint="default"/>
        <w:lang w:val="it-IT" w:eastAsia="en-US" w:bidi="ar-SA"/>
      </w:rPr>
    </w:lvl>
    <w:lvl w:ilvl="2" w:tplc="A0F08BD8">
      <w:numFmt w:val="bullet"/>
      <w:lvlText w:val="•"/>
      <w:lvlJc w:val="left"/>
      <w:pPr>
        <w:ind w:left="2340" w:hanging="284"/>
      </w:pPr>
      <w:rPr>
        <w:rFonts w:hint="default"/>
        <w:lang w:val="it-IT" w:eastAsia="en-US" w:bidi="ar-SA"/>
      </w:rPr>
    </w:lvl>
    <w:lvl w:ilvl="3" w:tplc="6EC05CA6">
      <w:numFmt w:val="bullet"/>
      <w:lvlText w:val="•"/>
      <w:lvlJc w:val="left"/>
      <w:pPr>
        <w:ind w:left="3320" w:hanging="284"/>
      </w:pPr>
      <w:rPr>
        <w:rFonts w:hint="default"/>
        <w:lang w:val="it-IT" w:eastAsia="en-US" w:bidi="ar-SA"/>
      </w:rPr>
    </w:lvl>
    <w:lvl w:ilvl="4" w:tplc="D8408E48">
      <w:numFmt w:val="bullet"/>
      <w:lvlText w:val="•"/>
      <w:lvlJc w:val="left"/>
      <w:pPr>
        <w:ind w:left="4300" w:hanging="284"/>
      </w:pPr>
      <w:rPr>
        <w:rFonts w:hint="default"/>
        <w:lang w:val="it-IT" w:eastAsia="en-US" w:bidi="ar-SA"/>
      </w:rPr>
    </w:lvl>
    <w:lvl w:ilvl="5" w:tplc="083C2FA8">
      <w:numFmt w:val="bullet"/>
      <w:lvlText w:val="•"/>
      <w:lvlJc w:val="left"/>
      <w:pPr>
        <w:ind w:left="5280" w:hanging="284"/>
      </w:pPr>
      <w:rPr>
        <w:rFonts w:hint="default"/>
        <w:lang w:val="it-IT" w:eastAsia="en-US" w:bidi="ar-SA"/>
      </w:rPr>
    </w:lvl>
    <w:lvl w:ilvl="6" w:tplc="CC40703E">
      <w:numFmt w:val="bullet"/>
      <w:lvlText w:val="•"/>
      <w:lvlJc w:val="left"/>
      <w:pPr>
        <w:ind w:left="6260" w:hanging="284"/>
      </w:pPr>
      <w:rPr>
        <w:rFonts w:hint="default"/>
        <w:lang w:val="it-IT" w:eastAsia="en-US" w:bidi="ar-SA"/>
      </w:rPr>
    </w:lvl>
    <w:lvl w:ilvl="7" w:tplc="8B4C851A">
      <w:numFmt w:val="bullet"/>
      <w:lvlText w:val="•"/>
      <w:lvlJc w:val="left"/>
      <w:pPr>
        <w:ind w:left="7240" w:hanging="284"/>
      </w:pPr>
      <w:rPr>
        <w:rFonts w:hint="default"/>
        <w:lang w:val="it-IT" w:eastAsia="en-US" w:bidi="ar-SA"/>
      </w:rPr>
    </w:lvl>
    <w:lvl w:ilvl="8" w:tplc="CE30B6EC">
      <w:numFmt w:val="bullet"/>
      <w:lvlText w:val="•"/>
      <w:lvlJc w:val="left"/>
      <w:pPr>
        <w:ind w:left="8220" w:hanging="284"/>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3D9"/>
    <w:rsid w:val="00015405"/>
    <w:rsid w:val="000500E4"/>
    <w:rsid w:val="000F7C73"/>
    <w:rsid w:val="001341DC"/>
    <w:rsid w:val="00135453"/>
    <w:rsid w:val="00175C40"/>
    <w:rsid w:val="001E02F8"/>
    <w:rsid w:val="002632E5"/>
    <w:rsid w:val="00286A49"/>
    <w:rsid w:val="002F2192"/>
    <w:rsid w:val="002F4FA1"/>
    <w:rsid w:val="00307B30"/>
    <w:rsid w:val="00363F8E"/>
    <w:rsid w:val="003E2CF0"/>
    <w:rsid w:val="00402383"/>
    <w:rsid w:val="004024C8"/>
    <w:rsid w:val="00420C08"/>
    <w:rsid w:val="00427633"/>
    <w:rsid w:val="00431FEF"/>
    <w:rsid w:val="00432C3A"/>
    <w:rsid w:val="00437227"/>
    <w:rsid w:val="004F6600"/>
    <w:rsid w:val="0052208E"/>
    <w:rsid w:val="00555E23"/>
    <w:rsid w:val="005B4D82"/>
    <w:rsid w:val="005B58D9"/>
    <w:rsid w:val="006051EC"/>
    <w:rsid w:val="00642BB6"/>
    <w:rsid w:val="006A7AD0"/>
    <w:rsid w:val="006C686E"/>
    <w:rsid w:val="00717F44"/>
    <w:rsid w:val="007F0763"/>
    <w:rsid w:val="007F12B2"/>
    <w:rsid w:val="008016DC"/>
    <w:rsid w:val="0083729B"/>
    <w:rsid w:val="00862D8F"/>
    <w:rsid w:val="00875EF1"/>
    <w:rsid w:val="00896690"/>
    <w:rsid w:val="00991381"/>
    <w:rsid w:val="009D29BF"/>
    <w:rsid w:val="009D6CC0"/>
    <w:rsid w:val="00A44925"/>
    <w:rsid w:val="00A83CC7"/>
    <w:rsid w:val="00AB57A3"/>
    <w:rsid w:val="00AC49D8"/>
    <w:rsid w:val="00BF76C8"/>
    <w:rsid w:val="00C103D9"/>
    <w:rsid w:val="00C5491C"/>
    <w:rsid w:val="00C56E4F"/>
    <w:rsid w:val="00C777D6"/>
    <w:rsid w:val="00CF1BC5"/>
    <w:rsid w:val="00D37E4A"/>
    <w:rsid w:val="00D63D30"/>
    <w:rsid w:val="00D67F83"/>
    <w:rsid w:val="00D938B9"/>
    <w:rsid w:val="00F176B7"/>
    <w:rsid w:val="00F728BE"/>
    <w:rsid w:val="00F765BD"/>
    <w:rsid w:val="00F91271"/>
    <w:rsid w:val="00F95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64922A"/>
  <w15:docId w15:val="{8DDF5B61-FDA2-48B4-9513-2423A2EC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it-IT"/>
    </w:rPr>
  </w:style>
  <w:style w:type="paragraph" w:styleId="Heading1">
    <w:name w:val="heading 1"/>
    <w:basedOn w:val="Normal"/>
    <w:uiPriority w:val="1"/>
    <w:qFormat/>
    <w:pPr>
      <w:ind w:left="10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8"/>
      <w:ind w:left="20"/>
    </w:pPr>
    <w:rPr>
      <w:b/>
      <w:bCs/>
      <w:sz w:val="28"/>
      <w:szCs w:val="28"/>
    </w:rPr>
  </w:style>
  <w:style w:type="paragraph" w:styleId="ListParagraph">
    <w:name w:val="List Paragraph"/>
    <w:basedOn w:val="Normal"/>
    <w:uiPriority w:val="34"/>
    <w:qFormat/>
    <w:pPr>
      <w:ind w:left="388" w:right="135" w:hanging="284"/>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024C8"/>
    <w:rPr>
      <w:color w:val="0000FF" w:themeColor="hyperlink"/>
      <w:u w:val="single"/>
    </w:rPr>
  </w:style>
  <w:style w:type="paragraph" w:styleId="BalloonText">
    <w:name w:val="Balloon Text"/>
    <w:basedOn w:val="Normal"/>
    <w:link w:val="BalloonTextChar"/>
    <w:uiPriority w:val="99"/>
    <w:semiHidden/>
    <w:unhideWhenUsed/>
    <w:rsid w:val="004372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227"/>
    <w:rPr>
      <w:rFonts w:ascii="Segoe UI" w:eastAsia="Calibri" w:hAnsi="Segoe UI" w:cs="Segoe UI"/>
      <w:sz w:val="18"/>
      <w:szCs w:val="18"/>
      <w:lang w:val="it-IT"/>
    </w:rPr>
  </w:style>
  <w:style w:type="paragraph" w:styleId="Header">
    <w:name w:val="header"/>
    <w:basedOn w:val="Normal"/>
    <w:link w:val="HeaderChar"/>
    <w:uiPriority w:val="99"/>
    <w:unhideWhenUsed/>
    <w:rsid w:val="000500E4"/>
    <w:pPr>
      <w:tabs>
        <w:tab w:val="center" w:pos="4986"/>
        <w:tab w:val="right" w:pos="9972"/>
      </w:tabs>
    </w:pPr>
  </w:style>
  <w:style w:type="character" w:customStyle="1" w:styleId="HeaderChar">
    <w:name w:val="Header Char"/>
    <w:basedOn w:val="DefaultParagraphFont"/>
    <w:link w:val="Header"/>
    <w:uiPriority w:val="99"/>
    <w:rsid w:val="000500E4"/>
    <w:rPr>
      <w:rFonts w:ascii="Calibri" w:eastAsia="Calibri" w:hAnsi="Calibri" w:cs="Calibri"/>
      <w:lang w:val="it-IT"/>
    </w:rPr>
  </w:style>
  <w:style w:type="paragraph" w:styleId="Footer">
    <w:name w:val="footer"/>
    <w:basedOn w:val="Normal"/>
    <w:link w:val="FooterChar"/>
    <w:uiPriority w:val="99"/>
    <w:unhideWhenUsed/>
    <w:rsid w:val="000500E4"/>
    <w:pPr>
      <w:tabs>
        <w:tab w:val="center" w:pos="4986"/>
        <w:tab w:val="right" w:pos="9972"/>
      </w:tabs>
    </w:pPr>
  </w:style>
  <w:style w:type="character" w:customStyle="1" w:styleId="FooterChar">
    <w:name w:val="Footer Char"/>
    <w:basedOn w:val="DefaultParagraphFont"/>
    <w:link w:val="Footer"/>
    <w:uiPriority w:val="99"/>
    <w:rsid w:val="000500E4"/>
    <w:rPr>
      <w:rFonts w:ascii="Calibri" w:eastAsia="Calibri" w:hAnsi="Calibri" w:cs="Calibri"/>
      <w:lang w:val="it-IT"/>
    </w:rPr>
  </w:style>
  <w:style w:type="character" w:customStyle="1" w:styleId="BodyTextChar">
    <w:name w:val="Body Text Char"/>
    <w:basedOn w:val="DefaultParagraphFont"/>
    <w:link w:val="BodyText"/>
    <w:uiPriority w:val="1"/>
    <w:rsid w:val="008016DC"/>
    <w:rPr>
      <w:rFonts w:ascii="Calibri" w:eastAsia="Calibri" w:hAnsi="Calibri" w:cs="Calibr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93/petrology/32.5.1021" TargetMode="External"/><Relationship Id="rId3" Type="http://schemas.openxmlformats.org/officeDocument/2006/relationships/settings" Target="settings.xml"/><Relationship Id="rId7" Type="http://schemas.openxmlformats.org/officeDocument/2006/relationships/hyperlink" Target="mailto:sandro.conticelli@unifi.it" TargetMode="External"/><Relationship Id="rId12" Type="http://schemas.openxmlformats.org/officeDocument/2006/relationships/hyperlink" Target="https://doi.org/10.3406/bulmi.1977.715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30/0016-7606(1974)85%3c1785:GFOTKA%3e2.0.CO;2" TargetMode="External"/><Relationship Id="rId5" Type="http://schemas.openxmlformats.org/officeDocument/2006/relationships/footnotes" Target="footnotes.xml"/><Relationship Id="rId15" Type="http://schemas.openxmlformats.org/officeDocument/2006/relationships/hyperlink" Target="http://doi.org/10.1130/G46420.1" TargetMode="External"/><Relationship Id="rId10" Type="http://schemas.openxmlformats.org/officeDocument/2006/relationships/hyperlink" Target="http://doi.org/10.1016/S0024-4937(00)00023-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16/B978-0-08-095975-7.00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2687</Words>
  <Characters>15322</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Microsoft Word - 2020-03-26_IJES_DiGiuseppe+alii_ElectronicSupplementaryMaterial_TXT.docx</vt:lpstr>
    </vt:vector>
  </TitlesOfParts>
  <Company/>
  <LinksUpToDate>false</LinksUpToDate>
  <CharactersWithSpaces>17974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- 2020-03-26_IJES_DiGiuseppe+alii_ElectronicSupplementaryMaterial_TXT.docx</dc:title>
  <dc:creator>Computer</dc:creator>
  <cp:lastModifiedBy>spsfl1</cp:lastModifiedBy>
  <cp:revision>11</cp:revision>
  <dcterms:created xsi:type="dcterms:W3CDTF">2021-01-09T15:43:00Z</dcterms:created>
  <dcterms:modified xsi:type="dcterms:W3CDTF">2021-02-03T13:52:00Z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2020-04-16T00:00:00Z</vt:filetime>
  </property>
  <property fmtid="{D5CDD505-2E9C-101B-9397-08002B2CF9AE}" pid="3" name="Creator">
    <vt:lpwstr>Word</vt:lpwstr>
  </property>
  <property fmtid="{D5CDD505-2E9C-101B-9397-08002B2CF9AE}" pid="4" name="LastSaved">
    <vt:filetime>2020-07-07T00:00:00Z</vt:filetime>
  </property>
</Properties>
</file>