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pacing w:before="0" w:after="280"/>
        <w:rPr>
          <w:u w:val="single"/>
        </w:rPr>
      </w:pPr>
      <w:r>
        <w:rPr>
          <w:rFonts w:ascii="Arial" w:hAnsi="Arial"/>
          <w:b/>
          <w:bCs/>
          <w:u w:val="single"/>
        </w:rPr>
        <w:t>Analytical Methods</w:t>
      </w:r>
    </w:p>
    <w:p>
      <w:pPr>
        <w:pStyle w:val="NormalWeb"/>
        <w:spacing w:before="280" w:after="280"/>
        <w:rPr>
          <w:rFonts w:ascii="Arial" w:hAnsi="Arial"/>
          <w:sz w:val="22"/>
          <w:szCs w:val="22"/>
        </w:rPr>
      </w:pPr>
      <w:r>
        <w:rPr>
          <w:rFonts w:ascii="Arial" w:hAnsi="Arial"/>
          <w:b/>
          <w:bCs/>
          <w:sz w:val="22"/>
          <w:szCs w:val="22"/>
        </w:rPr>
        <w:t>Sample preparation (eastern domain) Technical University of Berlin</w:t>
      </w:r>
    </w:p>
    <w:p>
      <w:pPr>
        <w:pStyle w:val="NormalWeb"/>
        <w:spacing w:before="280" w:after="280"/>
        <w:rPr>
          <w:rFonts w:ascii="Arial" w:hAnsi="Arial"/>
          <w:sz w:val="22"/>
          <w:szCs w:val="22"/>
        </w:rPr>
      </w:pPr>
      <w:r>
        <w:rPr>
          <w:rFonts w:ascii="Arial" w:hAnsi="Arial"/>
          <w:sz w:val="22"/>
          <w:szCs w:val="22"/>
        </w:rPr>
        <w:t>In a first step, any weathering crust and other domains exhibiting signs of secondary alteration were removed from the hand specimen-sized rock samples by cutting with a diamond saw. Selected fresh basalt chips were further reduced to a grain size of less than a few millimeters using a hammer and steel plate on rock chips wrapped in a plastic bags in order to minimize contamination by the steel. Approximately</w:t>
      </w:r>
      <w:r>
        <w:rPr>
          <w:rFonts w:ascii="Arial" w:hAnsi="Arial"/>
          <w:color w:val="000000"/>
          <w:sz w:val="22"/>
          <w:szCs w:val="22"/>
        </w:rPr>
        <w:t xml:space="preserve"> 50 g of </w:t>
      </w:r>
      <w:r>
        <w:rPr>
          <w:rFonts w:ascii="Arial" w:hAnsi="Arial"/>
          <w:sz w:val="22"/>
          <w:szCs w:val="22"/>
        </w:rPr>
        <w:t>small rock fragments were milled in a swing mill with an agate grinding set for a duration of 10-15 minutes. Samples of the eastern-domain marked with a ’*’ in ESM 3 Table 2 were milled with a tungsten carbide grinding set for 5 minutes.</w:t>
      </w:r>
    </w:p>
    <w:p>
      <w:pPr>
        <w:pStyle w:val="NormalWeb"/>
        <w:spacing w:before="280" w:after="280"/>
        <w:rPr>
          <w:rFonts w:ascii="Arial" w:hAnsi="Arial"/>
          <w:sz w:val="22"/>
          <w:szCs w:val="22"/>
        </w:rPr>
      </w:pPr>
      <w:r>
        <w:rPr>
          <w:rFonts w:ascii="Arial" w:hAnsi="Arial"/>
          <w:sz w:val="22"/>
          <w:szCs w:val="22"/>
        </w:rPr>
        <w:t xml:space="preserve">To assess weight loss on ignition, 2 grams of each </w:t>
      </w:r>
      <w:r>
        <w:rPr>
          <w:rFonts w:eastAsia="Times New Roman" w:cs="Times New Roman" w:ascii="Arial" w:hAnsi="Arial"/>
          <w:color w:val="auto"/>
          <w:kern w:val="0"/>
          <w:sz w:val="22"/>
          <w:szCs w:val="22"/>
          <w:lang w:val="en-US" w:eastAsia="de-DE" w:bidi="ar-SA"/>
        </w:rPr>
        <w:t>powdered</w:t>
      </w:r>
      <w:r>
        <w:rPr>
          <w:rFonts w:ascii="Arial" w:hAnsi="Arial"/>
          <w:sz w:val="22"/>
          <w:szCs w:val="22"/>
        </w:rPr>
        <w:t xml:space="preserve"> sample were heated in a ceramic crucible at 1000°C for three hours. The weight was determined before and after annealing, with results provided in the supplementary file (ESM 3 Table 2).</w:t>
      </w:r>
    </w:p>
    <w:p>
      <w:pPr>
        <w:pStyle w:val="NormalWeb"/>
        <w:spacing w:before="280" w:after="280"/>
        <w:rPr>
          <w:rFonts w:ascii="Arial" w:hAnsi="Arial"/>
          <w:sz w:val="22"/>
          <w:szCs w:val="22"/>
        </w:rPr>
      </w:pPr>
      <w:r>
        <w:rPr>
          <w:rFonts w:ascii="Arial" w:hAnsi="Arial"/>
          <w:b/>
          <w:bCs/>
          <w:sz w:val="22"/>
          <w:szCs w:val="22"/>
        </w:rPr>
        <w:t>Production of fused glass beads for major and trace elemental analysis</w:t>
      </w:r>
    </w:p>
    <w:p>
      <w:pPr>
        <w:pStyle w:val="NormalWeb"/>
        <w:spacing w:before="280" w:after="280"/>
        <w:rPr>
          <w:rFonts w:ascii="Arial" w:hAnsi="Arial"/>
          <w:sz w:val="22"/>
          <w:szCs w:val="22"/>
        </w:rPr>
      </w:pPr>
      <w:r>
        <w:rPr>
          <w:rFonts w:ascii="Arial" w:hAnsi="Arial"/>
          <w:sz w:val="22"/>
          <w:szCs w:val="22"/>
        </w:rPr>
        <w:t>For the fusion process, 0.5 grams of the sample were intimately mixed with 8.5 grams of a flux comprising 66% Li</w:t>
      </w:r>
      <w:r>
        <w:rPr>
          <w:rFonts w:ascii="Arial" w:hAnsi="Arial"/>
          <w:sz w:val="22"/>
          <w:szCs w:val="22"/>
          <w:vertAlign w:val="subscript"/>
        </w:rPr>
        <w:t>2</w:t>
      </w:r>
      <w:r>
        <w:rPr>
          <w:rFonts w:ascii="Arial" w:hAnsi="Arial"/>
          <w:sz w:val="22"/>
          <w:szCs w:val="22"/>
        </w:rPr>
        <w:t>B</w:t>
      </w:r>
      <w:r>
        <w:rPr>
          <w:rFonts w:ascii="Arial" w:hAnsi="Arial"/>
          <w:sz w:val="22"/>
          <w:szCs w:val="22"/>
          <w:vertAlign w:val="subscript"/>
        </w:rPr>
        <w:t>4</w:t>
      </w:r>
      <w:r>
        <w:rPr>
          <w:rFonts w:ascii="Arial" w:hAnsi="Arial"/>
          <w:sz w:val="22"/>
          <w:szCs w:val="22"/>
        </w:rPr>
        <w:t>O</w:t>
      </w:r>
      <w:r>
        <w:rPr>
          <w:rFonts w:ascii="Arial" w:hAnsi="Arial"/>
          <w:sz w:val="22"/>
          <w:szCs w:val="22"/>
          <w:vertAlign w:val="subscript"/>
        </w:rPr>
        <w:t>7</w:t>
      </w:r>
      <w:r>
        <w:rPr>
          <w:rFonts w:ascii="Arial" w:hAnsi="Arial"/>
          <w:sz w:val="22"/>
          <w:szCs w:val="22"/>
        </w:rPr>
        <w:t xml:space="preserve"> and 33% LiBO</w:t>
      </w:r>
      <w:r>
        <w:rPr>
          <w:rFonts w:ascii="Arial" w:hAnsi="Arial"/>
          <w:sz w:val="22"/>
          <w:szCs w:val="22"/>
          <w:vertAlign w:val="subscript"/>
        </w:rPr>
        <w:t>2</w:t>
      </w:r>
      <w:r>
        <w:rPr>
          <w:rFonts w:ascii="Arial" w:hAnsi="Arial"/>
          <w:sz w:val="22"/>
          <w:szCs w:val="22"/>
        </w:rPr>
        <w:t xml:space="preserve">. This mixture was then melted in Pt-crucibles at </w:t>
      </w:r>
      <w:r>
        <w:rPr>
          <w:rFonts w:cs="Arial" w:ascii="Arial" w:hAnsi="Arial"/>
          <w:sz w:val="22"/>
          <w:szCs w:val="22"/>
        </w:rPr>
        <w:t>1200°C, employing a Fluxana</w:t>
      </w:r>
      <w:r>
        <w:rPr>
          <w:rFonts w:eastAsia="Symbol" w:cs="Arial" w:ascii="Arial" w:hAnsi="Arial"/>
          <w:sz w:val="22"/>
          <w:szCs w:val="22"/>
        </w:rPr>
        <w:t></w:t>
      </w:r>
      <w:r>
        <w:rPr>
          <w:rFonts w:cs="Arial" w:ascii="Arial" w:hAnsi="Arial"/>
          <w:sz w:val="22"/>
          <w:szCs w:val="22"/>
        </w:rPr>
        <w:t xml:space="preserve"> apparatus. As part of the quality control, a blank  and a glass bead of the powdered rock reference materials BE-N basalt and AC-E granite (provided by the I</w:t>
      </w:r>
      <w:r>
        <w:rPr>
          <w:rFonts w:cs="Arial" w:ascii="Arial" w:hAnsi="Arial"/>
          <w:color w:val="000000"/>
          <w:sz w:val="22"/>
          <w:szCs w:val="22"/>
          <w:shd w:fill="FFFFFF" w:val="clear"/>
        </w:rPr>
        <w:t>nternational Working Group “Analytical Standards of Minerals, Ores and Rocks” (</w:t>
      </w:r>
      <w:r>
        <w:rPr>
          <w:rFonts w:cs="Arial" w:ascii="Arial" w:hAnsi="Arial"/>
          <w:sz w:val="22"/>
          <w:szCs w:val="22"/>
        </w:rPr>
        <w:t>GIT-IWG) and one glass bead of diorite DR-N (provided by the Association Nationale de la Recherche Technique" (ANRT) were</w:t>
      </w:r>
      <w:r>
        <w:rPr>
          <w:rFonts w:ascii="Arial" w:hAnsi="Arial"/>
          <w:sz w:val="22"/>
          <w:szCs w:val="22"/>
        </w:rPr>
        <w:t xml:space="preserve"> produced to inspect for any potential contamination during the preparation process. The resulting basalt glass beads exhibited a light green color and</w:t>
      </w:r>
      <w:r>
        <w:rPr>
          <w:rFonts w:ascii="Arial" w:hAnsi="Arial"/>
        </w:rPr>
        <w:t xml:space="preserve"> </w:t>
      </w:r>
      <w:r>
        <w:rPr>
          <w:rFonts w:ascii="Arial" w:hAnsi="Arial"/>
          <w:sz w:val="22"/>
          <w:szCs w:val="22"/>
        </w:rPr>
        <w:t>were devoid of inclusions.</w:t>
      </w:r>
    </w:p>
    <w:p>
      <w:pPr>
        <w:pStyle w:val="NormalWeb"/>
        <w:spacing w:before="280" w:after="280"/>
        <w:rPr>
          <w:rFonts w:ascii="Arial" w:hAnsi="Arial"/>
          <w:sz w:val="22"/>
          <w:szCs w:val="22"/>
        </w:rPr>
      </w:pPr>
      <w:r>
        <w:rPr>
          <w:rFonts w:ascii="Arial" w:hAnsi="Arial"/>
          <w:sz w:val="22"/>
          <w:szCs w:val="22"/>
        </w:rPr>
        <w:t>After major element analysis by XRF using a Bruker Tiger S8 (results in ESM 3 Table 2 including secondary standards) the glass beads were crushed and ~0.5 x 0.5 mm sized pieces were embedded in 1-inch epoxy mounts (5-6 samples per mount) and polished using 3 µm diamond suspension during the last polishing step. These samples were used for trace element analyses by LA-ICP-MS (results in ESM 3 Table 2).</w:t>
      </w:r>
    </w:p>
    <w:p>
      <w:pPr>
        <w:pStyle w:val="NormalWeb"/>
        <w:spacing w:before="280" w:after="280"/>
        <w:rPr>
          <w:rFonts w:ascii="Arial" w:hAnsi="Arial"/>
          <w:sz w:val="22"/>
          <w:szCs w:val="22"/>
        </w:rPr>
      </w:pPr>
      <w:r>
        <w:rPr>
          <w:rFonts w:ascii="Arial" w:hAnsi="Arial"/>
          <w:b/>
          <w:bCs/>
          <w:sz w:val="22"/>
          <w:szCs w:val="22"/>
        </w:rPr>
        <w:t>Trace element analyses by laser ablation inductively coupled plasma mass spectrometry (LA-ICP-MS)</w:t>
      </w:r>
    </w:p>
    <w:p>
      <w:pPr>
        <w:pStyle w:val="NormalWeb"/>
        <w:spacing w:before="280" w:after="280"/>
        <w:rPr/>
      </w:pPr>
      <w:r>
        <w:rPr>
          <w:rFonts w:ascii="Arial" w:hAnsi="Arial"/>
          <w:sz w:val="22"/>
          <w:szCs w:val="22"/>
        </w:rPr>
        <w:t xml:space="preserve">Trace element analysis on fragmented fused glass beads is performed at the MAGMA Lab of the Technical University of Berlin using an Agilent 8900 ICP-MS/MS coupled to an Analyte Excite 193 nm excimer Laser (Teledyne Photon Machine). </w:t>
      </w:r>
      <w:r>
        <w:rPr>
          <w:rStyle w:val="S2"/>
          <w:rFonts w:ascii="Arial" w:hAnsi="Arial"/>
          <w:color w:val="211D1E"/>
          <w:sz w:val="22"/>
          <w:szCs w:val="22"/>
        </w:rPr>
        <w:t>Helium is used</w:t>
      </w:r>
      <w:r>
        <w:rPr>
          <w:rStyle w:val="Apple-converted-space"/>
          <w:rFonts w:ascii="Arial" w:hAnsi="Arial"/>
          <w:color w:val="211D1E"/>
          <w:sz w:val="22"/>
          <w:szCs w:val="22"/>
        </w:rPr>
        <w:t xml:space="preserve"> </w:t>
      </w:r>
      <w:r>
        <w:rPr>
          <w:rStyle w:val="S2"/>
          <w:rFonts w:ascii="Arial" w:hAnsi="Arial"/>
          <w:color w:val="211D1E"/>
          <w:sz w:val="22"/>
          <w:szCs w:val="22"/>
        </w:rPr>
        <w:t xml:space="preserve">as a carrier </w:t>
      </w:r>
      <w:r>
        <w:rPr>
          <w:rStyle w:val="S2"/>
          <w:rFonts w:ascii="Arial" w:hAnsi="Arial"/>
          <w:color w:val="211D1E"/>
          <w:sz w:val="22"/>
          <w:szCs w:val="22"/>
          <w:shd w:fill="auto" w:val="clear"/>
        </w:rPr>
        <w:t>gas with a total flow rate of 0.8 l/min (0.5 l/min cell flow, 0.3</w:t>
      </w:r>
      <w:r>
        <w:rPr>
          <w:rStyle w:val="Apple-converted-space"/>
          <w:rFonts w:ascii="Arial" w:hAnsi="Arial"/>
          <w:color w:val="211D1E"/>
          <w:sz w:val="22"/>
          <w:szCs w:val="22"/>
          <w:shd w:fill="auto" w:val="clear"/>
        </w:rPr>
        <w:t xml:space="preserve"> </w:t>
      </w:r>
      <w:r>
        <w:rPr>
          <w:rStyle w:val="S2"/>
          <w:rFonts w:ascii="Arial" w:hAnsi="Arial"/>
          <w:color w:val="211D1E"/>
          <w:sz w:val="22"/>
          <w:szCs w:val="22"/>
          <w:shd w:fill="auto" w:val="clear"/>
        </w:rPr>
        <w:t>l/min cup flow). The Ar nebulizer gas and He carrier gas flows were tuned to achieve m/z = 248/232 ratios of &lt; 0.20</w:t>
      </w:r>
      <w:r>
        <w:rPr>
          <w:rStyle w:val="Apple-converted-space"/>
          <w:rFonts w:ascii="Arial" w:hAnsi="Arial"/>
          <w:color w:val="211D1E"/>
          <w:sz w:val="22"/>
          <w:szCs w:val="22"/>
          <w:shd w:fill="auto" w:val="clear"/>
        </w:rPr>
        <w:t xml:space="preserve"> </w:t>
      </w:r>
      <w:r>
        <w:rPr>
          <w:rStyle w:val="S2"/>
          <w:rFonts w:ascii="Arial" w:hAnsi="Arial"/>
          <w:color w:val="211D1E"/>
          <w:sz w:val="22"/>
          <w:szCs w:val="22"/>
          <w:shd w:fill="auto" w:val="clear"/>
        </w:rPr>
        <w:t xml:space="preserve">% (ThO/Th) and m/z = 232/238 ratios of 100 </w:t>
      </w:r>
      <w:r>
        <w:rPr>
          <w:rStyle w:val="S6"/>
          <w:rFonts w:ascii="Arial" w:hAnsi="Arial"/>
          <w:color w:val="000000"/>
          <w:sz w:val="22"/>
          <w:szCs w:val="22"/>
          <w:shd w:fill="auto" w:val="clear"/>
        </w:rPr>
        <w:t xml:space="preserve">± </w:t>
      </w:r>
      <w:r>
        <w:rPr>
          <w:rStyle w:val="S2"/>
          <w:rFonts w:ascii="Arial" w:hAnsi="Arial"/>
          <w:color w:val="211D1E"/>
          <w:sz w:val="22"/>
          <w:szCs w:val="22"/>
          <w:shd w:fill="auto" w:val="clear"/>
        </w:rPr>
        <w:t xml:space="preserve">1 % (Th/U) while ablating NIST 610 in line scan mode. An automatic </w:t>
      </w:r>
      <w:r>
        <w:rPr>
          <w:rStyle w:val="Apple-converted-space"/>
          <w:rFonts w:ascii="Arial" w:hAnsi="Arial"/>
          <w:color w:val="211D1E"/>
          <w:sz w:val="22"/>
          <w:szCs w:val="22"/>
          <w:shd w:fill="auto" w:val="clear"/>
        </w:rPr>
        <w:t xml:space="preserve">lens </w:t>
      </w:r>
      <w:r>
        <w:rPr>
          <w:rStyle w:val="S2"/>
          <w:rFonts w:ascii="Arial" w:hAnsi="Arial"/>
          <w:color w:val="211D1E"/>
          <w:sz w:val="22"/>
          <w:szCs w:val="22"/>
          <w:shd w:fill="auto" w:val="clear"/>
        </w:rPr>
        <w:t>tune was performed on NIST 610 to maximize sensitivity in the mid</w:t>
      </w:r>
      <w:r>
        <w:rPr>
          <w:rStyle w:val="Apple-converted-space"/>
          <w:rFonts w:ascii="Arial" w:hAnsi="Arial"/>
          <w:color w:val="211D1E"/>
          <w:sz w:val="22"/>
          <w:szCs w:val="22"/>
          <w:shd w:fill="auto" w:val="clear"/>
        </w:rPr>
        <w:t>-</w:t>
      </w:r>
      <w:r>
        <w:rPr>
          <w:rStyle w:val="S2"/>
          <w:rFonts w:ascii="Arial" w:hAnsi="Arial"/>
          <w:color w:val="211D1E"/>
          <w:sz w:val="22"/>
          <w:szCs w:val="22"/>
          <w:shd w:fill="auto" w:val="clear"/>
        </w:rPr>
        <w:t>mass range.</w:t>
      </w:r>
    </w:p>
    <w:p>
      <w:pPr>
        <w:pStyle w:val="Normal"/>
        <w:rPr>
          <w:rFonts w:ascii="Arial" w:hAnsi="Arial"/>
          <w:sz w:val="22"/>
          <w:szCs w:val="22"/>
        </w:rPr>
      </w:pPr>
      <w:r>
        <w:rPr>
          <w:rFonts w:ascii="Arial" w:hAnsi="Arial"/>
          <w:sz w:val="22"/>
          <w:szCs w:val="22"/>
        </w:rPr>
        <w:t>T</w:t>
      </w:r>
      <w:r>
        <w:rPr>
          <w:rFonts w:ascii="Arial" w:hAnsi="Arial"/>
          <w:sz w:val="22"/>
          <w:szCs w:val="22"/>
          <w:shd w:fill="auto" w:val="clear"/>
        </w:rPr>
        <w:t xml:space="preserve">he analyses were conducted in spot mode, involving ablation for 60 seconds with a fluence of 6 J/cm², a spot size of 85 µm, and a repetition rate of 10 Hz. Prior to each analysis, a 30-second gas blank was recorded, and a 60-second wash-out period followed each analysis. Each individual basalt glass bead underwent four replicate analyses. After every 16 analyses, a set of reference materials (RM) was examined. NIST610 and NIST612 (provided by NIST) served as primary calibration standards (multi-standard regression), while basalt BHVO-2G (provided by the United States Geological Survey USGS) and basalt BE-N were used as secondary standards, i.e., they were treated as unknowns. </w:t>
      </w:r>
    </w:p>
    <w:p>
      <w:pPr>
        <w:pStyle w:val="Normal"/>
        <w:rPr>
          <w:rFonts w:ascii="Arial" w:hAnsi="Arial"/>
          <w:sz w:val="22"/>
          <w:szCs w:val="22"/>
        </w:rPr>
      </w:pPr>
      <w:r>
        <w:rPr>
          <w:rFonts w:ascii="Arial" w:hAnsi="Arial"/>
          <w:sz w:val="22"/>
          <w:szCs w:val="22"/>
        </w:rPr>
        <w:t xml:space="preserve">The following isotopes were used for quantification: </w:t>
      </w:r>
      <w:r>
        <w:rPr>
          <w:rFonts w:ascii="Arial" w:hAnsi="Arial"/>
          <w:sz w:val="22"/>
          <w:szCs w:val="22"/>
          <w:vertAlign w:val="superscript"/>
        </w:rPr>
        <w:t>9</w:t>
      </w:r>
      <w:r>
        <w:rPr>
          <w:rFonts w:ascii="Arial" w:hAnsi="Arial"/>
          <w:sz w:val="22"/>
          <w:szCs w:val="22"/>
        </w:rPr>
        <w:t xml:space="preserve">Be, </w:t>
      </w:r>
      <w:r>
        <w:rPr>
          <w:rFonts w:ascii="Arial" w:hAnsi="Arial"/>
          <w:sz w:val="22"/>
          <w:szCs w:val="22"/>
          <w:vertAlign w:val="superscript"/>
        </w:rPr>
        <w:t>31</w:t>
      </w:r>
      <w:r>
        <w:rPr>
          <w:rFonts w:ascii="Arial" w:hAnsi="Arial"/>
          <w:sz w:val="22"/>
          <w:szCs w:val="22"/>
        </w:rPr>
        <w:t xml:space="preserve">P, </w:t>
      </w:r>
      <w:r>
        <w:rPr>
          <w:rFonts w:ascii="Arial" w:hAnsi="Arial"/>
          <w:sz w:val="22"/>
          <w:szCs w:val="22"/>
          <w:vertAlign w:val="superscript"/>
        </w:rPr>
        <w:t>43</w:t>
      </w:r>
      <w:r>
        <w:rPr>
          <w:rFonts w:ascii="Arial" w:hAnsi="Arial"/>
          <w:sz w:val="22"/>
          <w:szCs w:val="22"/>
        </w:rPr>
        <w:t xml:space="preserve">Ca, </w:t>
      </w:r>
      <w:r>
        <w:rPr>
          <w:rFonts w:ascii="Arial" w:hAnsi="Arial"/>
          <w:sz w:val="22"/>
          <w:szCs w:val="22"/>
          <w:vertAlign w:val="superscript"/>
        </w:rPr>
        <w:t>45</w:t>
      </w:r>
      <w:r>
        <w:rPr>
          <w:rFonts w:ascii="Arial" w:hAnsi="Arial"/>
          <w:sz w:val="22"/>
          <w:szCs w:val="22"/>
        </w:rPr>
        <w:t xml:space="preserve">Sc, </w:t>
      </w:r>
      <w:r>
        <w:rPr>
          <w:rFonts w:ascii="Arial" w:hAnsi="Arial"/>
          <w:sz w:val="22"/>
          <w:szCs w:val="22"/>
          <w:vertAlign w:val="superscript"/>
        </w:rPr>
        <w:t>51</w:t>
      </w:r>
      <w:r>
        <w:rPr>
          <w:rFonts w:ascii="Arial" w:hAnsi="Arial"/>
          <w:sz w:val="22"/>
          <w:szCs w:val="22"/>
        </w:rPr>
        <w:t xml:space="preserve">V, </w:t>
      </w:r>
      <w:r>
        <w:rPr>
          <w:rFonts w:ascii="Arial" w:hAnsi="Arial"/>
          <w:sz w:val="22"/>
          <w:szCs w:val="22"/>
          <w:vertAlign w:val="superscript"/>
        </w:rPr>
        <w:t>52</w:t>
      </w:r>
      <w:r>
        <w:rPr>
          <w:rFonts w:ascii="Arial" w:hAnsi="Arial"/>
          <w:sz w:val="22"/>
          <w:szCs w:val="22"/>
        </w:rPr>
        <w:t xml:space="preserve">Cr, </w:t>
      </w:r>
      <w:r>
        <w:rPr>
          <w:rFonts w:ascii="Arial" w:hAnsi="Arial"/>
          <w:sz w:val="22"/>
          <w:szCs w:val="22"/>
          <w:vertAlign w:val="superscript"/>
        </w:rPr>
        <w:t>55</w:t>
      </w:r>
      <w:r>
        <w:rPr>
          <w:rFonts w:ascii="Arial" w:hAnsi="Arial"/>
          <w:sz w:val="22"/>
          <w:szCs w:val="22"/>
        </w:rPr>
        <w:t xml:space="preserve">Mn, </w:t>
      </w:r>
      <w:r>
        <w:rPr>
          <w:rFonts w:ascii="Arial" w:hAnsi="Arial"/>
          <w:sz w:val="22"/>
          <w:szCs w:val="22"/>
          <w:vertAlign w:val="superscript"/>
        </w:rPr>
        <w:t>59</w:t>
      </w:r>
      <w:r>
        <w:rPr>
          <w:rFonts w:ascii="Arial" w:hAnsi="Arial"/>
          <w:sz w:val="22"/>
          <w:szCs w:val="22"/>
        </w:rPr>
        <w:t xml:space="preserve">Co, </w:t>
      </w:r>
      <w:r>
        <w:rPr>
          <w:rFonts w:ascii="Arial" w:hAnsi="Arial"/>
          <w:sz w:val="22"/>
          <w:szCs w:val="22"/>
          <w:vertAlign w:val="superscript"/>
        </w:rPr>
        <w:t>60</w:t>
      </w:r>
      <w:r>
        <w:rPr>
          <w:rFonts w:ascii="Arial" w:hAnsi="Arial"/>
          <w:sz w:val="22"/>
          <w:szCs w:val="22"/>
        </w:rPr>
        <w:t xml:space="preserve">Ni, </w:t>
      </w:r>
      <w:r>
        <w:rPr>
          <w:rFonts w:ascii="Arial" w:hAnsi="Arial"/>
          <w:sz w:val="22"/>
          <w:szCs w:val="22"/>
          <w:vertAlign w:val="superscript"/>
        </w:rPr>
        <w:t>63</w:t>
      </w:r>
      <w:r>
        <w:rPr>
          <w:rFonts w:ascii="Arial" w:hAnsi="Arial"/>
          <w:sz w:val="22"/>
          <w:szCs w:val="22"/>
        </w:rPr>
        <w:t>Cu,</w:t>
      </w:r>
      <w:r>
        <w:rPr>
          <w:rFonts w:ascii="Arial" w:hAnsi="Arial"/>
          <w:sz w:val="22"/>
          <w:szCs w:val="22"/>
          <w:vertAlign w:val="superscript"/>
        </w:rPr>
        <w:t>66</w:t>
      </w:r>
      <w:r>
        <w:rPr>
          <w:rFonts w:ascii="Arial" w:hAnsi="Arial"/>
          <w:sz w:val="22"/>
          <w:szCs w:val="22"/>
        </w:rPr>
        <w:t xml:space="preserve">Zn, </w:t>
      </w:r>
      <w:r>
        <w:rPr>
          <w:rFonts w:ascii="Arial" w:hAnsi="Arial"/>
          <w:sz w:val="22"/>
          <w:szCs w:val="22"/>
          <w:vertAlign w:val="superscript"/>
        </w:rPr>
        <w:t>75</w:t>
      </w:r>
      <w:r>
        <w:rPr>
          <w:rFonts w:ascii="Arial" w:hAnsi="Arial"/>
          <w:sz w:val="22"/>
          <w:szCs w:val="22"/>
        </w:rPr>
        <w:t xml:space="preserve">As, </w:t>
      </w:r>
      <w:r>
        <w:rPr>
          <w:rFonts w:ascii="Arial" w:hAnsi="Arial"/>
          <w:sz w:val="22"/>
          <w:szCs w:val="22"/>
          <w:vertAlign w:val="superscript"/>
        </w:rPr>
        <w:t>85</w:t>
      </w:r>
      <w:r>
        <w:rPr>
          <w:rFonts w:ascii="Arial" w:hAnsi="Arial"/>
          <w:sz w:val="22"/>
          <w:szCs w:val="22"/>
        </w:rPr>
        <w:t xml:space="preserve">Rb, </w:t>
      </w:r>
      <w:r>
        <w:rPr>
          <w:rFonts w:ascii="Arial" w:hAnsi="Arial"/>
          <w:sz w:val="22"/>
          <w:szCs w:val="22"/>
          <w:vertAlign w:val="superscript"/>
        </w:rPr>
        <w:t>88</w:t>
      </w:r>
      <w:r>
        <w:rPr>
          <w:rFonts w:ascii="Arial" w:hAnsi="Arial"/>
          <w:sz w:val="22"/>
          <w:szCs w:val="22"/>
        </w:rPr>
        <w:t xml:space="preserve">Sr, </w:t>
      </w:r>
      <w:r>
        <w:rPr>
          <w:rFonts w:ascii="Arial" w:hAnsi="Arial"/>
          <w:sz w:val="22"/>
          <w:szCs w:val="22"/>
          <w:vertAlign w:val="superscript"/>
        </w:rPr>
        <w:t>89</w:t>
      </w:r>
      <w:r>
        <w:rPr>
          <w:rFonts w:ascii="Arial" w:hAnsi="Arial"/>
          <w:sz w:val="22"/>
          <w:szCs w:val="22"/>
        </w:rPr>
        <w:t xml:space="preserve">Y, </w:t>
      </w:r>
      <w:r>
        <w:rPr>
          <w:rFonts w:ascii="Arial" w:hAnsi="Arial"/>
          <w:sz w:val="22"/>
          <w:szCs w:val="22"/>
          <w:vertAlign w:val="superscript"/>
        </w:rPr>
        <w:t>90</w:t>
      </w:r>
      <w:r>
        <w:rPr>
          <w:rFonts w:ascii="Arial" w:hAnsi="Arial"/>
          <w:sz w:val="22"/>
          <w:szCs w:val="22"/>
        </w:rPr>
        <w:t xml:space="preserve">Zr, </w:t>
      </w:r>
      <w:r>
        <w:rPr>
          <w:rFonts w:ascii="Arial" w:hAnsi="Arial"/>
          <w:sz w:val="22"/>
          <w:szCs w:val="22"/>
          <w:vertAlign w:val="superscript"/>
        </w:rPr>
        <w:t>93</w:t>
      </w:r>
      <w:r>
        <w:rPr>
          <w:rFonts w:ascii="Arial" w:hAnsi="Arial"/>
          <w:sz w:val="22"/>
          <w:szCs w:val="22"/>
        </w:rPr>
        <w:t xml:space="preserve">Nb, </w:t>
      </w:r>
      <w:r>
        <w:rPr>
          <w:rFonts w:ascii="Arial" w:hAnsi="Arial"/>
          <w:sz w:val="22"/>
          <w:szCs w:val="22"/>
          <w:vertAlign w:val="superscript"/>
        </w:rPr>
        <w:t>95</w:t>
      </w:r>
      <w:r>
        <w:rPr>
          <w:rFonts w:ascii="Arial" w:hAnsi="Arial"/>
          <w:sz w:val="22"/>
          <w:szCs w:val="22"/>
        </w:rPr>
        <w:t>Mo,</w:t>
      </w:r>
      <w:r>
        <w:rPr>
          <w:rFonts w:ascii="Arial" w:hAnsi="Arial"/>
          <w:sz w:val="22"/>
          <w:szCs w:val="22"/>
          <w:vertAlign w:val="superscript"/>
        </w:rPr>
        <w:t>121</w:t>
      </w:r>
      <w:r>
        <w:rPr>
          <w:rFonts w:ascii="Arial" w:hAnsi="Arial"/>
          <w:sz w:val="22"/>
          <w:szCs w:val="22"/>
        </w:rPr>
        <w:t xml:space="preserve">Sb, </w:t>
      </w:r>
      <w:r>
        <w:rPr>
          <w:rFonts w:ascii="Arial" w:hAnsi="Arial"/>
          <w:sz w:val="22"/>
          <w:szCs w:val="22"/>
          <w:vertAlign w:val="superscript"/>
        </w:rPr>
        <w:t>137</w:t>
      </w:r>
      <w:r>
        <w:rPr>
          <w:rFonts w:ascii="Arial" w:hAnsi="Arial"/>
          <w:sz w:val="22"/>
          <w:szCs w:val="22"/>
        </w:rPr>
        <w:t xml:space="preserve">Ba, </w:t>
      </w:r>
      <w:r>
        <w:rPr>
          <w:rFonts w:ascii="Arial" w:hAnsi="Arial"/>
          <w:sz w:val="22"/>
          <w:szCs w:val="22"/>
          <w:vertAlign w:val="superscript"/>
        </w:rPr>
        <w:t>139</w:t>
      </w:r>
      <w:r>
        <w:rPr>
          <w:rFonts w:ascii="Arial" w:hAnsi="Arial"/>
          <w:sz w:val="22"/>
          <w:szCs w:val="22"/>
        </w:rPr>
        <w:t xml:space="preserve">La, </w:t>
      </w:r>
      <w:r>
        <w:rPr>
          <w:rFonts w:ascii="Arial" w:hAnsi="Arial"/>
          <w:sz w:val="22"/>
          <w:szCs w:val="22"/>
          <w:vertAlign w:val="superscript"/>
        </w:rPr>
        <w:t>140</w:t>
      </w:r>
      <w:r>
        <w:rPr>
          <w:rFonts w:ascii="Arial" w:hAnsi="Arial"/>
          <w:sz w:val="22"/>
          <w:szCs w:val="22"/>
        </w:rPr>
        <w:t xml:space="preserve">Ce, </w:t>
      </w:r>
      <w:r>
        <w:rPr>
          <w:rFonts w:ascii="Arial" w:hAnsi="Arial"/>
          <w:sz w:val="22"/>
          <w:szCs w:val="22"/>
          <w:vertAlign w:val="superscript"/>
        </w:rPr>
        <w:t>141</w:t>
      </w:r>
      <w:r>
        <w:rPr>
          <w:rFonts w:ascii="Arial" w:hAnsi="Arial"/>
          <w:sz w:val="22"/>
          <w:szCs w:val="22"/>
        </w:rPr>
        <w:t xml:space="preserve">Pr, </w:t>
      </w:r>
      <w:r>
        <w:rPr>
          <w:rFonts w:ascii="Arial" w:hAnsi="Arial"/>
          <w:sz w:val="22"/>
          <w:szCs w:val="22"/>
          <w:vertAlign w:val="superscript"/>
        </w:rPr>
        <w:t>146</w:t>
      </w:r>
      <w:r>
        <w:rPr>
          <w:rFonts w:ascii="Arial" w:hAnsi="Arial"/>
          <w:sz w:val="22"/>
          <w:szCs w:val="22"/>
        </w:rPr>
        <w:t xml:space="preserve">Nd, </w:t>
      </w:r>
      <w:r>
        <w:rPr>
          <w:rFonts w:ascii="Arial" w:hAnsi="Arial"/>
          <w:sz w:val="22"/>
          <w:szCs w:val="22"/>
          <w:vertAlign w:val="superscript"/>
        </w:rPr>
        <w:t>147</w:t>
      </w:r>
      <w:r>
        <w:rPr>
          <w:rFonts w:ascii="Arial" w:hAnsi="Arial"/>
          <w:sz w:val="22"/>
          <w:szCs w:val="22"/>
        </w:rPr>
        <w:t xml:space="preserve">Sm, </w:t>
      </w:r>
      <w:r>
        <w:rPr>
          <w:rFonts w:ascii="Arial" w:hAnsi="Arial"/>
          <w:sz w:val="22"/>
          <w:szCs w:val="22"/>
          <w:vertAlign w:val="superscript"/>
        </w:rPr>
        <w:t>153</w:t>
      </w:r>
      <w:r>
        <w:rPr>
          <w:rFonts w:ascii="Arial" w:hAnsi="Arial"/>
          <w:sz w:val="22"/>
          <w:szCs w:val="22"/>
        </w:rPr>
        <w:t xml:space="preserve">Eu, </w:t>
      </w:r>
      <w:r>
        <w:rPr>
          <w:rFonts w:ascii="Arial" w:hAnsi="Arial"/>
          <w:sz w:val="22"/>
          <w:szCs w:val="22"/>
          <w:vertAlign w:val="superscript"/>
        </w:rPr>
        <w:t>157</w:t>
      </w:r>
      <w:r>
        <w:rPr>
          <w:rFonts w:ascii="Arial" w:hAnsi="Arial"/>
          <w:sz w:val="22"/>
          <w:szCs w:val="22"/>
        </w:rPr>
        <w:t xml:space="preserve">Gd, </w:t>
      </w:r>
      <w:r>
        <w:rPr>
          <w:rFonts w:ascii="Arial" w:hAnsi="Arial"/>
          <w:sz w:val="22"/>
          <w:szCs w:val="22"/>
          <w:vertAlign w:val="superscript"/>
        </w:rPr>
        <w:t>159</w:t>
      </w:r>
      <w:r>
        <w:rPr>
          <w:rFonts w:ascii="Arial" w:hAnsi="Arial"/>
          <w:sz w:val="22"/>
          <w:szCs w:val="22"/>
        </w:rPr>
        <w:t xml:space="preserve">Tb, </w:t>
      </w:r>
      <w:r>
        <w:rPr>
          <w:rFonts w:ascii="Arial" w:hAnsi="Arial"/>
          <w:sz w:val="22"/>
          <w:szCs w:val="22"/>
          <w:vertAlign w:val="superscript"/>
        </w:rPr>
        <w:t>163</w:t>
      </w:r>
      <w:r>
        <w:rPr>
          <w:rFonts w:ascii="Arial" w:hAnsi="Arial"/>
          <w:sz w:val="22"/>
          <w:szCs w:val="22"/>
        </w:rPr>
        <w:t xml:space="preserve">Dy, </w:t>
      </w:r>
      <w:r>
        <w:rPr>
          <w:rFonts w:ascii="Arial" w:hAnsi="Arial"/>
          <w:sz w:val="22"/>
          <w:szCs w:val="22"/>
          <w:vertAlign w:val="superscript"/>
        </w:rPr>
        <w:t>165</w:t>
      </w:r>
      <w:r>
        <w:rPr>
          <w:rFonts w:ascii="Arial" w:hAnsi="Arial"/>
          <w:sz w:val="22"/>
          <w:szCs w:val="22"/>
        </w:rPr>
        <w:t xml:space="preserve">Ho, </w:t>
      </w:r>
      <w:r>
        <w:rPr>
          <w:rFonts w:ascii="Arial" w:hAnsi="Arial"/>
          <w:sz w:val="22"/>
          <w:szCs w:val="22"/>
          <w:vertAlign w:val="superscript"/>
        </w:rPr>
        <w:t>166</w:t>
      </w:r>
      <w:r>
        <w:rPr>
          <w:rFonts w:ascii="Arial" w:hAnsi="Arial"/>
          <w:sz w:val="22"/>
          <w:szCs w:val="22"/>
        </w:rPr>
        <w:t xml:space="preserve">Er, </w:t>
      </w:r>
      <w:r>
        <w:rPr>
          <w:rFonts w:ascii="Arial" w:hAnsi="Arial"/>
          <w:sz w:val="22"/>
          <w:szCs w:val="22"/>
          <w:vertAlign w:val="superscript"/>
        </w:rPr>
        <w:t>169</w:t>
      </w:r>
      <w:r>
        <w:rPr>
          <w:rFonts w:ascii="Arial" w:hAnsi="Arial"/>
          <w:sz w:val="22"/>
          <w:szCs w:val="22"/>
        </w:rPr>
        <w:t xml:space="preserve">Tm, </w:t>
      </w:r>
      <w:r>
        <w:rPr>
          <w:rFonts w:ascii="Arial" w:hAnsi="Arial"/>
          <w:sz w:val="22"/>
          <w:szCs w:val="22"/>
          <w:vertAlign w:val="superscript"/>
        </w:rPr>
        <w:t>172</w:t>
      </w:r>
      <w:r>
        <w:rPr>
          <w:rFonts w:ascii="Arial" w:hAnsi="Arial"/>
          <w:sz w:val="22"/>
          <w:szCs w:val="22"/>
        </w:rPr>
        <w:t xml:space="preserve">Yb, </w:t>
      </w:r>
      <w:r>
        <w:rPr>
          <w:rFonts w:ascii="Arial" w:hAnsi="Arial"/>
          <w:sz w:val="22"/>
          <w:szCs w:val="22"/>
          <w:vertAlign w:val="superscript"/>
        </w:rPr>
        <w:t>175</w:t>
      </w:r>
      <w:r>
        <w:rPr>
          <w:rFonts w:ascii="Arial" w:hAnsi="Arial"/>
          <w:sz w:val="22"/>
          <w:szCs w:val="22"/>
        </w:rPr>
        <w:t xml:space="preserve">Lu, </w:t>
      </w:r>
      <w:r>
        <w:rPr>
          <w:rFonts w:ascii="Arial" w:hAnsi="Arial"/>
          <w:sz w:val="22"/>
          <w:szCs w:val="22"/>
          <w:vertAlign w:val="superscript"/>
        </w:rPr>
        <w:t>178</w:t>
      </w:r>
      <w:r>
        <w:rPr>
          <w:rFonts w:ascii="Arial" w:hAnsi="Arial"/>
          <w:sz w:val="22"/>
          <w:szCs w:val="22"/>
        </w:rPr>
        <w:t>Hf,</w:t>
      </w:r>
      <w:r>
        <w:rPr>
          <w:rFonts w:ascii="Arial" w:hAnsi="Arial"/>
          <w:sz w:val="22"/>
          <w:szCs w:val="22"/>
          <w:vertAlign w:val="superscript"/>
        </w:rPr>
        <w:t>181</w:t>
      </w:r>
      <w:r>
        <w:rPr>
          <w:rFonts w:ascii="Arial" w:hAnsi="Arial"/>
          <w:sz w:val="22"/>
          <w:szCs w:val="22"/>
        </w:rPr>
        <w:t xml:space="preserve">Ta, </w:t>
      </w:r>
      <w:r>
        <w:rPr>
          <w:rFonts w:ascii="Arial" w:hAnsi="Arial"/>
          <w:sz w:val="22"/>
          <w:szCs w:val="22"/>
          <w:vertAlign w:val="superscript"/>
        </w:rPr>
        <w:t>182</w:t>
      </w:r>
      <w:r>
        <w:rPr>
          <w:rFonts w:ascii="Arial" w:hAnsi="Arial"/>
          <w:sz w:val="22"/>
          <w:szCs w:val="22"/>
        </w:rPr>
        <w:t xml:space="preserve">W, </w:t>
      </w:r>
      <w:r>
        <w:rPr>
          <w:rFonts w:ascii="Arial" w:hAnsi="Arial"/>
          <w:sz w:val="22"/>
          <w:szCs w:val="22"/>
          <w:vertAlign w:val="superscript"/>
        </w:rPr>
        <w:t>208</w:t>
      </w:r>
      <w:r>
        <w:rPr>
          <w:rFonts w:ascii="Arial" w:hAnsi="Arial"/>
          <w:sz w:val="22"/>
          <w:szCs w:val="22"/>
        </w:rPr>
        <w:t xml:space="preserve">Pb, </w:t>
      </w:r>
      <w:r>
        <w:rPr>
          <w:rFonts w:ascii="Arial" w:hAnsi="Arial"/>
          <w:sz w:val="22"/>
          <w:szCs w:val="22"/>
          <w:vertAlign w:val="superscript"/>
        </w:rPr>
        <w:t>232</w:t>
      </w:r>
      <w:r>
        <w:rPr>
          <w:rFonts w:ascii="Arial" w:hAnsi="Arial"/>
          <w:sz w:val="22"/>
          <w:szCs w:val="22"/>
        </w:rPr>
        <w:t xml:space="preserve">Th, </w:t>
      </w:r>
      <w:r>
        <w:rPr>
          <w:rFonts w:ascii="Arial" w:hAnsi="Arial"/>
          <w:sz w:val="22"/>
          <w:szCs w:val="22"/>
          <w:vertAlign w:val="superscript"/>
        </w:rPr>
        <w:t>238</w:t>
      </w:r>
      <w:r>
        <w:rPr>
          <w:rFonts w:ascii="Arial" w:hAnsi="Arial"/>
          <w:sz w:val="22"/>
          <w:szCs w:val="22"/>
        </w:rPr>
        <w:t xml:space="preserve">U. Each mass channel is recorded at a dwell time of 10 ms, except </w:t>
      </w:r>
      <w:r>
        <w:rPr>
          <w:rFonts w:ascii="Arial" w:hAnsi="Arial"/>
          <w:sz w:val="22"/>
          <w:szCs w:val="22"/>
          <w:vertAlign w:val="superscript"/>
        </w:rPr>
        <w:t>93</w:t>
      </w:r>
      <w:r>
        <w:rPr>
          <w:rFonts w:ascii="Arial" w:hAnsi="Arial"/>
          <w:sz w:val="22"/>
          <w:szCs w:val="22"/>
        </w:rPr>
        <w:t xml:space="preserve">Nb and </w:t>
      </w:r>
      <w:r>
        <w:rPr>
          <w:rFonts w:ascii="Arial" w:hAnsi="Arial"/>
          <w:sz w:val="22"/>
          <w:szCs w:val="22"/>
          <w:vertAlign w:val="superscript"/>
        </w:rPr>
        <w:t>181</w:t>
      </w:r>
      <w:r>
        <w:rPr>
          <w:rFonts w:ascii="Arial" w:hAnsi="Arial"/>
          <w:sz w:val="22"/>
          <w:szCs w:val="22"/>
        </w:rPr>
        <w:t xml:space="preserve">Ta with 20 ms and </w:t>
      </w:r>
      <w:r>
        <w:rPr>
          <w:rFonts w:ascii="Arial" w:hAnsi="Arial"/>
          <w:sz w:val="22"/>
          <w:szCs w:val="22"/>
          <w:vertAlign w:val="superscript"/>
        </w:rPr>
        <w:t>43</w:t>
      </w:r>
      <w:r>
        <w:rPr>
          <w:rFonts w:ascii="Arial" w:hAnsi="Arial"/>
          <w:sz w:val="22"/>
          <w:szCs w:val="22"/>
        </w:rPr>
        <w:t xml:space="preserve">Ca with 1 ms each. </w:t>
      </w:r>
    </w:p>
    <w:p>
      <w:pPr>
        <w:pStyle w:val="Normal"/>
        <w:rPr>
          <w:rFonts w:ascii="Arial" w:hAnsi="Arial"/>
          <w:sz w:val="22"/>
          <w:szCs w:val="22"/>
        </w:rPr>
      </w:pPr>
      <w:r>
        <w:rPr>
          <w:rFonts w:ascii="Arial" w:hAnsi="Arial"/>
          <w:sz w:val="22"/>
          <w:szCs w:val="22"/>
        </w:rPr>
      </w:r>
    </w:p>
    <w:p>
      <w:pPr>
        <w:pStyle w:val="Normal"/>
        <w:rPr>
          <w:rFonts w:ascii="Arial" w:hAnsi="Arial"/>
          <w:sz w:val="22"/>
          <w:szCs w:val="22"/>
        </w:rPr>
      </w:pPr>
      <w:r>
        <w:rPr>
          <w:rFonts w:ascii="Arial" w:hAnsi="Arial"/>
          <w:sz w:val="22"/>
          <w:szCs w:val="22"/>
        </w:rPr>
        <w:t xml:space="preserve">Data processing is performed using the HDIP software (Teledyne Photon Machines). Background correction is done by fitting cubic spline functions to each mass channel. Drift is corrected linearly using NIST610 as the drift monitor. The </w:t>
      </w:r>
      <w:r>
        <w:rPr>
          <w:rFonts w:ascii="Arial" w:hAnsi="Arial"/>
          <w:sz w:val="22"/>
          <w:szCs w:val="22"/>
          <w:vertAlign w:val="superscript"/>
        </w:rPr>
        <w:t>43</w:t>
      </w:r>
      <w:r>
        <w:rPr>
          <w:rFonts w:ascii="Arial" w:hAnsi="Arial"/>
          <w:sz w:val="22"/>
          <w:szCs w:val="22"/>
        </w:rPr>
        <w:t>Ca mass channel served as the internal standard, applying the XRF-determined CaO concentrations obtained from the same set of glass beads. The reproducibility is estimated as the total combined uncertainty resulting from replicate analyses of the RM and is &lt; 4 % (1SD) for 95% of the analyses. Accuracy is estimated as the percent deviation of the secondary standard concentrations from the GeoReM preferred values (Jochum et al. 2005) and is &lt; 33 % for 95% of the analyses. Details on reproducibility, accuracy and detection limits are presented in the supplementary file (ESM 3 Table 2).</w:t>
      </w:r>
    </w:p>
    <w:p>
      <w:pPr>
        <w:pStyle w:val="Normal"/>
        <w:rPr>
          <w:rFonts w:ascii="Arial" w:hAnsi="Arial"/>
          <w:sz w:val="22"/>
          <w:szCs w:val="22"/>
        </w:rPr>
      </w:pPr>
      <w:r>
        <w:rPr>
          <w:rFonts w:ascii="Arial" w:hAnsi="Arial"/>
          <w:sz w:val="22"/>
          <w:szCs w:val="22"/>
        </w:rPr>
      </w:r>
    </w:p>
    <w:p>
      <w:pPr>
        <w:pStyle w:val="Normal"/>
        <w:rPr>
          <w:rFonts w:ascii="Arial" w:hAnsi="Arial"/>
          <w:sz w:val="22"/>
          <w:szCs w:val="22"/>
        </w:rPr>
      </w:pPr>
      <w:r>
        <w:rPr>
          <w:rFonts w:ascii="Arial" w:hAnsi="Arial"/>
          <w:sz w:val="22"/>
          <w:szCs w:val="22"/>
          <w:lang w:val="en-US"/>
        </w:rPr>
        <w:t xml:space="preserve">Powders of four samples (FÖ 92-1, FÖ 92-2, PG21, PG 30) were analysed commercially by Actlabs, Ontario, Canada by ICP-MS under their sample treatment code </w:t>
      </w:r>
      <w:r>
        <w:rPr>
          <w:rFonts w:eastAsia="Calibri" w:cs="" w:ascii="Arial" w:hAnsi="Arial" w:cstheme="minorBidi" w:eastAsiaTheme="minorHAnsi"/>
          <w:color w:val="auto"/>
          <w:kern w:val="0"/>
          <w:sz w:val="22"/>
          <w:szCs w:val="22"/>
          <w:lang w:val="en-US" w:eastAsia="en-US" w:bidi="ar-SA"/>
        </w:rPr>
        <w:t>“</w:t>
      </w:r>
      <w:r>
        <w:rPr>
          <w:rFonts w:ascii="Arial" w:hAnsi="Arial"/>
          <w:sz w:val="22"/>
          <w:szCs w:val="22"/>
          <w:lang w:val="en-US"/>
        </w:rPr>
        <w:t>4B2 Research</w:t>
      </w:r>
      <w:r>
        <w:rPr>
          <w:rFonts w:eastAsia="Calibri" w:cs="" w:ascii="Arial" w:hAnsi="Arial" w:cstheme="minorBidi" w:eastAsiaTheme="minorHAnsi"/>
          <w:color w:val="auto"/>
          <w:kern w:val="0"/>
          <w:sz w:val="22"/>
          <w:szCs w:val="22"/>
          <w:lang w:val="en-US" w:eastAsia="en-US" w:bidi="ar-SA"/>
        </w:rPr>
        <w:t>”</w:t>
      </w:r>
      <w:r>
        <w:rPr>
          <w:rFonts w:ascii="Arial" w:hAnsi="Arial"/>
          <w:sz w:val="22"/>
          <w:szCs w:val="22"/>
          <w:lang w:val="en-US"/>
        </w:rPr>
        <w:t xml:space="preserve"> documented at:  </w:t>
      </w:r>
      <w:r>
        <w:rPr>
          <w:rStyle w:val="Internetverknpfung"/>
          <w:rFonts w:ascii="Arial" w:hAnsi="Arial"/>
          <w:sz w:val="22"/>
          <w:szCs w:val="22"/>
          <w:lang w:val="en-US"/>
        </w:rPr>
        <w:t>https://actlabs.com/geochemistry/lithogeochemistry-and-whole-rock-analysis/lithogeochemistry/</w:t>
      </w:r>
    </w:p>
    <w:p>
      <w:pPr>
        <w:pStyle w:val="Normal"/>
        <w:rPr>
          <w:rFonts w:ascii="Arial" w:hAnsi="Arial"/>
          <w:sz w:val="22"/>
          <w:szCs w:val="22"/>
        </w:rPr>
      </w:pPr>
      <w:r>
        <w:rPr>
          <w:rFonts w:ascii="Arial" w:hAnsi="Arial"/>
          <w:sz w:val="22"/>
          <w:szCs w:val="22"/>
        </w:rPr>
      </w:r>
    </w:p>
    <w:p>
      <w:pPr>
        <w:pStyle w:val="NormalWeb"/>
        <w:spacing w:before="280" w:after="280"/>
        <w:rPr>
          <w:sz w:val="22"/>
          <w:szCs w:val="22"/>
        </w:rPr>
      </w:pPr>
      <w:r>
        <w:rPr>
          <w:rFonts w:ascii="Arial" w:hAnsi="Arial"/>
          <w:sz w:val="22"/>
          <w:szCs w:val="22"/>
          <w:lang w:val="en-US"/>
        </w:rPr>
        <w:t>For preparation and analytical methods of samples from the</w:t>
      </w:r>
      <w:r>
        <w:rPr>
          <w:rFonts w:ascii="Arial" w:hAnsi="Arial"/>
          <w:b/>
          <w:bCs/>
          <w:sz w:val="22"/>
          <w:szCs w:val="22"/>
          <w:lang w:val="en-US"/>
        </w:rPr>
        <w:t xml:space="preserve"> western domain</w:t>
      </w:r>
      <w:r>
        <w:rPr>
          <w:rFonts w:ascii="Arial" w:hAnsi="Arial"/>
          <w:sz w:val="22"/>
          <w:szCs w:val="22"/>
          <w:lang w:val="en-US"/>
        </w:rPr>
        <w:t xml:space="preserve"> (ESM 4 Table 3) see Höhn (2017).</w:t>
      </w:r>
    </w:p>
    <w:p>
      <w:pPr>
        <w:pStyle w:val="Normal"/>
        <w:rPr>
          <w:rFonts w:ascii="Arial" w:hAnsi="Arial"/>
          <w:sz w:val="22"/>
          <w:szCs w:val="22"/>
        </w:rPr>
      </w:pPr>
      <w:r>
        <w:rPr>
          <w:rFonts w:ascii="Arial" w:hAnsi="Arial"/>
          <w:sz w:val="22"/>
          <w:szCs w:val="22"/>
        </w:rPr>
      </w:r>
    </w:p>
    <w:p>
      <w:pPr>
        <w:pStyle w:val="Normal"/>
        <w:rPr>
          <w:rFonts w:ascii="Arial" w:hAnsi="Arial"/>
          <w:sz w:val="22"/>
          <w:szCs w:val="22"/>
        </w:rPr>
      </w:pPr>
      <w:r>
        <w:rPr>
          <w:rFonts w:ascii="Arial" w:hAnsi="Arial"/>
          <w:b/>
          <w:bCs/>
          <w:sz w:val="22"/>
          <w:szCs w:val="22"/>
        </w:rPr>
        <w:t>Sr, Nd, Pb isotope analyses at University of Bremen</w:t>
      </w:r>
    </w:p>
    <w:p>
      <w:pPr>
        <w:pStyle w:val="Normal"/>
        <w:rPr>
          <w:b/>
          <w:bCs/>
        </w:rPr>
      </w:pPr>
      <w:r>
        <w:rPr>
          <w:b/>
          <w:bCs/>
        </w:rPr>
      </w:r>
    </w:p>
    <w:p>
      <w:pPr>
        <w:pStyle w:val="Normal"/>
        <w:rPr>
          <w:rFonts w:ascii="Arial" w:hAnsi="Arial"/>
          <w:sz w:val="22"/>
          <w:szCs w:val="22"/>
        </w:rPr>
      </w:pPr>
      <w:r>
        <w:rPr>
          <w:rFonts w:ascii="Arial" w:hAnsi="Arial"/>
          <w:sz w:val="22"/>
          <w:szCs w:val="22"/>
        </w:rPr>
      </w:r>
    </w:p>
    <w:p>
      <w:pPr>
        <w:pStyle w:val="Normal"/>
        <w:rPr>
          <w:rFonts w:ascii="Arial" w:hAnsi="Arial"/>
          <w:sz w:val="22"/>
          <w:szCs w:val="22"/>
        </w:rPr>
      </w:pPr>
      <w:r>
        <w:rPr>
          <w:rFonts w:ascii="Arial" w:hAnsi="Arial"/>
          <w:sz w:val="22"/>
          <w:szCs w:val="22"/>
        </w:rPr>
        <w:t>Whole rock powders from eastern- and western domain were digested at 140°C on a hotplate in savillex</w:t>
      </w:r>
      <w:r>
        <w:rPr>
          <w:rFonts w:ascii="Arial" w:hAnsi="Arial"/>
          <w:sz w:val="22"/>
          <w:szCs w:val="22"/>
          <w:vertAlign w:val="superscript"/>
        </w:rPr>
        <w:t xml:space="preserve">TM </w:t>
      </w:r>
      <w:r>
        <w:rPr>
          <w:rFonts w:ascii="Arial" w:hAnsi="Arial"/>
          <w:sz w:val="22"/>
          <w:szCs w:val="22"/>
        </w:rPr>
        <w:t>screw-top beakers using triple distilled HF and HNO</w:t>
      </w:r>
      <w:r>
        <w:rPr>
          <w:rFonts w:ascii="Arial" w:hAnsi="Arial"/>
          <w:sz w:val="22"/>
          <w:szCs w:val="22"/>
          <w:vertAlign w:val="subscript"/>
        </w:rPr>
        <w:t>3</w:t>
      </w:r>
      <w:r>
        <w:rPr>
          <w:rFonts w:ascii="Arial" w:hAnsi="Arial"/>
          <w:sz w:val="22"/>
          <w:szCs w:val="22"/>
        </w:rPr>
        <w:t>, evaporated to dryness, redissolved in conc. HNO</w:t>
      </w:r>
      <w:r>
        <w:rPr>
          <w:rFonts w:eastAsia="Calibri" w:cs="" w:ascii="Arial" w:hAnsi="Arial" w:cstheme="minorBidi" w:eastAsiaTheme="minorHAnsi"/>
          <w:color w:val="auto"/>
          <w:sz w:val="22"/>
          <w:szCs w:val="22"/>
          <w:vertAlign w:val="subscript"/>
          <w:lang w:val="en-US" w:eastAsia="en-US" w:bidi="ar-SA"/>
        </w:rPr>
        <w:t>3</w:t>
      </w:r>
      <w:r>
        <w:rPr>
          <w:rFonts w:ascii="Arial" w:hAnsi="Arial"/>
          <w:sz w:val="22"/>
          <w:szCs w:val="22"/>
        </w:rPr>
        <w:t>, evaporated and finally redissolved in 2 M HNO</w:t>
      </w:r>
      <w:r>
        <w:rPr>
          <w:rFonts w:eastAsia="Calibri" w:cs="" w:ascii="Arial" w:hAnsi="Arial" w:cstheme="minorBidi" w:eastAsiaTheme="minorHAnsi"/>
          <w:color w:val="auto"/>
          <w:sz w:val="22"/>
          <w:szCs w:val="22"/>
          <w:vertAlign w:val="subscript"/>
          <w:lang w:val="en-US" w:eastAsia="en-US" w:bidi="ar-SA"/>
        </w:rPr>
        <w:t>3</w:t>
      </w:r>
      <w:r>
        <w:rPr>
          <w:rFonts w:ascii="Arial" w:hAnsi="Arial"/>
          <w:sz w:val="22"/>
          <w:szCs w:val="22"/>
        </w:rPr>
        <w:t xml:space="preserve"> for element separation. The separation of Sr and Pb from the sample matrix was performed using 70 micro liter of Sr. spec™ resin (method modified from Deniel and Pin, 2001). </w:t>
      </w:r>
    </w:p>
    <w:p>
      <w:pPr>
        <w:pStyle w:val="Normal"/>
        <w:rPr>
          <w:rFonts w:ascii="Arial" w:hAnsi="Arial"/>
          <w:sz w:val="22"/>
          <w:szCs w:val="22"/>
        </w:rPr>
      </w:pPr>
      <w:r>
        <w:rPr>
          <w:rFonts w:ascii="Arial" w:hAnsi="Arial"/>
          <w:sz w:val="22"/>
          <w:szCs w:val="22"/>
        </w:rPr>
        <w:t>The two step isolation of Nd from the sample matrix uses TRU. spec™ for separation of rare earth elements as a group and LN. spec™ for Nd separation from Sm (method adapted from Pin et al. 1994). Total procedural blanks for Sr, Nd and Pb are &lt;140 pg, &lt;90 pg and &lt;60 pg, respectively.</w:t>
      </w:r>
    </w:p>
    <w:p>
      <w:pPr>
        <w:pStyle w:val="Normal"/>
        <w:rPr>
          <w:rFonts w:ascii="Arial" w:hAnsi="Arial"/>
          <w:sz w:val="22"/>
          <w:szCs w:val="22"/>
        </w:rPr>
      </w:pPr>
      <w:r>
        <w:rPr>
          <w:rFonts w:ascii="Arial" w:hAnsi="Arial"/>
          <w:sz w:val="22"/>
          <w:szCs w:val="22"/>
        </w:rPr>
      </w:r>
    </w:p>
    <w:p>
      <w:pPr>
        <w:pStyle w:val="Normal"/>
        <w:rPr/>
      </w:pPr>
      <w:r>
        <w:rPr>
          <w:rFonts w:ascii="Arial" w:hAnsi="Arial"/>
          <w:sz w:val="22"/>
          <w:szCs w:val="22"/>
        </w:rPr>
        <w:t xml:space="preserve">Sr and Nd isotope ratios were analysed in the dynamic multicollection mode on a Thermo-Fisher Scientific TRITON Plus thermal ionization mass spectrometer (TIMS) at the Isotope Geochemistry Laboratory at MARUM, University of Bremen. Instrumental mass fractionation during Sr isotope analyses was corrected to </w:t>
      </w:r>
      <w:r>
        <w:rPr>
          <w:rFonts w:ascii="Arial" w:hAnsi="Arial"/>
          <w:sz w:val="22"/>
          <w:szCs w:val="22"/>
          <w:vertAlign w:val="superscript"/>
        </w:rPr>
        <w:t>86</w:t>
      </w:r>
      <w:r>
        <w:rPr>
          <w:rFonts w:ascii="Arial" w:hAnsi="Arial"/>
          <w:sz w:val="22"/>
          <w:szCs w:val="22"/>
        </w:rPr>
        <w:t>Sr/</w:t>
      </w:r>
      <w:r>
        <w:rPr>
          <w:rFonts w:ascii="Arial" w:hAnsi="Arial"/>
          <w:sz w:val="22"/>
          <w:szCs w:val="22"/>
          <w:vertAlign w:val="superscript"/>
        </w:rPr>
        <w:t>88</w:t>
      </w:r>
      <w:r>
        <w:rPr>
          <w:rFonts w:ascii="Arial" w:hAnsi="Arial"/>
          <w:sz w:val="22"/>
          <w:szCs w:val="22"/>
        </w:rPr>
        <w:t xml:space="preserve"> Sr of 0.1194. The long-term reproducibility (December 2011 to January 2020 of NIST SRM 987 reference material run on our TIMS is </w:t>
      </w:r>
      <w:r>
        <w:rPr>
          <w:rFonts w:ascii="Arial" w:hAnsi="Arial"/>
          <w:sz w:val="22"/>
          <w:szCs w:val="22"/>
          <w:vertAlign w:val="superscript"/>
        </w:rPr>
        <w:t>87</w:t>
      </w:r>
      <w:r>
        <w:rPr>
          <w:rFonts w:ascii="Arial" w:hAnsi="Arial"/>
          <w:sz w:val="22"/>
          <w:szCs w:val="22"/>
        </w:rPr>
        <w:t>Sr/</w:t>
      </w:r>
      <w:r>
        <w:rPr>
          <w:rFonts w:ascii="Arial" w:hAnsi="Arial"/>
          <w:sz w:val="22"/>
          <w:szCs w:val="22"/>
          <w:vertAlign w:val="superscript"/>
        </w:rPr>
        <w:t>86</w:t>
      </w:r>
      <w:r>
        <w:rPr>
          <w:rFonts w:ascii="Arial" w:hAnsi="Arial"/>
          <w:sz w:val="22"/>
          <w:szCs w:val="22"/>
        </w:rPr>
        <w:t xml:space="preserve">Sr 0.710249 ± 0.000022 (2SD; n=339) in accordance with published </w:t>
      </w:r>
      <w:r>
        <w:rPr>
          <w:rFonts w:ascii="Arial" w:hAnsi="Arial"/>
          <w:sz w:val="22"/>
          <w:szCs w:val="22"/>
          <w:vertAlign w:val="superscript"/>
        </w:rPr>
        <w:t>87</w:t>
      </w:r>
      <w:r>
        <w:rPr>
          <w:rFonts w:ascii="Arial" w:hAnsi="Arial"/>
          <w:sz w:val="22"/>
          <w:szCs w:val="22"/>
        </w:rPr>
        <w:t>Sr/</w:t>
      </w:r>
      <w:r>
        <w:rPr>
          <w:rFonts w:ascii="Arial" w:hAnsi="Arial"/>
          <w:sz w:val="22"/>
          <w:szCs w:val="22"/>
          <w:vertAlign w:val="superscript"/>
        </w:rPr>
        <w:t>86</w:t>
      </w:r>
      <w:r>
        <w:rPr>
          <w:rFonts w:ascii="Arial" w:hAnsi="Arial"/>
          <w:sz w:val="22"/>
          <w:szCs w:val="22"/>
        </w:rPr>
        <w:t xml:space="preserve">Sr ratio of NIST SRM 987 analysed by TIMS of 0.710249 ± 0.000034 (2SD: n = 1463, data &lt;0.7102 and &gt; 0.7103 are discarded; GeoRem database; query July 2018; </w:t>
      </w:r>
      <w:hyperlink r:id="rId2">
        <w:r>
          <w:rPr>
            <w:rStyle w:val="Internetverknpfung"/>
            <w:rFonts w:ascii="Arial" w:hAnsi="Arial"/>
            <w:sz w:val="22"/>
            <w:szCs w:val="22"/>
          </w:rPr>
          <w:t>http://georem.mpch-mainz.gwdg.de</w:t>
        </w:r>
      </w:hyperlink>
      <w:r>
        <w:rPr>
          <w:rFonts w:ascii="Arial" w:hAnsi="Arial"/>
          <w:sz w:val="22"/>
          <w:szCs w:val="22"/>
        </w:rPr>
        <w:t xml:space="preserve">; Jochum et al. 2005). Instrumental mass fractionation during Nd analyses was corrected to </w:t>
      </w:r>
      <w:r>
        <w:rPr>
          <w:rFonts w:ascii="Arial" w:hAnsi="Arial"/>
          <w:sz w:val="22"/>
          <w:szCs w:val="22"/>
          <w:vertAlign w:val="superscript"/>
        </w:rPr>
        <w:t>146</w:t>
      </w:r>
      <w:r>
        <w:rPr>
          <w:rFonts w:ascii="Arial" w:hAnsi="Arial"/>
          <w:sz w:val="22"/>
          <w:szCs w:val="22"/>
        </w:rPr>
        <w:t>Nd/</w:t>
      </w:r>
      <w:r>
        <w:rPr>
          <w:rFonts w:ascii="Arial" w:hAnsi="Arial"/>
          <w:sz w:val="22"/>
          <w:szCs w:val="22"/>
          <w:vertAlign w:val="superscript"/>
        </w:rPr>
        <w:t>144</w:t>
      </w:r>
      <w:r>
        <w:rPr>
          <w:rFonts w:ascii="Arial" w:hAnsi="Arial"/>
          <w:sz w:val="22"/>
          <w:szCs w:val="22"/>
        </w:rPr>
        <w:t xml:space="preserve">Nd of 0.7219. </w:t>
      </w:r>
    </w:p>
    <w:p>
      <w:pPr>
        <w:pStyle w:val="Normal"/>
        <w:rPr/>
      </w:pPr>
      <w:r>
        <w:rPr>
          <w:rFonts w:ascii="Arial" w:hAnsi="Arial"/>
          <w:sz w:val="22"/>
          <w:szCs w:val="22"/>
        </w:rPr>
        <w:t xml:space="preserve">Long-term reproducibility (August 2018 to February 2020) of the reference material JNdi-1 is </w:t>
      </w:r>
      <w:r>
        <w:rPr>
          <w:rFonts w:ascii="Arial" w:hAnsi="Arial"/>
          <w:sz w:val="22"/>
          <w:szCs w:val="22"/>
          <w:vertAlign w:val="superscript"/>
        </w:rPr>
        <w:t>143</w:t>
      </w:r>
      <w:r>
        <w:rPr>
          <w:rFonts w:ascii="Arial" w:hAnsi="Arial"/>
          <w:sz w:val="22"/>
          <w:szCs w:val="22"/>
        </w:rPr>
        <w:t>Nd/</w:t>
      </w:r>
      <w:r>
        <w:rPr>
          <w:rFonts w:ascii="Arial" w:hAnsi="Arial"/>
          <w:sz w:val="22"/>
          <w:szCs w:val="22"/>
          <w:vertAlign w:val="superscript"/>
        </w:rPr>
        <w:t>144</w:t>
      </w:r>
      <w:r>
        <w:rPr>
          <w:rFonts w:ascii="Arial" w:hAnsi="Arial"/>
          <w:sz w:val="22"/>
          <w:szCs w:val="22"/>
        </w:rPr>
        <w:t xml:space="preserve"> Nd 0.512120 ± 0.000026 (2SD; n=44). The average </w:t>
      </w:r>
      <w:r>
        <w:rPr>
          <w:rFonts w:ascii="Arial" w:hAnsi="Arial"/>
          <w:sz w:val="22"/>
          <w:szCs w:val="22"/>
          <w:vertAlign w:val="superscript"/>
        </w:rPr>
        <w:t>143</w:t>
      </w:r>
      <w:r>
        <w:rPr>
          <w:rFonts w:ascii="Arial" w:hAnsi="Arial"/>
          <w:sz w:val="22"/>
          <w:szCs w:val="22"/>
        </w:rPr>
        <w:t>Nd/</w:t>
      </w:r>
      <w:r>
        <w:rPr>
          <w:rFonts w:ascii="Arial" w:hAnsi="Arial"/>
          <w:sz w:val="22"/>
          <w:szCs w:val="22"/>
          <w:vertAlign w:val="superscript"/>
        </w:rPr>
        <w:t>144</w:t>
      </w:r>
      <w:r>
        <w:rPr>
          <w:rFonts w:ascii="Arial" w:hAnsi="Arial"/>
          <w:sz w:val="22"/>
          <w:szCs w:val="22"/>
        </w:rPr>
        <w:t xml:space="preserve"> Nd ratio from published values is 0.512107 ± 0.000026 (2 SD, n=300, data</w:t>
      </w:r>
    </w:p>
    <w:p>
      <w:pPr>
        <w:pStyle w:val="Normal"/>
        <w:rPr/>
      </w:pPr>
      <w:r>
        <w:rPr>
          <w:rFonts w:ascii="Arial" w:hAnsi="Arial"/>
          <w:sz w:val="22"/>
          <w:szCs w:val="22"/>
        </w:rPr>
        <w:t xml:space="preserve">&lt;0.51204 and &gt; 0.51217 are discarded; analyzed by TIMS, GeoRem data base; query July 2018; </w:t>
      </w:r>
      <w:hyperlink r:id="rId3">
        <w:r>
          <w:rPr>
            <w:rStyle w:val="Internetverknpfung"/>
            <w:rFonts w:ascii="Arial" w:hAnsi="Arial"/>
            <w:sz w:val="22"/>
            <w:szCs w:val="22"/>
          </w:rPr>
          <w:t>http://georem.mpch-mainz.gwdg.de</w:t>
        </w:r>
      </w:hyperlink>
      <w:r>
        <w:rPr>
          <w:rFonts w:ascii="Arial" w:hAnsi="Arial"/>
          <w:sz w:val="22"/>
          <w:szCs w:val="22"/>
        </w:rPr>
        <w:t xml:space="preserve">). The εNd notation is reported relative to the Chondritic Uniform Reservoir (CHUR) with the value </w:t>
      </w:r>
      <w:r>
        <w:rPr>
          <w:rFonts w:ascii="Arial" w:hAnsi="Arial"/>
          <w:sz w:val="22"/>
          <w:szCs w:val="22"/>
          <w:vertAlign w:val="superscript"/>
        </w:rPr>
        <w:t>143</w:t>
      </w:r>
      <w:r>
        <w:rPr>
          <w:rFonts w:ascii="Arial" w:hAnsi="Arial"/>
          <w:sz w:val="22"/>
          <w:szCs w:val="22"/>
        </w:rPr>
        <w:t>Nd/</w:t>
      </w:r>
      <w:r>
        <w:rPr>
          <w:rFonts w:ascii="Arial" w:hAnsi="Arial"/>
          <w:sz w:val="22"/>
          <w:szCs w:val="22"/>
          <w:vertAlign w:val="superscript"/>
        </w:rPr>
        <w:t>144</w:t>
      </w:r>
      <w:r>
        <w:rPr>
          <w:rFonts w:ascii="Arial" w:hAnsi="Arial"/>
          <w:sz w:val="22"/>
          <w:szCs w:val="22"/>
        </w:rPr>
        <w:t>Nd 0.512638 (Wasserburg and DePaolo, 1979).</w:t>
      </w:r>
    </w:p>
    <w:p>
      <w:pPr>
        <w:pStyle w:val="Normal"/>
        <w:rPr>
          <w:rFonts w:ascii="Arial" w:hAnsi="Arial"/>
          <w:sz w:val="22"/>
          <w:szCs w:val="22"/>
        </w:rPr>
      </w:pPr>
      <w:r>
        <w:rPr>
          <w:rFonts w:ascii="Arial" w:hAnsi="Arial"/>
          <w:sz w:val="22"/>
          <w:szCs w:val="22"/>
        </w:rPr>
        <w:t>Pb isotope ratios were analysed in the static mode. Instrumental mass fractionation of Pb isotope ratios were corrected using a factor of 1.001 (0.1%) per atomic mass unit based on the repeated analyses of NIST SRM 981. The reproducibility of the Pb isotope ratios including the correction for instrumental mass fractionation is better than 0.1% of the respective ratio.</w:t>
      </w:r>
    </w:p>
    <w:p>
      <w:pPr>
        <w:pStyle w:val="Normal"/>
        <w:rPr>
          <w:rFonts w:ascii="Arial" w:hAnsi="Arial"/>
          <w:sz w:val="22"/>
          <w:szCs w:val="22"/>
        </w:rPr>
      </w:pPr>
      <w:r>
        <w:rPr>
          <w:rFonts w:ascii="Arial" w:hAnsi="Arial"/>
          <w:sz w:val="22"/>
          <w:szCs w:val="22"/>
        </w:rPr>
      </w:r>
    </w:p>
    <w:p>
      <w:pPr>
        <w:pStyle w:val="Normal"/>
        <w:rPr>
          <w:rFonts w:ascii="Arial" w:hAnsi="Arial"/>
          <w:sz w:val="22"/>
          <w:szCs w:val="22"/>
        </w:rPr>
      </w:pPr>
      <w:r>
        <w:rPr>
          <w:rFonts w:ascii="Arial" w:hAnsi="Arial"/>
          <w:sz w:val="22"/>
          <w:szCs w:val="22"/>
        </w:rPr>
        <w:t xml:space="preserve">Results are in ESM 3 Table 2 (eastern domain) and ESM 4 Table 3 (western domain). The errors reported on the average isotope ratios are 2 se (standard errors) omitting rarely </w:t>
      </w:r>
      <w:r>
        <w:rPr>
          <w:rFonts w:eastAsia="Calibri" w:cs="" w:ascii="Arial" w:hAnsi="Arial" w:cstheme="minorBidi" w:eastAsiaTheme="minorHAnsi"/>
          <w:color w:val="auto"/>
          <w:kern w:val="0"/>
          <w:sz w:val="22"/>
          <w:szCs w:val="22"/>
          <w:lang w:val="en-US" w:eastAsia="en-US" w:bidi="ar-SA"/>
        </w:rPr>
        <w:t>occurring</w:t>
      </w:r>
      <w:r>
        <w:rPr>
          <w:rFonts w:ascii="Arial" w:hAnsi="Arial"/>
          <w:sz w:val="22"/>
          <w:szCs w:val="22"/>
        </w:rPr>
        <w:t xml:space="preserve"> analyses with large outliers in the sd (standard deviation) of the 100 (or more) </w:t>
      </w:r>
      <w:r>
        <w:rPr>
          <w:rFonts w:eastAsia="Calibri" w:cs="" w:ascii="Arial" w:hAnsi="Arial" w:cstheme="minorBidi" w:eastAsiaTheme="minorHAnsi"/>
          <w:color w:val="auto"/>
          <w:kern w:val="0"/>
          <w:sz w:val="22"/>
          <w:szCs w:val="22"/>
          <w:lang w:val="en-US" w:eastAsia="en-US" w:bidi="ar-SA"/>
        </w:rPr>
        <w:t>analysed</w:t>
      </w:r>
      <w:r>
        <w:rPr>
          <w:rFonts w:ascii="Arial" w:hAnsi="Arial"/>
          <w:sz w:val="22"/>
          <w:szCs w:val="22"/>
        </w:rPr>
        <w:t xml:space="preserve"> ratios per samples. </w:t>
      </w:r>
    </w:p>
    <w:p>
      <w:pPr>
        <w:pStyle w:val="Normal"/>
        <w:rPr>
          <w:rFonts w:ascii="Arial" w:hAnsi="Arial"/>
          <w:sz w:val="22"/>
          <w:szCs w:val="22"/>
        </w:rPr>
      </w:pPr>
      <w:r>
        <w:rPr>
          <w:rFonts w:ascii="Arial" w:hAnsi="Arial"/>
          <w:sz w:val="22"/>
          <w:szCs w:val="22"/>
        </w:rPr>
      </w:r>
    </w:p>
    <w:p>
      <w:pPr>
        <w:pStyle w:val="Normal"/>
        <w:rPr>
          <w:rFonts w:ascii="Arial" w:hAnsi="Arial"/>
          <w:sz w:val="22"/>
          <w:szCs w:val="22"/>
        </w:rPr>
      </w:pPr>
      <w:r>
        <w:rPr>
          <w:rFonts w:ascii="Arial" w:hAnsi="Arial"/>
          <w:sz w:val="22"/>
          <w:szCs w:val="22"/>
        </w:rPr>
        <w:t>The reference materials in ESM 3 Table 2 were analysed together with the samples; basalt BHVO-2g (trace elements), basalt BE-N (major and trace elements), granite AC-E, and diorite DR-N (both for major elements).</w:t>
      </w:r>
    </w:p>
    <w:p>
      <w:pPr>
        <w:pStyle w:val="Normal"/>
        <w:rPr>
          <w:rFonts w:ascii="Arial" w:hAnsi="Arial"/>
          <w:sz w:val="22"/>
          <w:szCs w:val="22"/>
        </w:rPr>
      </w:pPr>
      <w:r>
        <w:rPr>
          <w:rFonts w:ascii="Arial" w:hAnsi="Arial"/>
          <w:sz w:val="22"/>
          <w:szCs w:val="22"/>
        </w:rPr>
      </w:r>
    </w:p>
    <w:p>
      <w:pPr>
        <w:pStyle w:val="Normal"/>
        <w:rPr>
          <w:rFonts w:ascii="Arial" w:hAnsi="Arial"/>
          <w:sz w:val="22"/>
          <w:szCs w:val="22"/>
        </w:rPr>
      </w:pPr>
      <w:r>
        <w:rPr>
          <w:rFonts w:ascii="Arial" w:hAnsi="Arial"/>
          <w:sz w:val="22"/>
          <w:szCs w:val="22"/>
        </w:rPr>
      </w:r>
    </w:p>
    <w:p>
      <w:pPr>
        <w:pStyle w:val="Normal"/>
        <w:rPr>
          <w:rFonts w:ascii="Arial" w:hAnsi="Arial"/>
          <w:sz w:val="22"/>
          <w:szCs w:val="22"/>
        </w:rPr>
      </w:pPr>
      <w:r>
        <w:rPr>
          <w:rFonts w:ascii="Arial" w:hAnsi="Arial"/>
          <w:sz w:val="22"/>
          <w:szCs w:val="22"/>
        </w:rPr>
      </w:r>
    </w:p>
    <w:p>
      <w:pPr>
        <w:pStyle w:val="Normal"/>
        <w:rPr>
          <w:rFonts w:ascii="Arial" w:hAnsi="Arial"/>
          <w:b/>
          <w:bCs/>
          <w:sz w:val="22"/>
          <w:szCs w:val="22"/>
        </w:rPr>
      </w:pPr>
      <w:r>
        <w:rPr>
          <w:rFonts w:ascii="Arial" w:hAnsi="Arial"/>
          <w:b/>
          <w:bCs/>
          <w:sz w:val="22"/>
          <w:szCs w:val="22"/>
        </w:rPr>
        <w:t>References</w:t>
      </w:r>
    </w:p>
    <w:p>
      <w:pPr>
        <w:pStyle w:val="Normal"/>
        <w:rPr>
          <w:rFonts w:ascii="Arial" w:hAnsi="Arial"/>
          <w:sz w:val="22"/>
          <w:szCs w:val="22"/>
        </w:rPr>
      </w:pPr>
      <w:r>
        <w:rPr>
          <w:rFonts w:ascii="Arial" w:hAnsi="Arial"/>
          <w:sz w:val="22"/>
          <w:szCs w:val="22"/>
        </w:rPr>
      </w:r>
    </w:p>
    <w:p>
      <w:pPr>
        <w:pStyle w:val="Normal"/>
        <w:rPr>
          <w:rFonts w:ascii="Arial" w:hAnsi="Arial"/>
          <w:sz w:val="22"/>
          <w:szCs w:val="22"/>
          <w:lang w:val="de-DE"/>
        </w:rPr>
      </w:pPr>
      <w:r>
        <w:rPr>
          <w:rFonts w:ascii="Arial" w:hAnsi="Arial"/>
          <w:sz w:val="22"/>
          <w:szCs w:val="22"/>
        </w:rPr>
        <w:t xml:space="preserve">Deniel C, Pin C (2001) Single-stage method for the simultaneous isolation of lead and strontium from silicate samples for isotopic measurements. </w:t>
      </w:r>
      <w:r>
        <w:rPr>
          <w:rFonts w:ascii="Arial" w:hAnsi="Arial"/>
          <w:sz w:val="22"/>
          <w:szCs w:val="22"/>
          <w:lang w:val="de-DE"/>
        </w:rPr>
        <w:t>Anal Chim Acta 426:95-103.</w:t>
      </w:r>
    </w:p>
    <w:p>
      <w:pPr>
        <w:pStyle w:val="Normal"/>
        <w:rPr>
          <w:rFonts w:ascii="Arial" w:hAnsi="Arial"/>
          <w:sz w:val="22"/>
          <w:szCs w:val="22"/>
          <w:lang w:val="de-DE"/>
        </w:rPr>
      </w:pPr>
      <w:r>
        <w:rPr>
          <w:rFonts w:ascii="Arial" w:hAnsi="Arial"/>
          <w:sz w:val="22"/>
          <w:szCs w:val="22"/>
          <w:lang w:val="de-DE"/>
        </w:rPr>
      </w:r>
    </w:p>
    <w:p>
      <w:pPr>
        <w:pStyle w:val="Normal"/>
        <w:rPr>
          <w:rFonts w:ascii="Arial" w:hAnsi="Arial"/>
          <w:sz w:val="22"/>
          <w:szCs w:val="22"/>
        </w:rPr>
      </w:pPr>
      <w:r>
        <w:rPr>
          <w:rFonts w:ascii="Arial" w:hAnsi="Arial"/>
          <w:sz w:val="22"/>
          <w:szCs w:val="22"/>
          <w:lang w:val="de-DE"/>
        </w:rPr>
        <w:t xml:space="preserve">Höhn S (2017) Geologischer Rahmen und Genese der Kupferberger Cu-Zn-Lagerstätte.  </w:t>
      </w:r>
      <w:r>
        <w:rPr>
          <w:rFonts w:ascii="Arial" w:hAnsi="Arial"/>
          <w:sz w:val="22"/>
          <w:szCs w:val="22"/>
        </w:rPr>
        <w:t>Universität Würzburg, Dissertation.</w:t>
      </w:r>
    </w:p>
    <w:p>
      <w:pPr>
        <w:pStyle w:val="Normal"/>
        <w:rPr>
          <w:rFonts w:ascii="Arial" w:hAnsi="Arial"/>
          <w:sz w:val="22"/>
          <w:szCs w:val="22"/>
        </w:rPr>
      </w:pPr>
      <w:r>
        <w:rPr>
          <w:rFonts w:ascii="Arial" w:hAnsi="Arial"/>
          <w:sz w:val="22"/>
          <w:szCs w:val="22"/>
        </w:rPr>
      </w:r>
    </w:p>
    <w:p>
      <w:pPr>
        <w:pStyle w:val="Normal"/>
        <w:rPr>
          <w:rFonts w:ascii="Arial" w:hAnsi="Arial"/>
          <w:sz w:val="22"/>
          <w:szCs w:val="22"/>
        </w:rPr>
      </w:pPr>
      <w:r>
        <w:rPr>
          <w:rFonts w:ascii="Arial" w:hAnsi="Arial"/>
          <w:sz w:val="22"/>
          <w:szCs w:val="22"/>
        </w:rPr>
        <w:t>Jochum KP, Nohl U, Herwig K, Lammel E, Stoll B, and Hofmann AW (2005) GeoReM: A New Geochemical Database for Reference Materials and Isotopic Standards. Geostandards and Geoanalytical Research 29(3):333-338.</w:t>
      </w:r>
    </w:p>
    <w:p>
      <w:pPr>
        <w:pStyle w:val="Normal"/>
        <w:rPr>
          <w:rFonts w:ascii="Arial" w:hAnsi="Arial"/>
          <w:sz w:val="22"/>
          <w:szCs w:val="22"/>
        </w:rPr>
      </w:pPr>
      <w:r>
        <w:rPr>
          <w:rFonts w:ascii="Arial" w:hAnsi="Arial"/>
          <w:sz w:val="22"/>
          <w:szCs w:val="22"/>
        </w:rPr>
      </w:r>
    </w:p>
    <w:p>
      <w:pPr>
        <w:pStyle w:val="Normal"/>
        <w:rPr>
          <w:rFonts w:ascii="Arial" w:hAnsi="Arial"/>
          <w:sz w:val="22"/>
          <w:szCs w:val="22"/>
        </w:rPr>
      </w:pPr>
      <w:r>
        <w:rPr>
          <w:rFonts w:ascii="Arial" w:hAnsi="Arial"/>
          <w:sz w:val="22"/>
          <w:szCs w:val="22"/>
        </w:rPr>
        <w:t>Jochum KP, Weis U, Schwager B, Stoll B, Wilson SA, Haug GH, Andreae MO, Enzweiler J (2016) Reference Values Following ISO Guidelines for Frequently Requested Rock Reference Materials. Geostandards and Geoanalytical Research, 40(3):333-350.</w:t>
      </w:r>
    </w:p>
    <w:p>
      <w:pPr>
        <w:pStyle w:val="Normal"/>
        <w:rPr>
          <w:rFonts w:ascii="Arial" w:hAnsi="Arial"/>
          <w:sz w:val="22"/>
          <w:szCs w:val="22"/>
        </w:rPr>
      </w:pPr>
      <w:r>
        <w:rPr>
          <w:rFonts w:ascii="Arial" w:hAnsi="Arial"/>
          <w:sz w:val="22"/>
          <w:szCs w:val="22"/>
        </w:rPr>
      </w:r>
    </w:p>
    <w:p>
      <w:pPr>
        <w:pStyle w:val="Normal"/>
        <w:rPr>
          <w:rFonts w:ascii="Arial" w:hAnsi="Arial"/>
          <w:sz w:val="22"/>
          <w:szCs w:val="22"/>
        </w:rPr>
      </w:pPr>
      <w:r>
        <w:rPr>
          <w:rFonts w:ascii="Arial" w:hAnsi="Arial"/>
          <w:sz w:val="22"/>
          <w:szCs w:val="22"/>
        </w:rPr>
        <w:t>Longerich HP, Jackson SE, Günther D (1996) Laser Ablation Inductively Coupled Plasma Mass Spectrometry Transient Signal Data Acquisition and Analyte Concentration Calculation. Journal of Analytical Atomic Spectrometry 11:899-904.</w:t>
      </w:r>
    </w:p>
    <w:p>
      <w:pPr>
        <w:pStyle w:val="Normal"/>
        <w:rPr>
          <w:rFonts w:ascii="Arial" w:hAnsi="Arial"/>
          <w:sz w:val="22"/>
          <w:szCs w:val="22"/>
        </w:rPr>
      </w:pPr>
      <w:r>
        <w:rPr>
          <w:rFonts w:ascii="Arial" w:hAnsi="Arial"/>
          <w:sz w:val="22"/>
          <w:szCs w:val="22"/>
        </w:rPr>
      </w:r>
    </w:p>
    <w:p>
      <w:pPr>
        <w:pStyle w:val="Normal"/>
        <w:rPr>
          <w:rFonts w:ascii="Arial" w:hAnsi="Arial"/>
          <w:sz w:val="22"/>
          <w:szCs w:val="22"/>
        </w:rPr>
      </w:pPr>
      <w:r>
        <w:rPr>
          <w:rFonts w:ascii="Arial" w:hAnsi="Arial"/>
          <w:sz w:val="22"/>
          <w:szCs w:val="22"/>
        </w:rPr>
        <w:t>Pin C, Briot D, Bassin C, Poitrasson F (1994) Concomitant separation of strontium and samarium-neodymium for isotopic analysis in silicate samples, based on specific extraction chromatography. Anal Chim Acta 298:209-217.</w:t>
      </w:r>
    </w:p>
    <w:p>
      <w:pPr>
        <w:pStyle w:val="Normal"/>
        <w:rPr>
          <w:rFonts w:ascii="Arial" w:hAnsi="Arial"/>
          <w:sz w:val="22"/>
          <w:szCs w:val="22"/>
        </w:rPr>
      </w:pPr>
      <w:r>
        <w:rPr>
          <w:rFonts w:ascii="Arial" w:hAnsi="Arial"/>
          <w:sz w:val="22"/>
          <w:szCs w:val="22"/>
        </w:rPr>
      </w:r>
    </w:p>
    <w:p>
      <w:pPr>
        <w:pStyle w:val="Normal"/>
        <w:rPr>
          <w:rFonts w:ascii="Arial" w:hAnsi="Arial"/>
          <w:sz w:val="22"/>
          <w:szCs w:val="22"/>
        </w:rPr>
      </w:pPr>
      <w:r>
        <w:rPr>
          <w:rFonts w:ascii="Arial" w:hAnsi="Arial"/>
          <w:sz w:val="22"/>
          <w:szCs w:val="22"/>
        </w:rPr>
        <w:t>Wasserburg GJ, DePaolo DJ (1979) Models of earth structure inferred from neodymium and strontium isotopic abundances. Proc Natl Acad Sci U.A 76:3594-3598.</w:t>
      </w:r>
    </w:p>
    <w:sectPr>
      <w:type w:val="nextPage"/>
      <w:pgSz w:w="11906" w:h="16838"/>
      <w:pgMar w:left="1417" w:right="1417"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Arial">
    <w:charset w:val="00"/>
    <w:family w:val="roman"/>
    <w:pitch w:val="variable"/>
  </w:font>
</w:fonts>
</file>

<file path=word/settings.xml><?xml version="1.0" encoding="utf-8"?>
<w:settings xmlns:w="http://schemas.openxmlformats.org/wordprocessingml/2006/main">
  <w:zoom w:percent="167"/>
  <w:trackRevisions/>
  <w:defaultTabStop w:val="708"/>
  <w:autoHyphenation w:val="true"/>
  <w:hyphenationZone w:val="425"/>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S2" w:customStyle="1">
    <w:name w:val="s2"/>
    <w:basedOn w:val="DefaultParagraphFont"/>
    <w:qFormat/>
    <w:rsid w:val="00714b12"/>
    <w:rPr/>
  </w:style>
  <w:style w:type="character" w:styleId="Apple-converted-space" w:customStyle="1">
    <w:name w:val="apple-converted-space"/>
    <w:basedOn w:val="DefaultParagraphFont"/>
    <w:qFormat/>
    <w:rsid w:val="00714b12"/>
    <w:rPr/>
  </w:style>
  <w:style w:type="character" w:styleId="S6" w:customStyle="1">
    <w:name w:val="s6"/>
    <w:basedOn w:val="DefaultParagraphFont"/>
    <w:qFormat/>
    <w:rsid w:val="003e6f78"/>
    <w:rPr/>
  </w:style>
  <w:style w:type="character" w:styleId="Internetverknpfung">
    <w:name w:val="Hyperlink"/>
    <w:rPr>
      <w:color w:val="000080"/>
      <w:u w:val="single"/>
    </w:rPr>
  </w:style>
  <w:style w:type="character" w:styleId="KommentartextZchn" w:customStyle="1">
    <w:name w:val="Kommentartext Zchn"/>
    <w:basedOn w:val="DefaultParagraphFont"/>
    <w:link w:val="Annotationtext"/>
    <w:uiPriority w:val="99"/>
    <w:semiHidden/>
    <w:qFormat/>
    <w:rPr>
      <w:sz w:val="20"/>
      <w:szCs w:val="20"/>
    </w:rPr>
  </w:style>
  <w:style w:type="character" w:styleId="Annotationreference">
    <w:name w:val="annotation reference"/>
    <w:basedOn w:val="DefaultParagraphFont"/>
    <w:uiPriority w:val="99"/>
    <w:semiHidden/>
    <w:unhideWhenUsed/>
    <w:qFormat/>
    <w:rPr>
      <w:sz w:val="16"/>
      <w:szCs w:val="16"/>
    </w:rPr>
  </w:style>
  <w:style w:type="character" w:styleId="KommentarthemaZchn" w:customStyle="1">
    <w:name w:val="Kommentarthema Zchn"/>
    <w:basedOn w:val="KommentartextZchn"/>
    <w:link w:val="Annotationsubject"/>
    <w:uiPriority w:val="99"/>
    <w:semiHidden/>
    <w:qFormat/>
    <w:rsid w:val="00bd0a8a"/>
    <w:rPr>
      <w:b/>
      <w:bCs/>
      <w:sz w:val="20"/>
      <w:szCs w:val="20"/>
    </w:rPr>
  </w:style>
  <w:style w:type="character" w:styleId="Zeilennummerierung">
    <w:name w:val="Line Number"/>
    <w:rPr/>
  </w:style>
  <w:style w:type="paragraph" w:styleId="Berschrift" w:customStyle="1">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customStyle="1">
    <w:name w:val="Verzeichnis"/>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rPr>
  </w:style>
  <w:style w:type="paragraph" w:styleId="NormalWeb">
    <w:name w:val="Normal (Web)"/>
    <w:basedOn w:val="Normal"/>
    <w:uiPriority w:val="99"/>
    <w:unhideWhenUsed/>
    <w:qFormat/>
    <w:rsid w:val="00ac2e80"/>
    <w:pPr>
      <w:spacing w:beforeAutospacing="1" w:afterAutospacing="1"/>
    </w:pPr>
    <w:rPr>
      <w:rFonts w:ascii="Times New Roman" w:hAnsi="Times New Roman" w:eastAsia="Times New Roman" w:cs="Times New Roman"/>
      <w:lang w:eastAsia="de-DE"/>
    </w:rPr>
  </w:style>
  <w:style w:type="paragraph" w:styleId="Annotationtext">
    <w:name w:val="annotation text"/>
    <w:basedOn w:val="Normal"/>
    <w:link w:val="KommentartextZchn"/>
    <w:uiPriority w:val="99"/>
    <w:semiHidden/>
    <w:unhideWhenUsed/>
    <w:qFormat/>
    <w:pPr/>
    <w:rPr>
      <w:sz w:val="20"/>
      <w:szCs w:val="20"/>
    </w:rPr>
  </w:style>
  <w:style w:type="paragraph" w:styleId="Revision">
    <w:name w:val="Revision"/>
    <w:uiPriority w:val="99"/>
    <w:semiHidden/>
    <w:qFormat/>
    <w:rsid w:val="00bd0a8a"/>
    <w:pPr>
      <w:widowControl/>
      <w:suppressAutoHyphens w:val="false"/>
      <w:bidi w:val="0"/>
      <w:spacing w:before="0" w:after="0"/>
      <w:jc w:val="left"/>
    </w:pPr>
    <w:rPr>
      <w:rFonts w:ascii="Calibri" w:hAnsi="Calibri" w:eastAsia="Calibri" w:cs="" w:asciiTheme="minorHAnsi" w:cstheme="minorBidi" w:eastAsiaTheme="minorHAnsi" w:hAnsiTheme="minorHAnsi"/>
      <w:color w:val="auto"/>
      <w:kern w:val="0"/>
      <w:sz w:val="24"/>
      <w:szCs w:val="24"/>
      <w:lang w:val="en-US" w:eastAsia="en-US" w:bidi="ar-SA"/>
    </w:rPr>
  </w:style>
  <w:style w:type="paragraph" w:styleId="Annotationsubject">
    <w:name w:val="annotation subject"/>
    <w:basedOn w:val="Annotationtext"/>
    <w:next w:val="Annotationtext"/>
    <w:link w:val="KommentarthemaZchn"/>
    <w:uiPriority w:val="99"/>
    <w:semiHidden/>
    <w:unhideWhenUsed/>
    <w:qFormat/>
    <w:rsid w:val="00bd0a8a"/>
    <w:pPr/>
    <w:rPr>
      <w:b/>
      <w:bCs/>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georem.mpch-mainz.gwdg.de/" TargetMode="External"/><Relationship Id="rId3" Type="http://schemas.openxmlformats.org/officeDocument/2006/relationships/hyperlink" Target="http://georem.mpch-mainz.gwdg.de/"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9298</TotalTime>
  <Application>LibreOffice/7.5.3.2$Windows_X86_64 LibreOffice_project/9f56dff12ba03b9acd7730a5a481eea045e468f3</Application>
  <AppVersion>15.0000</AppVersion>
  <Pages>3</Pages>
  <Words>1507</Words>
  <Characters>8095</Characters>
  <CharactersWithSpaces>9576</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2024-01-08T12:46:00Z</dcterms:created>
  <dc:creator>TU-Pseudonym 5818101544396433</dc:creator>
  <dc:description/>
  <dc:language>en-GB</dc:language>
  <cp:lastModifiedBy/>
  <dcterms:modified xsi:type="dcterms:W3CDTF">2024-10-17T21:05:42Z</dcterms:modified>
  <cp:revision>68</cp:revision>
  <dc:subject/>
  <dc:title/>
</cp:coreProperties>
</file>

<file path=docProps/custom.xml><?xml version="1.0" encoding="utf-8"?>
<Properties xmlns="http://schemas.openxmlformats.org/officeDocument/2006/custom-properties" xmlns:vt="http://schemas.openxmlformats.org/officeDocument/2006/docPropsVTypes"/>
</file>