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AE2" w:rsidRPr="00850D03" w:rsidRDefault="00677AE2" w:rsidP="00677AE2">
      <w:pPr>
        <w:pStyle w:val="Heading1"/>
        <w:spacing w:line="480" w:lineRule="auto"/>
      </w:pPr>
      <w:bookmarkStart w:id="0" w:name="_GoBack"/>
      <w:r>
        <w:t>ESM 9. Oil time Šp-1, Su-2, NV-1</w:t>
      </w:r>
    </w:p>
    <w:bookmarkEnd w:id="0"/>
    <w:p w:rsidR="00677AE2" w:rsidRPr="00750591" w:rsidRDefault="00677AE2" w:rsidP="00677AE2">
      <w:pPr>
        <w:spacing w:after="0" w:line="480" w:lineRule="auto"/>
        <w:rPr>
          <w:rFonts w:ascii="Times New Roman" w:hAnsi="Times New Roman" w:cs="Times New Roman"/>
          <w:bCs/>
          <w:color w:val="000000" w:themeColor="text1"/>
        </w:rPr>
      </w:pPr>
      <w:r w:rsidRPr="00750591">
        <w:rPr>
          <w:rFonts w:ascii="Times New Roman" w:hAnsi="Times New Roman" w:cs="Times New Roman"/>
          <w:bCs/>
          <w:color w:val="000000" w:themeColor="text1"/>
        </w:rPr>
        <w:t xml:space="preserve">Timing of individual oil and gas zones in the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Blatné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 and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Želiezovce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 sub-basins. Generation zones are modeled to the lowest part of the specific formation or interval.</w:t>
      </w:r>
    </w:p>
    <w:tbl>
      <w:tblPr>
        <w:tblStyle w:val="TableGrid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4585"/>
        <w:gridCol w:w="1440"/>
        <w:gridCol w:w="1170"/>
        <w:gridCol w:w="1080"/>
        <w:gridCol w:w="934"/>
      </w:tblGrid>
      <w:tr w:rsidR="00677AE2" w:rsidRPr="00750591" w:rsidTr="00DC42F6">
        <w:trPr>
          <w:jc w:val="center"/>
        </w:trPr>
        <w:tc>
          <w:tcPr>
            <w:tcW w:w="4585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Publication: Well</w:t>
            </w:r>
          </w:p>
        </w:tc>
        <w:tc>
          <w:tcPr>
            <w:tcW w:w="144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Formation</w:t>
            </w:r>
          </w:p>
        </w:tc>
        <w:tc>
          <w:tcPr>
            <w:tcW w:w="117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Early oil</w:t>
            </w:r>
          </w:p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(Ma)</w:t>
            </w:r>
          </w:p>
        </w:tc>
        <w:tc>
          <w:tcPr>
            <w:tcW w:w="108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Peak Oil</w:t>
            </w:r>
          </w:p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(Ma)</w:t>
            </w:r>
          </w:p>
        </w:tc>
        <w:tc>
          <w:tcPr>
            <w:tcW w:w="934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Wet gas</w:t>
            </w:r>
          </w:p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(Ma)</w:t>
            </w:r>
          </w:p>
        </w:tc>
      </w:tr>
      <w:tr w:rsidR="00677AE2" w:rsidRPr="00750591" w:rsidTr="00DC42F6">
        <w:trPr>
          <w:jc w:val="center"/>
        </w:trPr>
        <w:tc>
          <w:tcPr>
            <w:tcW w:w="4585" w:type="dxa"/>
            <w:vMerge w:val="restart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This work:  (Nielsen et al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1990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  <w:t>)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: Šp-4</w:t>
            </w:r>
          </w:p>
        </w:tc>
        <w:tc>
          <w:tcPr>
            <w:tcW w:w="144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Špačince</w:t>
            </w:r>
            <w:proofErr w:type="spellEnd"/>
          </w:p>
        </w:tc>
        <w:tc>
          <w:tcPr>
            <w:tcW w:w="117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11.4</w:t>
            </w:r>
          </w:p>
        </w:tc>
        <w:tc>
          <w:tcPr>
            <w:tcW w:w="108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934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  <w:tr w:rsidR="00677AE2" w:rsidRPr="00750591" w:rsidTr="00DC42F6">
        <w:trPr>
          <w:trHeight w:val="368"/>
          <w:jc w:val="center"/>
        </w:trPr>
        <w:tc>
          <w:tcPr>
            <w:tcW w:w="4585" w:type="dxa"/>
            <w:vMerge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Báho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  <w:t>ň</w:t>
            </w:r>
          </w:p>
        </w:tc>
        <w:tc>
          <w:tcPr>
            <w:tcW w:w="117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7.4</w:t>
            </w:r>
          </w:p>
        </w:tc>
        <w:tc>
          <w:tcPr>
            <w:tcW w:w="108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934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  <w:tr w:rsidR="00677AE2" w:rsidRPr="00750591" w:rsidTr="00DC42F6">
        <w:trPr>
          <w:jc w:val="center"/>
        </w:trPr>
        <w:tc>
          <w:tcPr>
            <w:tcW w:w="4585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Pereszlényi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et al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(1993): Su-2</w:t>
            </w:r>
          </w:p>
        </w:tc>
        <w:tc>
          <w:tcPr>
            <w:tcW w:w="144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undivided</w:t>
            </w:r>
          </w:p>
        </w:tc>
        <w:tc>
          <w:tcPr>
            <w:tcW w:w="117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</w:rPr>
              <w:t>13.2</w:t>
            </w:r>
          </w:p>
        </w:tc>
        <w:tc>
          <w:tcPr>
            <w:tcW w:w="108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934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6.4</w:t>
            </w:r>
          </w:p>
        </w:tc>
      </w:tr>
      <w:tr w:rsidR="00677AE2" w:rsidRPr="00750591" w:rsidTr="00DC42F6">
        <w:trPr>
          <w:jc w:val="center"/>
        </w:trPr>
        <w:tc>
          <w:tcPr>
            <w:tcW w:w="4585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Milička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et al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(2017): Su-2</w:t>
            </w:r>
          </w:p>
        </w:tc>
        <w:tc>
          <w:tcPr>
            <w:tcW w:w="144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undivided</w:t>
            </w:r>
          </w:p>
        </w:tc>
        <w:tc>
          <w:tcPr>
            <w:tcW w:w="117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</w:rPr>
              <w:t>13.4</w:t>
            </w:r>
          </w:p>
        </w:tc>
        <w:tc>
          <w:tcPr>
            <w:tcW w:w="108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934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  <w:tr w:rsidR="00677AE2" w:rsidRPr="00750591" w:rsidTr="00DC42F6">
        <w:trPr>
          <w:trHeight w:val="449"/>
          <w:jc w:val="center"/>
        </w:trPr>
        <w:tc>
          <w:tcPr>
            <w:tcW w:w="4585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This work: (Ritter et al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1996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  <w:t xml:space="preserve">): 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NV-1</w:t>
            </w:r>
          </w:p>
        </w:tc>
        <w:tc>
          <w:tcPr>
            <w:tcW w:w="144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Špačince</w:t>
            </w:r>
            <w:proofErr w:type="spellEnd"/>
          </w:p>
        </w:tc>
        <w:tc>
          <w:tcPr>
            <w:tcW w:w="117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11.4</w:t>
            </w:r>
          </w:p>
        </w:tc>
        <w:tc>
          <w:tcPr>
            <w:tcW w:w="1080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934" w:type="dxa"/>
          </w:tcPr>
          <w:p w:rsidR="00677AE2" w:rsidRPr="00750591" w:rsidRDefault="00677AE2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</w:tbl>
    <w:p w:rsidR="00C47F4E" w:rsidRDefault="00C47F4E"/>
    <w:sectPr w:rsidR="00C47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E2"/>
    <w:rsid w:val="00677AE2"/>
    <w:rsid w:val="00C4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C33AF-1229-46E5-B17C-A566F7F8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AE2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AE2"/>
    <w:pPr>
      <w:keepNext/>
      <w:keepLines/>
      <w:spacing w:before="320" w:after="0" w:line="24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AE2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table" w:styleId="TableGrid">
    <w:name w:val="Table Grid"/>
    <w:basedOn w:val="TableNormal"/>
    <w:uiPriority w:val="39"/>
    <w:rsid w:val="00677AE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ESM 9. Oil time Šp-1, Su-2, NV-1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2025-07-04T12:51:00Z</dcterms:created>
  <dcterms:modified xsi:type="dcterms:W3CDTF">2025-07-04T12:52:00Z</dcterms:modified>
</cp:coreProperties>
</file>