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1E305">
      <w:pPr>
        <w:spacing w:line="480" w:lineRule="auto"/>
        <w:rPr>
          <w:rFonts w:ascii="Times New Roman" w:hAnsi="Times New Roman" w:eastAsia="宋体" w:cs="Times New Roman"/>
          <w:b/>
          <w:bCs/>
          <w:color w:val="000000" w:themeColor="text1"/>
          <w:kern w:val="0"/>
          <w:sz w:val="24"/>
          <w14:textFill>
            <w14:solidFill>
              <w14:schemeClr w14:val="tx1"/>
            </w14:solidFill>
          </w14:textFill>
          <w14:ligatures w14:val="none"/>
        </w:rPr>
      </w:pPr>
      <w:r>
        <w:rPr>
          <w:rFonts w:ascii="Times New Roman" w:hAnsi="Times New Roman" w:eastAsia="宋体" w:cs="Times New Roman"/>
          <w:b/>
          <w:bCs/>
          <w:color w:val="000000" w:themeColor="text1"/>
          <w:kern w:val="0"/>
          <w:sz w:val="24"/>
          <w14:textFill>
            <w14:solidFill>
              <w14:schemeClr w14:val="tx1"/>
            </w14:solidFill>
          </w14:textFill>
          <w14:ligatures w14:val="none"/>
        </w:rPr>
        <w:t>Supplementary material</w:t>
      </w:r>
    </w:p>
    <w:p w14:paraId="5A9EE8CB">
      <w:pPr>
        <w:spacing w:line="480" w:lineRule="auto"/>
        <w:rPr>
          <w:rFonts w:ascii="Times New Roman" w:hAnsi="Times New Roman" w:eastAsia="宋体" w:cs="Times New Roman"/>
          <w:b/>
          <w:bCs/>
          <w:color w:val="000000" w:themeColor="text1"/>
          <w:kern w:val="0"/>
          <w:sz w:val="24"/>
          <w:lang w:val="en-US"/>
          <w14:textFill>
            <w14:solidFill>
              <w14:schemeClr w14:val="tx1"/>
            </w14:solidFill>
          </w14:textFill>
          <w14:ligatures w14:val="none"/>
        </w:rPr>
      </w:pPr>
      <w:r>
        <w:rPr>
          <w:rFonts w:ascii="Times New Roman" w:hAnsi="Times New Roman" w:eastAsia="宋体" w:cs="Times New Roman"/>
          <w:b/>
          <w:bCs/>
          <w:color w:val="000000" w:themeColor="text1"/>
          <w:kern w:val="0"/>
          <w:sz w:val="24"/>
          <w14:textFill>
            <w14:solidFill>
              <w14:schemeClr w14:val="tx1"/>
            </w14:solidFill>
          </w14:textFill>
          <w14:ligatures w14:val="none"/>
        </w:rPr>
        <w:t>Supplementary</w:t>
      </w:r>
      <w:r>
        <w:rPr>
          <w:rFonts w:hint="eastAsia" w:ascii="Times New Roman" w:hAnsi="Times New Roman" w:eastAsia="宋体" w:cs="Times New Roman"/>
          <w:b/>
          <w:bCs/>
          <w:color w:val="000000" w:themeColor="text1"/>
          <w:kern w:val="0"/>
          <w:sz w:val="24"/>
          <w:lang w:val="en-US"/>
          <w14:textFill>
            <w14:solidFill>
              <w14:schemeClr w14:val="tx1"/>
            </w14:solidFill>
          </w14:textFill>
          <w14:ligatures w14:val="none"/>
        </w:rPr>
        <w:t xml:space="preserve"> methods and materials</w:t>
      </w:r>
    </w:p>
    <w:p w14:paraId="1D559382">
      <w:pPr>
        <w:spacing w:line="480" w:lineRule="auto"/>
        <w:rPr>
          <w:rFonts w:ascii="Times New Roman" w:hAnsi="Times New Roman" w:eastAsia="宋体" w:cs="Times New Roman"/>
          <w:b/>
          <w:bCs/>
          <w:color w:val="000000" w:themeColor="text1"/>
          <w:kern w:val="0"/>
          <w:sz w:val="24"/>
          <w14:textFill>
            <w14:solidFill>
              <w14:schemeClr w14:val="tx1"/>
            </w14:solidFill>
          </w14:textFill>
          <w14:ligatures w14:val="none"/>
        </w:rPr>
      </w:pPr>
      <w:r>
        <w:rPr>
          <w:rFonts w:ascii="Times New Roman" w:hAnsi="Times New Roman" w:cs="Times New Roman"/>
          <w:b/>
          <w:bCs/>
          <w:color w:val="000000" w:themeColor="text1"/>
          <w:sz w:val="24"/>
          <w:lang w:bidi="ar"/>
          <w14:textFill>
            <w14:solidFill>
              <w14:schemeClr w14:val="tx1"/>
            </w14:solidFill>
          </w14:textFill>
        </w:rPr>
        <w:t xml:space="preserve">Screening of differences in the GRG signature </w:t>
      </w:r>
      <w:r>
        <w:rPr>
          <w:rFonts w:ascii="Times New Roman" w:hAnsi="Times New Roman" w:eastAsia="等线" w:cs="Times New Roman"/>
          <w:b/>
          <w:bCs/>
          <w:color w:val="000000"/>
          <w:sz w:val="24"/>
          <w:lang w:bidi="ar"/>
        </w:rPr>
        <w:t>between</w:t>
      </w:r>
      <w:r>
        <w:rPr>
          <w:rFonts w:ascii="Times New Roman" w:hAnsi="Times New Roman" w:cs="Times New Roman"/>
          <w:b/>
          <w:bCs/>
          <w:color w:val="000000" w:themeColor="text1"/>
          <w:sz w:val="24"/>
          <w:lang w:bidi="ar"/>
          <w14:textFill>
            <w14:solidFill>
              <w14:schemeClr w14:val="tx1"/>
            </w14:solidFill>
          </w14:textFill>
        </w:rPr>
        <w:t xml:space="preserve"> normal and CRC tissues</w:t>
      </w:r>
    </w:p>
    <w:p w14:paraId="7708A669">
      <w:pPr>
        <w:spacing w:line="48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A total of 297 GRGs were </w:t>
      </w:r>
      <w:r>
        <w:rPr>
          <w:rFonts w:ascii="Times New Roman" w:hAnsi="Times New Roman" w:eastAsia="等线" w:cs="Times New Roman"/>
          <w:color w:val="000000"/>
          <w:sz w:val="24"/>
        </w:rPr>
        <w:t>identified</w:t>
      </w:r>
      <w:r>
        <w:rPr>
          <w:rFonts w:ascii="Times New Roman" w:hAnsi="Times New Roman" w:cs="Times New Roman"/>
          <w:color w:val="000000" w:themeColor="text1"/>
          <w:sz w:val="24"/>
          <w14:textFill>
            <w14:solidFill>
              <w14:schemeClr w14:val="tx1"/>
            </w14:solidFill>
          </w14:textFill>
        </w:rPr>
        <w:t xml:space="preserve"> from the Molecular Signatures Database (MSigDB). Transcriptome data and clinical information were </w:t>
      </w:r>
      <w:r>
        <w:rPr>
          <w:rFonts w:ascii="Times New Roman" w:hAnsi="Times New Roman" w:eastAsia="等线" w:cs="Times New Roman"/>
          <w:color w:val="000000"/>
          <w:sz w:val="24"/>
        </w:rPr>
        <w:t>obtained</w:t>
      </w:r>
      <w:r>
        <w:rPr>
          <w:rFonts w:ascii="Times New Roman" w:hAnsi="Times New Roman" w:cs="Times New Roman"/>
          <w:color w:val="000000" w:themeColor="text1"/>
          <w:sz w:val="24"/>
          <w14:textFill>
            <w14:solidFill>
              <w14:schemeClr w14:val="tx1"/>
            </w14:solidFill>
          </w14:textFill>
        </w:rPr>
        <w:t xml:space="preserve"> from The Cancer Genome Atlas (TCGA-COAD) (https://portal.gdc.cancer.) and Gene Expression Omnibus (GEO, </w:t>
      </w:r>
      <w:r>
        <w:rPr>
          <w:rFonts w:ascii="Times New Roman" w:hAnsi="Times New Roman" w:eastAsia="宋体" w:cs="Times New Roman"/>
          <w:color w:val="000000" w:themeColor="text1"/>
          <w:sz w:val="24"/>
          <w14:textFill>
            <w14:solidFill>
              <w14:schemeClr w14:val="tx1"/>
            </w14:solidFill>
          </w14:textFill>
        </w:rPr>
        <w:t>GSE39582</w:t>
      </w:r>
      <w:r>
        <w:rPr>
          <w:rFonts w:hint="eastAsia" w:ascii="Times New Roman" w:hAnsi="Times New Roman" w:eastAsia="宋体" w:cs="Times New Roman"/>
          <w:color w:val="000000" w:themeColor="text1"/>
          <w:sz w:val="24"/>
          <w:lang w:val="en-US" w:eastAsia="zh-CN"/>
          <w14:textFill>
            <w14:solidFill>
              <w14:schemeClr w14:val="tx1"/>
            </w14:solidFill>
          </w14:textFill>
        </w:rPr>
        <w:t>, GSE14333</w:t>
      </w:r>
      <w:r>
        <w:rPr>
          <w:rFonts w:ascii="Times New Roman" w:hAnsi="Times New Roman" w:cs="Times New Roman"/>
          <w:color w:val="000000" w:themeColor="text1"/>
          <w:sz w:val="24"/>
          <w14:textFill>
            <w14:solidFill>
              <w14:schemeClr w14:val="tx1"/>
            </w14:solidFill>
          </w14:textFill>
        </w:rPr>
        <w:t>) databases</w:t>
      </w:r>
      <w:r>
        <w:rPr>
          <w:rFonts w:ascii="Times New Roman" w:hAnsi="Times New Roman" w:cs="Times New Roman"/>
        </w:rPr>
        <w:t xml:space="preserve"> </w:t>
      </w:r>
      <w:r>
        <w:rPr>
          <w:rFonts w:ascii="Times New Roman" w:hAnsi="Times New Roman" w:cs="Times New Roman"/>
          <w:color w:val="000000" w:themeColor="text1"/>
          <w:sz w:val="24"/>
          <w14:textFill>
            <w14:solidFill>
              <w14:schemeClr w14:val="tx1"/>
            </w14:solidFill>
          </w14:textFill>
        </w:rPr>
        <w:t xml:space="preserve">(https://www. ncbi.nlm.nih.gov/gds/). After the batch effect was tested, the dplyr and sva R packages were </w:t>
      </w:r>
      <w:r>
        <w:rPr>
          <w:rFonts w:ascii="Times New Roman" w:hAnsi="Times New Roman" w:eastAsia="等线" w:cs="Times New Roman"/>
          <w:color w:val="000000"/>
          <w:sz w:val="24"/>
        </w:rPr>
        <w:t>used</w:t>
      </w:r>
      <w:r>
        <w:rPr>
          <w:rFonts w:ascii="Times New Roman" w:hAnsi="Times New Roman" w:cs="Times New Roman"/>
          <w:color w:val="000000" w:themeColor="text1"/>
          <w:sz w:val="24"/>
          <w14:textFill>
            <w14:solidFill>
              <w14:schemeClr w14:val="tx1"/>
            </w14:solidFill>
          </w14:textFill>
        </w:rPr>
        <w:t xml:space="preserve"> to normalize and analyse </w:t>
      </w:r>
      <w:r>
        <w:rPr>
          <w:rFonts w:ascii="Times New Roman" w:hAnsi="Times New Roman" w:eastAsia="等线" w:cs="Times New Roman"/>
          <w:color w:val="000000"/>
          <w:sz w:val="24"/>
        </w:rPr>
        <w:t xml:space="preserve">the </w:t>
      </w:r>
      <w:r>
        <w:rPr>
          <w:rFonts w:ascii="Times New Roman" w:hAnsi="Times New Roman" w:cs="Times New Roman"/>
          <w:color w:val="000000" w:themeColor="text1"/>
          <w:sz w:val="24"/>
          <w14:textFill>
            <w14:solidFill>
              <w14:schemeClr w14:val="tx1"/>
            </w14:solidFill>
          </w14:textFill>
        </w:rPr>
        <w:t>gene expression data</w:t>
      </w:r>
      <w:r>
        <w:rPr>
          <w:rFonts w:ascii="Times New Roman" w:hAnsi="Times New Roman" w:eastAsia="宋体" w:cs="Times New Roman"/>
          <w:color w:val="000000" w:themeColor="text1"/>
          <w:sz w:val="24"/>
          <w14:textFill>
            <w14:solidFill>
              <w14:schemeClr w14:val="tx1"/>
            </w14:solidFill>
          </w14:textFill>
        </w:rPr>
        <w:t>. Differential gene expression was identified through the limma R package. P</w:t>
      </w:r>
      <w:r>
        <w:rPr>
          <w:rFonts w:ascii="Times New Roman" w:hAnsi="Times New Roman" w:eastAsia="宋体" w:cs="Times New Roman"/>
          <w:color w:val="000000"/>
          <w:sz w:val="24"/>
        </w:rPr>
        <w:t xml:space="preserve"> </w:t>
      </w:r>
      <w:r>
        <w:rPr>
          <w:rFonts w:ascii="Times New Roman" w:hAnsi="Times New Roman" w:eastAsia="宋体" w:cs="Times New Roman"/>
          <w:color w:val="000000" w:themeColor="text1"/>
          <w:sz w:val="24"/>
          <w14:textFill>
            <w14:solidFill>
              <w14:schemeClr w14:val="tx1"/>
            </w14:solidFill>
          </w14:textFill>
        </w:rPr>
        <w:t xml:space="preserve">values were adjusted using the false discovery rate (FDR) method. Genes with adjusted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宋体" w:cs="Times New Roman"/>
          <w:color w:val="000000" w:themeColor="text1"/>
          <w:sz w:val="24"/>
          <w14:textFill>
            <w14:solidFill>
              <w14:schemeClr w14:val="tx1"/>
            </w14:solidFill>
          </w14:textFill>
        </w:rPr>
        <w:t xml:space="preserve"> &lt;</w:t>
      </w:r>
      <w:r>
        <w:rPr>
          <w:rFonts w:hint="eastAsia"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sz w:val="24"/>
          <w14:textFill>
            <w14:solidFill>
              <w14:schemeClr w14:val="tx1"/>
            </w14:solidFill>
          </w14:textFill>
        </w:rPr>
        <w:t>0.05 and |log2</w:t>
      </w:r>
      <w:r>
        <w:rPr>
          <w:rFonts w:ascii="Times New Roman" w:hAnsi="Times New Roman" w:eastAsia="宋体" w:cs="Times New Roman"/>
          <w:color w:val="000000"/>
          <w:sz w:val="24"/>
        </w:rPr>
        <w:t>-</w:t>
      </w:r>
      <w:r>
        <w:rPr>
          <w:rFonts w:ascii="Times New Roman" w:hAnsi="Times New Roman" w:eastAsia="宋体" w:cs="Times New Roman"/>
          <w:color w:val="000000" w:themeColor="text1"/>
          <w:sz w:val="24"/>
          <w14:textFill>
            <w14:solidFill>
              <w14:schemeClr w14:val="tx1"/>
            </w14:solidFill>
          </w14:textFill>
        </w:rPr>
        <w:t xml:space="preserve">fold change (FC)|&gt;1.0 were considered DEGs in the combined analysis. Finally, the maftools R package was used to </w:t>
      </w:r>
      <w:r>
        <w:rPr>
          <w:rFonts w:ascii="Times New Roman" w:hAnsi="Times New Roman" w:eastAsia="宋体" w:cs="Times New Roman"/>
          <w:color w:val="000000"/>
          <w:sz w:val="24"/>
        </w:rPr>
        <w:t>analyse the</w:t>
      </w:r>
      <w:r>
        <w:rPr>
          <w:rFonts w:ascii="Times New Roman" w:hAnsi="Times New Roman" w:eastAsia="宋体" w:cs="Times New Roman"/>
          <w:color w:val="000000" w:themeColor="text1"/>
          <w:sz w:val="24"/>
          <w14:textFill>
            <w14:solidFill>
              <w14:schemeClr w14:val="tx1"/>
            </w14:solidFill>
          </w14:textFill>
        </w:rPr>
        <w:t xml:space="preserve"> MAF and TMB information.</w:t>
      </w:r>
    </w:p>
    <w:p w14:paraId="21E4EF3A">
      <w:pPr>
        <w:pStyle w:val="4"/>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Cell culture and cell lines</w:t>
      </w:r>
    </w:p>
    <w:p w14:paraId="66BA38E5">
      <w:pPr>
        <w:widowControl/>
        <w:spacing w:line="480" w:lineRule="auto"/>
        <w:rPr>
          <w:rFonts w:ascii="Times New Roman" w:hAnsi="Times New Roman" w:eastAsia="Georgia" w:cs="Times New Roman"/>
          <w:color w:val="000000" w:themeColor="text1"/>
          <w:sz w:val="24"/>
          <w14:textFill>
            <w14:solidFill>
              <w14:schemeClr w14:val="tx1"/>
            </w14:solidFill>
          </w14:textFill>
        </w:rPr>
      </w:pPr>
      <w:r>
        <w:rPr>
          <w:rFonts w:ascii="Times New Roman" w:hAnsi="Times New Roman" w:eastAsia="Georgia" w:cs="Times New Roman"/>
          <w:color w:val="000000" w:themeColor="text1"/>
          <w:sz w:val="24"/>
          <w14:textFill>
            <w14:solidFill>
              <w14:schemeClr w14:val="tx1"/>
            </w14:solidFill>
          </w14:textFill>
        </w:rPr>
        <w:t xml:space="preserve">SW480, </w:t>
      </w:r>
      <w:bookmarkStart w:id="0" w:name="OLE_LINK61"/>
      <w:r>
        <w:rPr>
          <w:rFonts w:ascii="Times New Roman" w:hAnsi="Times New Roman" w:eastAsia="Georgia" w:cs="Times New Roman"/>
          <w:color w:val="000000" w:themeColor="text1"/>
          <w:sz w:val="24"/>
          <w14:textFill>
            <w14:solidFill>
              <w14:schemeClr w14:val="tx1"/>
            </w14:solidFill>
          </w14:textFill>
        </w:rPr>
        <w:t>C</w:t>
      </w:r>
      <w:r>
        <w:rPr>
          <w:rFonts w:hint="eastAsia" w:ascii="Times New Roman" w:hAnsi="Times New Roman" w:eastAsia="宋体" w:cs="Times New Roman"/>
          <w:color w:val="000000" w:themeColor="text1"/>
          <w:sz w:val="24"/>
          <w:lang w:val="en-US"/>
          <w14:textFill>
            <w14:solidFill>
              <w14:schemeClr w14:val="tx1"/>
            </w14:solidFill>
          </w14:textFill>
        </w:rPr>
        <w:t>a</w:t>
      </w:r>
      <w:r>
        <w:rPr>
          <w:rFonts w:ascii="Times New Roman" w:hAnsi="Times New Roman" w:eastAsia="Georgia" w:cs="Times New Roman"/>
          <w:color w:val="000000" w:themeColor="text1"/>
          <w:sz w:val="24"/>
          <w14:textFill>
            <w14:solidFill>
              <w14:schemeClr w14:val="tx1"/>
            </w14:solidFill>
          </w14:textFill>
        </w:rPr>
        <w:t>C</w:t>
      </w:r>
      <w:r>
        <w:rPr>
          <w:rFonts w:hint="eastAsia" w:ascii="Times New Roman" w:hAnsi="Times New Roman" w:eastAsia="宋体" w:cs="Times New Roman"/>
          <w:color w:val="000000" w:themeColor="text1"/>
          <w:sz w:val="24"/>
          <w:lang w:val="en-US"/>
          <w14:textFill>
            <w14:solidFill>
              <w14:schemeClr w14:val="tx1"/>
            </w14:solidFill>
          </w14:textFill>
        </w:rPr>
        <w:t>o</w:t>
      </w:r>
      <w:r>
        <w:rPr>
          <w:rFonts w:ascii="Times New Roman" w:hAnsi="Times New Roman" w:eastAsia="Georgia" w:cs="Times New Roman"/>
          <w:color w:val="000000" w:themeColor="text1"/>
          <w:sz w:val="24"/>
          <w14:textFill>
            <w14:solidFill>
              <w14:schemeClr w14:val="tx1"/>
            </w14:solidFill>
          </w14:textFill>
        </w:rPr>
        <w:t>2</w:t>
      </w:r>
      <w:bookmarkEnd w:id="0"/>
      <w:r>
        <w:rPr>
          <w:rFonts w:ascii="Times New Roman" w:hAnsi="Times New Roman" w:eastAsia="Georgia" w:cs="Times New Roman"/>
          <w:color w:val="000000" w:themeColor="text1"/>
          <w:sz w:val="24"/>
          <w14:textFill>
            <w14:solidFill>
              <w14:schemeClr w14:val="tx1"/>
            </w14:solidFill>
          </w14:textFill>
        </w:rPr>
        <w:t>, LoVo and T</w:t>
      </w:r>
      <w:r>
        <w:rPr>
          <w:rFonts w:ascii="Times New Roman" w:hAnsi="Times New Roman" w:eastAsia="宋体" w:cs="Times New Roman"/>
          <w:color w:val="000000" w:themeColor="text1"/>
          <w:sz w:val="24"/>
          <w14:textFill>
            <w14:solidFill>
              <w14:schemeClr w14:val="tx1"/>
            </w14:solidFill>
          </w14:textFill>
        </w:rPr>
        <w:t>84</w:t>
      </w:r>
      <w:r>
        <w:rPr>
          <w:rFonts w:ascii="Times New Roman" w:hAnsi="Times New Roman" w:eastAsia="Georgia" w:cs="Times New Roman"/>
          <w:color w:val="000000" w:themeColor="text1"/>
          <w:sz w:val="24"/>
          <w14:textFill>
            <w14:solidFill>
              <w14:schemeClr w14:val="tx1"/>
            </w14:solidFill>
          </w14:textFill>
        </w:rPr>
        <w:t xml:space="preserve"> cell lines were purchased from the Chinese Academy of Science. SW480 and </w:t>
      </w:r>
      <w:r>
        <w:rPr>
          <w:rFonts w:ascii="Times New Roman" w:hAnsi="Times New Roman" w:eastAsia="宋体" w:cs="Times New Roman"/>
          <w:color w:val="000000" w:themeColor="text1"/>
          <w:sz w:val="24"/>
          <w14:textFill>
            <w14:solidFill>
              <w14:schemeClr w14:val="tx1"/>
            </w14:solidFill>
          </w14:textFill>
        </w:rPr>
        <w:t>T84</w:t>
      </w:r>
      <w:r>
        <w:rPr>
          <w:rFonts w:ascii="Times New Roman" w:hAnsi="Times New Roman" w:eastAsia="Georgia" w:cs="Times New Roman"/>
          <w:color w:val="000000" w:themeColor="text1"/>
          <w:sz w:val="24"/>
          <w14:textFill>
            <w14:solidFill>
              <w14:schemeClr w14:val="tx1"/>
            </w14:solidFill>
          </w14:textFill>
        </w:rPr>
        <w:t xml:space="preserve"> cells were cultured in RPMI 1640 medium (Eallbio)</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Georgia" w:cs="Times New Roman"/>
          <w:color w:val="000000" w:themeColor="text1"/>
          <w:sz w:val="24"/>
          <w14:textFill>
            <w14:solidFill>
              <w14:schemeClr w14:val="tx1"/>
            </w14:solidFill>
          </w14:textFill>
        </w:rPr>
        <w:t xml:space="preserve"> LoVo cells were cultured in Ham's F12 </w:t>
      </w:r>
      <w:r>
        <w:rPr>
          <w:rFonts w:ascii="Times New Roman" w:hAnsi="Times New Roman" w:eastAsia="Georgia" w:cs="Times New Roman"/>
          <w:color w:val="000000"/>
          <w:sz w:val="24"/>
        </w:rPr>
        <w:t xml:space="preserve">and </w:t>
      </w:r>
      <w:r>
        <w:rPr>
          <w:rFonts w:ascii="Times New Roman" w:hAnsi="Times New Roman" w:eastAsia="Georgia" w:cs="Times New Roman"/>
          <w:color w:val="000000" w:themeColor="text1"/>
          <w:sz w:val="24"/>
          <w14:textFill>
            <w14:solidFill>
              <w14:schemeClr w14:val="tx1"/>
            </w14:solidFill>
          </w14:textFill>
        </w:rPr>
        <w:t xml:space="preserve">Kaighn's Modification </w:t>
      </w:r>
      <w:r>
        <w:rPr>
          <w:rFonts w:ascii="Times New Roman" w:hAnsi="Times New Roman" w:eastAsia="Georgia" w:cs="Times New Roman"/>
          <w:color w:val="000000"/>
          <w:sz w:val="24"/>
        </w:rPr>
        <w:t>media (Cytiva</w:t>
      </w:r>
      <w:r>
        <w:rPr>
          <w:rFonts w:ascii="Times New Roman" w:hAnsi="Times New Roman" w:eastAsia="Georgia" w:cs="Times New Roman"/>
          <w:color w:val="000000" w:themeColor="text1"/>
          <w:sz w:val="24"/>
          <w14:textFill>
            <w14:solidFill>
              <w14:schemeClr w14:val="tx1"/>
            </w14:solidFill>
          </w14:textFill>
        </w:rPr>
        <w:t>). C</w:t>
      </w:r>
      <w:r>
        <w:rPr>
          <w:rFonts w:hint="eastAsia" w:ascii="Times New Roman" w:hAnsi="Times New Roman" w:eastAsia="宋体" w:cs="Times New Roman"/>
          <w:color w:val="000000" w:themeColor="text1"/>
          <w:sz w:val="24"/>
          <w:lang w:val="en-US"/>
          <w14:textFill>
            <w14:solidFill>
              <w14:schemeClr w14:val="tx1"/>
            </w14:solidFill>
          </w14:textFill>
        </w:rPr>
        <w:t>a</w:t>
      </w:r>
      <w:r>
        <w:rPr>
          <w:rFonts w:ascii="Times New Roman" w:hAnsi="Times New Roman" w:eastAsia="Georgia" w:cs="Times New Roman"/>
          <w:color w:val="000000" w:themeColor="text1"/>
          <w:sz w:val="24"/>
          <w14:textFill>
            <w14:solidFill>
              <w14:schemeClr w14:val="tx1"/>
            </w14:solidFill>
          </w14:textFill>
        </w:rPr>
        <w:t>C</w:t>
      </w:r>
      <w:r>
        <w:rPr>
          <w:rFonts w:hint="eastAsia" w:ascii="Times New Roman" w:hAnsi="Times New Roman" w:eastAsia="宋体" w:cs="Times New Roman"/>
          <w:color w:val="000000" w:themeColor="text1"/>
          <w:sz w:val="24"/>
          <w:lang w:val="en-US"/>
          <w14:textFill>
            <w14:solidFill>
              <w14:schemeClr w14:val="tx1"/>
            </w14:solidFill>
          </w14:textFill>
        </w:rPr>
        <w:t>o</w:t>
      </w:r>
      <w:r>
        <w:rPr>
          <w:rFonts w:ascii="Times New Roman" w:hAnsi="Times New Roman" w:eastAsia="Georgia" w:cs="Times New Roman"/>
          <w:color w:val="000000" w:themeColor="text1"/>
          <w:sz w:val="24"/>
          <w14:textFill>
            <w14:solidFill>
              <w14:schemeClr w14:val="tx1"/>
            </w14:solidFill>
          </w14:textFill>
        </w:rPr>
        <w:t>2 cells were cultured in MEM supplemented with 10% fetal bovine serum (OPCELL), 100 U/mL penicillin, and 100 μg/</w:t>
      </w:r>
      <w:r>
        <w:rPr>
          <w:rFonts w:ascii="Times New Roman" w:hAnsi="Times New Roman" w:eastAsia="Georgia" w:cs="Times New Roman"/>
          <w:color w:val="000000"/>
          <w:sz w:val="24"/>
        </w:rPr>
        <w:t>mL</w:t>
      </w:r>
      <w:r>
        <w:rPr>
          <w:rFonts w:ascii="Times New Roman" w:hAnsi="Times New Roman" w:eastAsia="Georgia" w:cs="Times New Roman"/>
          <w:color w:val="000000" w:themeColor="text1"/>
          <w:sz w:val="24"/>
          <w14:textFill>
            <w14:solidFill>
              <w14:schemeClr w14:val="tx1"/>
            </w14:solidFill>
          </w14:textFill>
        </w:rPr>
        <w:t xml:space="preserve"> streptomycin (Solarbio) and incubated at 37 °C and 5% CO</w:t>
      </w:r>
      <w:r>
        <w:rPr>
          <w:rFonts w:ascii="Times New Roman" w:hAnsi="Times New Roman" w:eastAsia="Georgia" w:cs="Times New Roman"/>
          <w:color w:val="000000" w:themeColor="text1"/>
          <w:sz w:val="24"/>
          <w:vertAlign w:val="subscript"/>
          <w14:textFill>
            <w14:solidFill>
              <w14:schemeClr w14:val="tx1"/>
            </w14:solidFill>
          </w14:textFill>
        </w:rPr>
        <w:t>2</w:t>
      </w:r>
      <w:r>
        <w:rPr>
          <w:rFonts w:ascii="Times New Roman" w:hAnsi="Times New Roman" w:eastAsia="Georgia" w:cs="Times New Roman"/>
          <w:color w:val="000000" w:themeColor="text1"/>
          <w:sz w:val="24"/>
          <w14:textFill>
            <w14:solidFill>
              <w14:schemeClr w14:val="tx1"/>
            </w14:solidFill>
          </w14:textFill>
        </w:rPr>
        <w:t>.</w:t>
      </w:r>
    </w:p>
    <w:p w14:paraId="11258535">
      <w:pPr>
        <w:pStyle w:val="4"/>
        <w:spacing w:beforeAutospacing="0" w:after="80" w:afterAutospacing="0" w:line="480" w:lineRule="auto"/>
        <w:jc w:val="both"/>
        <w:rPr>
          <w:rFonts w:ascii="Times New Roman" w:hAnsi="Times New Roman" w:eastAsia="Georgia" w:cs="Times New Roman"/>
          <w:b/>
          <w:bCs/>
          <w:color w:val="000000" w:themeColor="text1"/>
          <w:highlight w:val="yellow"/>
          <w:lang w:bidi="ar"/>
          <w14:textFill>
            <w14:solidFill>
              <w14:schemeClr w14:val="tx1"/>
            </w14:solidFill>
          </w14:textFill>
        </w:rPr>
      </w:pPr>
      <w:r>
        <w:rPr>
          <w:rFonts w:ascii="Times New Roman" w:hAnsi="Times New Roman" w:cs="Times New Roman"/>
          <w:b/>
          <w:bCs/>
          <w:lang w:bidi="ar"/>
        </w:rPr>
        <w:t xml:space="preserve">Immune </w:t>
      </w:r>
      <w:r>
        <w:rPr>
          <w:rFonts w:ascii="Times New Roman" w:hAnsi="Times New Roman" w:cs="Times New Roman"/>
          <w:b/>
          <w:bCs/>
          <w:color w:val="0D0D0D"/>
          <w:lang w:bidi="ar"/>
        </w:rPr>
        <w:t>Infiltration</w:t>
      </w:r>
      <w:r>
        <w:rPr>
          <w:rFonts w:ascii="Times New Roman" w:hAnsi="Times New Roman" w:cs="Times New Roman"/>
          <w:b/>
          <w:bCs/>
          <w:lang w:bidi="ar"/>
        </w:rPr>
        <w:t xml:space="preserve"> Analysis</w:t>
      </w:r>
    </w:p>
    <w:p w14:paraId="6773F7D3">
      <w:pPr>
        <w:spacing w:line="480" w:lineRule="auto"/>
        <w:rPr>
          <w:rFonts w:ascii="Times New Roman" w:hAnsi="Times New Roman" w:eastAsia="宋体" w:cs="Times New Roman"/>
          <w:sz w:val="24"/>
        </w:rPr>
      </w:pPr>
      <w:r>
        <w:rPr>
          <w:rFonts w:ascii="Times New Roman" w:hAnsi="Times New Roman" w:eastAsia="宋体" w:cs="Times New Roman"/>
          <w:color w:val="0D0D0D" w:themeColor="text1" w:themeTint="F2"/>
          <w:sz w:val="24"/>
          <w14:textFill>
            <w14:solidFill>
              <w14:schemeClr w14:val="tx1">
                <w14:lumMod w14:val="95000"/>
                <w14:lumOff w14:val="5000"/>
              </w14:schemeClr>
            </w14:solidFill>
          </w14:textFill>
        </w:rPr>
        <w:t xml:space="preserve">The </w:t>
      </w:r>
      <w:r>
        <w:rPr>
          <w:rFonts w:ascii="Times New Roman" w:hAnsi="Times New Roman" w:eastAsia="宋体" w:cs="Times New Roman"/>
          <w:color w:val="0D0D0D"/>
          <w:sz w:val="24"/>
        </w:rPr>
        <w:t>associations</w:t>
      </w:r>
      <w:r>
        <w:rPr>
          <w:rFonts w:ascii="Times New Roman" w:hAnsi="Times New Roman" w:eastAsia="宋体" w:cs="Times New Roman"/>
          <w:color w:val="0D0D0D" w:themeColor="text1" w:themeTint="F2"/>
          <w:sz w:val="24"/>
          <w14:textFill>
            <w14:solidFill>
              <w14:schemeClr w14:val="tx1">
                <w14:lumMod w14:val="95000"/>
                <w14:lumOff w14:val="5000"/>
              </w14:schemeClr>
            </w14:solidFill>
          </w14:textFill>
        </w:rPr>
        <w:t xml:space="preserve"> between</w:t>
      </w:r>
      <w:r>
        <w:rPr>
          <w:rFonts w:ascii="Times New Roman" w:hAnsi="Times New Roman" w:eastAsia="宋体" w:cs="Times New Roman"/>
          <w:color w:val="0D0D0D"/>
          <w:sz w:val="24"/>
        </w:rPr>
        <w:t xml:space="preserve"> the</w:t>
      </w:r>
      <w:r>
        <w:rPr>
          <w:rFonts w:ascii="Times New Roman" w:hAnsi="Times New Roman" w:eastAsia="宋体" w:cs="Times New Roman"/>
          <w:color w:val="0D0D0D" w:themeColor="text1" w:themeTint="F2"/>
          <w:sz w:val="24"/>
          <w14:textFill>
            <w14:solidFill>
              <w14:schemeClr w14:val="tx1">
                <w14:lumMod w14:val="95000"/>
                <w14:lumOff w14:val="5000"/>
              </w14:schemeClr>
            </w14:solidFill>
          </w14:textFill>
        </w:rPr>
        <w:t xml:space="preserve"> risk score and tumor-infiltrating immune cell subtypes </w:t>
      </w:r>
      <w:r>
        <w:rPr>
          <w:rFonts w:ascii="Times New Roman" w:hAnsi="Times New Roman" w:eastAsia="宋体" w:cs="Times New Roman"/>
          <w:color w:val="0D0D0D"/>
          <w:sz w:val="24"/>
        </w:rPr>
        <w:t>were</w:t>
      </w:r>
      <w:r>
        <w:rPr>
          <w:rFonts w:ascii="Times New Roman" w:hAnsi="Times New Roman" w:eastAsia="宋体" w:cs="Times New Roman"/>
          <w:color w:val="0D0D0D" w:themeColor="text1" w:themeTint="F2"/>
          <w:sz w:val="24"/>
          <w14:textFill>
            <w14:solidFill>
              <w14:schemeClr w14:val="tx1">
                <w14:lumMod w14:val="95000"/>
                <w14:lumOff w14:val="5000"/>
              </w14:schemeClr>
            </w14:solidFill>
          </w14:textFill>
        </w:rPr>
        <w:t xml:space="preserve"> analysed using TIMER. In addition, CIBERSORT analysis was conducted to estimate the fractions of immune infiltrates. </w:t>
      </w:r>
      <w:r>
        <w:rPr>
          <w:rFonts w:ascii="Times New Roman" w:hAnsi="Times New Roman" w:eastAsia="宋体" w:cs="Times New Roman"/>
          <w:sz w:val="24"/>
        </w:rPr>
        <w:t xml:space="preserve">Pathology HE-stained sections obtained from the TCGA database were used to validate the immune infiltrates in the </w:t>
      </w:r>
      <w:r>
        <w:rPr>
          <w:rFonts w:ascii="Times New Roman" w:hAnsi="Times New Roman" w:eastAsia="宋体" w:cs="Times New Roman"/>
          <w:color w:val="282828"/>
        </w:rPr>
        <w:t>Risk</w:t>
      </w:r>
      <w:r>
        <w:rPr>
          <w:rFonts w:ascii="Times New Roman" w:hAnsi="Times New Roman" w:eastAsia="宋体" w:cs="Times New Roman"/>
          <w:color w:val="282828"/>
          <w:vertAlign w:val="superscript"/>
        </w:rPr>
        <w:t>H</w:t>
      </w:r>
      <w:r>
        <w:rPr>
          <w:rFonts w:ascii="Times New Roman" w:hAnsi="Times New Roman" w:eastAsia="宋体" w:cs="Times New Roman"/>
          <w:sz w:val="24"/>
        </w:rPr>
        <w:t xml:space="preserve"> and </w:t>
      </w:r>
      <w:r>
        <w:rPr>
          <w:rFonts w:ascii="Times New Roman" w:hAnsi="Times New Roman" w:eastAsia="宋体" w:cs="Times New Roman"/>
          <w:color w:val="282828"/>
        </w:rPr>
        <w:t>Risk</w:t>
      </w:r>
      <w:r>
        <w:rPr>
          <w:rFonts w:ascii="Times New Roman" w:hAnsi="Times New Roman" w:eastAsia="宋体" w:cs="Times New Roman"/>
          <w:color w:val="282828"/>
          <w:vertAlign w:val="superscript"/>
        </w:rPr>
        <w:t>L</w:t>
      </w:r>
      <w:r>
        <w:rPr>
          <w:rFonts w:ascii="Times New Roman" w:hAnsi="Times New Roman" w:eastAsia="宋体" w:cs="Times New Roman"/>
          <w:sz w:val="24"/>
        </w:rPr>
        <w:t xml:space="preserve"> tumors.</w:t>
      </w:r>
    </w:p>
    <w:p w14:paraId="66F754FB">
      <w:pPr>
        <w:spacing w:line="480" w:lineRule="auto"/>
        <w:rPr>
          <w:rFonts w:ascii="Times New Roman" w:hAnsi="Times New Roman" w:eastAsia="宋体" w:cs="Times New Roman"/>
          <w:b/>
          <w:bCs/>
          <w:sz w:val="24"/>
        </w:rPr>
      </w:pPr>
      <w:r>
        <w:rPr>
          <w:rFonts w:ascii="Times New Roman" w:hAnsi="Times New Roman" w:cs="Times New Roman"/>
          <w:b/>
          <w:bCs/>
          <w:sz w:val="24"/>
          <w:lang w:bidi="ar"/>
        </w:rPr>
        <w:t xml:space="preserve">Immune </w:t>
      </w:r>
      <w:r>
        <w:rPr>
          <w:rFonts w:ascii="Times New Roman" w:hAnsi="Times New Roman" w:eastAsia="等线" w:cs="Times New Roman"/>
          <w:b/>
          <w:bCs/>
          <w:sz w:val="24"/>
          <w:lang w:bidi="ar"/>
        </w:rPr>
        <w:t>checkpoint expression</w:t>
      </w:r>
      <w:r>
        <w:rPr>
          <w:rFonts w:ascii="Times New Roman" w:hAnsi="Times New Roman" w:cs="Times New Roman"/>
          <w:b/>
          <w:bCs/>
          <w:sz w:val="24"/>
          <w:lang w:bidi="ar"/>
        </w:rPr>
        <w:t xml:space="preserve"> and TIDE </w:t>
      </w:r>
      <w:r>
        <w:rPr>
          <w:rFonts w:ascii="Times New Roman" w:hAnsi="Times New Roman" w:eastAsia="等线" w:cs="Times New Roman"/>
          <w:b/>
          <w:bCs/>
          <w:sz w:val="24"/>
          <w:lang w:bidi="ar"/>
        </w:rPr>
        <w:t>score</w:t>
      </w:r>
    </w:p>
    <w:p w14:paraId="398420A3">
      <w:pPr>
        <w:spacing w:after="80" w:line="480" w:lineRule="auto"/>
        <w:rPr>
          <w:rFonts w:ascii="Times New Roman" w:hAnsi="Times New Roman" w:eastAsia="宋体" w:cs="Times New Roman"/>
          <w:color w:val="000000" w:themeColor="text1"/>
          <w:sz w:val="24"/>
          <w:highlight w:val="yellow"/>
          <w14:textFill>
            <w14:solidFill>
              <w14:schemeClr w14:val="tx1"/>
            </w14:solidFill>
          </w14:textFill>
        </w:rPr>
      </w:pPr>
      <w:r>
        <w:rPr>
          <w:rFonts w:ascii="Times New Roman" w:hAnsi="Times New Roman" w:eastAsia="宋体" w:cs="Times New Roman"/>
          <w:sz w:val="24"/>
        </w:rPr>
        <w:t xml:space="preserve">The differences in the expression of checkpoint molecules between the </w:t>
      </w:r>
      <w:r>
        <w:rPr>
          <w:rFonts w:ascii="Times New Roman" w:hAnsi="Times New Roman" w:eastAsia="宋体" w:cs="Times New Roman"/>
          <w:color w:val="282828"/>
        </w:rPr>
        <w:t>Risk</w:t>
      </w:r>
      <w:r>
        <w:rPr>
          <w:rFonts w:ascii="Times New Roman" w:hAnsi="Times New Roman" w:eastAsia="宋体" w:cs="Times New Roman"/>
          <w:color w:val="282828"/>
          <w:vertAlign w:val="superscript"/>
        </w:rPr>
        <w:t>H</w:t>
      </w:r>
      <w:r>
        <w:rPr>
          <w:rFonts w:ascii="Times New Roman" w:hAnsi="Times New Roman" w:eastAsia="宋体" w:cs="Times New Roman"/>
          <w:sz w:val="24"/>
        </w:rPr>
        <w:t xml:space="preserve"> and </w:t>
      </w:r>
      <w:r>
        <w:rPr>
          <w:rFonts w:ascii="Times New Roman" w:hAnsi="Times New Roman" w:eastAsia="宋体" w:cs="Times New Roman"/>
          <w:color w:val="282828"/>
        </w:rPr>
        <w:t>Risk</w:t>
      </w:r>
      <w:r>
        <w:rPr>
          <w:rFonts w:ascii="Times New Roman" w:hAnsi="Times New Roman" w:eastAsia="宋体" w:cs="Times New Roman"/>
          <w:color w:val="282828"/>
          <w:vertAlign w:val="superscript"/>
        </w:rPr>
        <w:t>L</w:t>
      </w:r>
      <w:r>
        <w:rPr>
          <w:rFonts w:ascii="Times New Roman" w:hAnsi="Times New Roman" w:eastAsia="宋体" w:cs="Times New Roman"/>
          <w:sz w:val="24"/>
        </w:rPr>
        <w:t xml:space="preserve"> samples were analysed via the Wilcoxon signed-rank test. The TIDE score was utilized to assess tumor immune escape and dysfunction. The gg</w:t>
      </w:r>
      <w:r>
        <w:rPr>
          <w:rFonts w:ascii="Times New Roman" w:hAnsi="Times New Roman" w:eastAsia="宋体" w:cs="Times New Roman"/>
          <w:color w:val="0D0D0D" w:themeColor="text1" w:themeTint="F2"/>
          <w:sz w:val="24"/>
          <w14:textFill>
            <w14:solidFill>
              <w14:schemeClr w14:val="tx1">
                <w14:lumMod w14:val="95000"/>
                <w14:lumOff w14:val="5000"/>
              </w14:schemeClr>
            </w14:solidFill>
          </w14:textFill>
        </w:rPr>
        <w:t>plot2 R package</w:t>
      </w:r>
      <w:r>
        <w:rPr>
          <w:rFonts w:ascii="Times New Roman" w:hAnsi="Times New Roman" w:eastAsia="宋体" w:cs="Times New Roman"/>
          <w:color w:val="0D0D0D"/>
          <w:sz w:val="24"/>
        </w:rPr>
        <w:t xml:space="preserve"> was used to visualize</w:t>
      </w:r>
      <w:r>
        <w:rPr>
          <w:rFonts w:ascii="Times New Roman" w:hAnsi="Times New Roman" w:eastAsia="宋体" w:cs="Times New Roman"/>
          <w:color w:val="0D0D0D" w:themeColor="text1" w:themeTint="F2"/>
          <w:sz w:val="24"/>
          <w14:textFill>
            <w14:solidFill>
              <w14:schemeClr w14:val="tx1">
                <w14:lumMod w14:val="95000"/>
                <w14:lumOff w14:val="5000"/>
              </w14:schemeClr>
            </w14:solidFill>
          </w14:textFill>
        </w:rPr>
        <w:t xml:space="preserve"> all TIMER and CIBERSORT results.</w:t>
      </w:r>
    </w:p>
    <w:p w14:paraId="1CE4E5EF">
      <w:pPr>
        <w:pStyle w:val="4"/>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Transwell migration assay</w:t>
      </w:r>
    </w:p>
    <w:p w14:paraId="1455B7B3">
      <w:pPr>
        <w:widowControl/>
        <w:spacing w:before="100" w:beforeAutospacing="1" w:after="100" w:afterAutospacing="1" w:line="480" w:lineRule="auto"/>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 xml:space="preserve">A total of 5000 cells were seeded in the upper chambers of a 24-well plate (Corning, USA) in 200 μl of medium lacking serum. The lower chamber was filled with 500 </w:t>
      </w:r>
      <w:r>
        <w:rPr>
          <w:rFonts w:ascii="Times New Roman" w:hAnsi="Times New Roman" w:eastAsia="宋体" w:cs="Times New Roman"/>
          <w:color w:val="000000"/>
          <w:kern w:val="0"/>
          <w:sz w:val="24"/>
        </w:rPr>
        <w:t>µl</w:t>
      </w:r>
      <w:r>
        <w:rPr>
          <w:rFonts w:ascii="Times New Roman" w:hAnsi="Times New Roman" w:eastAsia="宋体" w:cs="Times New Roman"/>
          <w:color w:val="000000" w:themeColor="text1"/>
          <w:kern w:val="0"/>
          <w:sz w:val="24"/>
          <w14:textFill>
            <w14:solidFill>
              <w14:schemeClr w14:val="tx1"/>
            </w14:solidFill>
          </w14:textFill>
        </w:rPr>
        <w:t xml:space="preserve"> </w:t>
      </w:r>
      <w:r>
        <w:rPr>
          <w:rFonts w:ascii="Times New Roman" w:hAnsi="Times New Roman" w:eastAsia="宋体" w:cs="Times New Roman"/>
          <w:color w:val="000000"/>
          <w:kern w:val="0"/>
          <w:sz w:val="24"/>
        </w:rPr>
        <w:t xml:space="preserve">of </w:t>
      </w:r>
      <w:r>
        <w:rPr>
          <w:rFonts w:ascii="Times New Roman" w:hAnsi="Times New Roman" w:eastAsia="Georgia" w:cs="Times New Roman"/>
          <w:color w:val="000000" w:themeColor="text1"/>
          <w:sz w:val="24"/>
          <w14:textFill>
            <w14:solidFill>
              <w14:schemeClr w14:val="tx1"/>
            </w14:solidFill>
          </w14:textFill>
        </w:rPr>
        <w:t>medium</w:t>
      </w:r>
      <w:r>
        <w:rPr>
          <w:rFonts w:ascii="Times New Roman" w:hAnsi="Times New Roman" w:eastAsia="宋体" w:cs="Times New Roman"/>
          <w:color w:val="000000" w:themeColor="text1"/>
          <w:kern w:val="0"/>
          <w:sz w:val="24"/>
          <w14:textFill>
            <w14:solidFill>
              <w14:schemeClr w14:val="tx1"/>
            </w14:solidFill>
          </w14:textFill>
        </w:rPr>
        <w:t xml:space="preserve"> supplemented with 10% FBS. After 24 h of incubation at 37 °C, </w:t>
      </w:r>
      <w:r>
        <w:rPr>
          <w:rFonts w:ascii="Times New Roman" w:hAnsi="Times New Roman" w:eastAsia="宋体" w:cs="Times New Roman"/>
          <w:color w:val="000000"/>
          <w:kern w:val="0"/>
          <w:sz w:val="24"/>
        </w:rPr>
        <w:t xml:space="preserve">the </w:t>
      </w:r>
      <w:r>
        <w:rPr>
          <w:rFonts w:ascii="Times New Roman" w:hAnsi="Times New Roman" w:eastAsia="宋体" w:cs="Times New Roman"/>
          <w:color w:val="000000" w:themeColor="text1"/>
          <w:kern w:val="0"/>
          <w:sz w:val="24"/>
          <w14:textFill>
            <w14:solidFill>
              <w14:schemeClr w14:val="tx1"/>
            </w14:solidFill>
          </w14:textFill>
        </w:rPr>
        <w:t>cells invading the lower chambers were fixed with methanol and stained with crystal violet. Images were taken with an inverted microscope (Leica, Germany) and analysed using Image</w:t>
      </w:r>
      <w:r>
        <w:rPr>
          <w:rFonts w:hint="eastAsia" w:ascii="Times New Roman" w:hAnsi="Times New Roman" w:eastAsia="宋体" w:cs="Times New Roman"/>
          <w:color w:val="000000" w:themeColor="text1"/>
          <w:kern w:val="0"/>
          <w:sz w:val="24"/>
          <w:lang w:val="en-US"/>
          <w14:textFill>
            <w14:solidFill>
              <w14:schemeClr w14:val="tx1"/>
            </w14:solidFill>
          </w14:textFill>
        </w:rPr>
        <w:t xml:space="preserve"> </w:t>
      </w:r>
      <w:r>
        <w:rPr>
          <w:rFonts w:ascii="Times New Roman" w:hAnsi="Times New Roman" w:eastAsia="宋体" w:cs="Times New Roman"/>
          <w:color w:val="000000" w:themeColor="text1"/>
          <w:kern w:val="0"/>
          <w:sz w:val="24"/>
          <w14:textFill>
            <w14:solidFill>
              <w14:schemeClr w14:val="tx1"/>
            </w14:solidFill>
          </w14:textFill>
        </w:rPr>
        <w:t>J software.</w:t>
      </w:r>
    </w:p>
    <w:p w14:paraId="37751882">
      <w:pPr>
        <w:widowControl/>
        <w:spacing w:before="100" w:beforeAutospacing="1" w:after="100" w:afterAutospacing="1"/>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b/>
          <w:bCs/>
          <w:color w:val="000000" w:themeColor="text1"/>
          <w:kern w:val="0"/>
          <w:sz w:val="24"/>
          <w14:textFill>
            <w14:solidFill>
              <w14:schemeClr w14:val="tx1"/>
            </w14:solidFill>
          </w14:textFill>
        </w:rPr>
        <w:t>Western blotting</w:t>
      </w:r>
    </w:p>
    <w:p w14:paraId="2239FBD6">
      <w:pPr>
        <w:widowControl/>
        <w:spacing w:line="48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Georgia" w:cs="Times New Roman"/>
          <w:color w:val="000000" w:themeColor="text1"/>
          <w:sz w:val="24"/>
          <w14:textFill>
            <w14:solidFill>
              <w14:schemeClr w14:val="tx1"/>
            </w14:solidFill>
          </w14:textFill>
        </w:rPr>
        <w:t xml:space="preserve">Total proteins were extracted from cells with RIPA lysis buffer (Biyuntian) according to the manufacturer’s instructions. </w:t>
      </w:r>
      <w:r>
        <w:rPr>
          <w:rFonts w:ascii="Times New Roman" w:hAnsi="Times New Roman" w:eastAsia="Georgia" w:cs="Times New Roman"/>
          <w:color w:val="000000"/>
          <w:sz w:val="24"/>
        </w:rPr>
        <w:t>Equal amounts</w:t>
      </w:r>
      <w:r>
        <w:rPr>
          <w:rFonts w:ascii="Times New Roman" w:hAnsi="Times New Roman" w:eastAsia="Georgia" w:cs="Times New Roman"/>
          <w:color w:val="000000" w:themeColor="text1"/>
          <w:sz w:val="24"/>
          <w14:textFill>
            <w14:solidFill>
              <w14:schemeClr w14:val="tx1"/>
            </w14:solidFill>
          </w14:textFill>
        </w:rPr>
        <w:t xml:space="preserve"> of protein </w:t>
      </w:r>
      <w:r>
        <w:rPr>
          <w:rFonts w:ascii="Times New Roman" w:hAnsi="Times New Roman" w:eastAsia="Georgia" w:cs="Times New Roman"/>
          <w:color w:val="000000"/>
          <w:sz w:val="24"/>
        </w:rPr>
        <w:t>from</w:t>
      </w:r>
      <w:r>
        <w:rPr>
          <w:rFonts w:ascii="Times New Roman" w:hAnsi="Times New Roman" w:eastAsia="Georgia" w:cs="Times New Roman"/>
          <w:color w:val="000000" w:themeColor="text1"/>
          <w:sz w:val="24"/>
          <w14:textFill>
            <w14:solidFill>
              <w14:schemeClr w14:val="tx1"/>
            </w14:solidFill>
          </w14:textFill>
        </w:rPr>
        <w:t xml:space="preserve"> each sample </w:t>
      </w:r>
      <w:r>
        <w:rPr>
          <w:rFonts w:ascii="Times New Roman" w:hAnsi="Times New Roman" w:eastAsia="Georgia" w:cs="Times New Roman"/>
          <w:color w:val="000000"/>
          <w:sz w:val="24"/>
        </w:rPr>
        <w:t>were separated by</w:t>
      </w:r>
      <w:r>
        <w:rPr>
          <w:rFonts w:ascii="Times New Roman" w:hAnsi="Times New Roman" w:eastAsia="Georgia" w:cs="Times New Roman"/>
          <w:color w:val="000000" w:themeColor="text1"/>
          <w:sz w:val="24"/>
          <w14:textFill>
            <w14:solidFill>
              <w14:schemeClr w14:val="tx1"/>
            </w14:solidFill>
          </w14:textFill>
        </w:rPr>
        <w:t xml:space="preserve"> 12.5% SDS‒PAGE and transferred onto PVDF membranes. After blocking with 5% skim milk, </w:t>
      </w:r>
      <w:r>
        <w:rPr>
          <w:rFonts w:ascii="Times New Roman" w:hAnsi="Times New Roman" w:eastAsia="Georgia" w:cs="Times New Roman"/>
          <w:color w:val="000000"/>
          <w:sz w:val="24"/>
        </w:rPr>
        <w:t xml:space="preserve">the </w:t>
      </w:r>
      <w:r>
        <w:rPr>
          <w:rFonts w:ascii="Times New Roman" w:hAnsi="Times New Roman" w:eastAsia="Georgia" w:cs="Times New Roman"/>
          <w:color w:val="000000" w:themeColor="text1"/>
          <w:sz w:val="24"/>
          <w14:textFill>
            <w14:solidFill>
              <w14:schemeClr w14:val="tx1"/>
            </w14:solidFill>
          </w14:textFill>
        </w:rPr>
        <w:t>blots were incubated with primary antibodies against SFRP2</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ab137560</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Georgia" w:cs="Times New Roman"/>
          <w:color w:val="000000" w:themeColor="text1"/>
          <w:sz w:val="24"/>
          <w14:textFill>
            <w14:solidFill>
              <w14:schemeClr w14:val="tx1"/>
            </w14:solidFill>
          </w14:textFill>
        </w:rPr>
        <w:t>, E-cadherin</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ab76319</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Georgia"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宋体" w:cs="Times New Roman"/>
          <w:color w:val="000000"/>
          <w:sz w:val="24"/>
        </w:rPr>
        <w:t>vimentin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ab92547</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Georgia"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Twist</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ab175430),</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β-catenin</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ab32572),</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GSK-3</w:t>
      </w:r>
      <w:r>
        <w:rPr>
          <w:rFonts w:ascii="Times New Roman" w:hAnsi="Times New Roman" w:eastAsia="宋体" w:cs="Times New Roman"/>
          <w:color w:val="000000" w:themeColor="text1"/>
          <w:sz w:val="24"/>
          <w14:textFill>
            <w14:solidFill>
              <w14:schemeClr w14:val="tx1"/>
            </w14:solidFill>
          </w14:textFill>
        </w:rPr>
        <w:t>β</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ab93926),</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Cyclin D1</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ab134175),</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C-Myc</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ab185655),</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and ENO2</w:t>
      </w:r>
      <w:r>
        <w:rPr>
          <w:rFonts w:ascii="Times New Roman" w:hAnsi="Times New Roman" w:eastAsia="Georgia" w:cs="Times New Roman"/>
          <w:color w:val="000000"/>
          <w:sz w:val="24"/>
        </w:rPr>
        <w:t xml:space="preserve"> </w:t>
      </w:r>
      <w:r>
        <w:rPr>
          <w:rFonts w:ascii="Times New Roman" w:hAnsi="Times New Roman" w:eastAsia="宋体" w:cs="Times New Roman"/>
          <w:color w:val="000000" w:themeColor="text1"/>
          <w:sz w:val="24"/>
          <w14:textFill>
            <w14:solidFill>
              <w14:schemeClr w14:val="tx1"/>
            </w14:solidFill>
          </w14:textFill>
        </w:rPr>
        <w:t xml:space="preserve">(Cell </w:t>
      </w:r>
      <w:r>
        <w:rPr>
          <w:rFonts w:ascii="Times New Roman" w:hAnsi="Times New Roman" w:eastAsia="宋体" w:cs="Times New Roman"/>
          <w:color w:val="000000"/>
          <w:sz w:val="24"/>
        </w:rPr>
        <w:t>Signaling Technology</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#8171</w:t>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themeColor="text1"/>
          <w:sz w:val="24"/>
          <w14:textFill>
            <w14:solidFill>
              <w14:schemeClr w14:val="tx1"/>
            </w14:solidFill>
          </w14:textFill>
        </w:rPr>
        <w:t xml:space="preserve">overnight at 4 °C and then incubated with </w:t>
      </w:r>
      <w:r>
        <w:rPr>
          <w:rFonts w:ascii="Times New Roman" w:hAnsi="Times New Roman" w:eastAsia="Georgia" w:cs="Times New Roman"/>
          <w:color w:val="000000"/>
          <w:sz w:val="24"/>
        </w:rPr>
        <w:t xml:space="preserve">a </w:t>
      </w:r>
      <w:r>
        <w:rPr>
          <w:rFonts w:ascii="Times New Roman" w:hAnsi="Times New Roman" w:eastAsia="Georgia" w:cs="Times New Roman"/>
          <w:color w:val="000000" w:themeColor="text1"/>
          <w:sz w:val="24"/>
          <w14:textFill>
            <w14:solidFill>
              <w14:schemeClr w14:val="tx1"/>
            </w14:solidFill>
          </w14:textFill>
        </w:rPr>
        <w:t>horseradish peroxidase-</w:t>
      </w:r>
      <w:r>
        <w:rPr>
          <w:rFonts w:ascii="Times New Roman" w:hAnsi="Times New Roman" w:eastAsia="Georgia" w:cs="Times New Roman"/>
          <w:color w:val="000000"/>
          <w:sz w:val="24"/>
        </w:rPr>
        <w:t>conjugated</w:t>
      </w:r>
      <w:r>
        <w:rPr>
          <w:rFonts w:ascii="Times New Roman" w:hAnsi="Times New Roman" w:eastAsia="Georgia" w:cs="Times New Roman"/>
          <w:color w:val="000000" w:themeColor="text1"/>
          <w:sz w:val="24"/>
          <w14:textFill>
            <w14:solidFill>
              <w14:schemeClr w14:val="tx1"/>
            </w14:solidFill>
          </w14:textFill>
        </w:rPr>
        <w:t xml:space="preserve"> IgG secondary antibody (Earthox) for 2 h at room temperature. The protein bands were visualized with an enhanced chemiluminescence detection reagent and </w:t>
      </w:r>
      <w:r>
        <w:rPr>
          <w:rFonts w:ascii="Times New Roman" w:hAnsi="Times New Roman" w:eastAsia="Georgia" w:cs="Times New Roman"/>
          <w:color w:val="000000"/>
          <w:sz w:val="24"/>
        </w:rPr>
        <w:t>analysed</w:t>
      </w:r>
      <w:r>
        <w:rPr>
          <w:rFonts w:ascii="Times New Roman" w:hAnsi="Times New Roman" w:eastAsia="Georgia" w:cs="Times New Roman"/>
          <w:color w:val="000000" w:themeColor="text1"/>
          <w:sz w:val="24"/>
          <w14:textFill>
            <w14:solidFill>
              <w14:schemeClr w14:val="tx1"/>
            </w14:solidFill>
          </w14:textFill>
        </w:rPr>
        <w:t xml:space="preserve"> with </w:t>
      </w:r>
      <w:r>
        <w:rPr>
          <w:rFonts w:ascii="Times New Roman" w:hAnsi="Times New Roman" w:eastAsia="Georgia" w:cs="Times New Roman"/>
          <w:color w:val="000000"/>
          <w:sz w:val="24"/>
        </w:rPr>
        <w:t>a</w:t>
      </w:r>
      <w:r>
        <w:rPr>
          <w:rFonts w:ascii="Times New Roman" w:hAnsi="Times New Roman" w:eastAsia="Georgia" w:cs="Times New Roman"/>
          <w:color w:val="000000" w:themeColor="text1"/>
          <w:sz w:val="24"/>
          <w14:textFill>
            <w14:solidFill>
              <w14:schemeClr w14:val="tx1"/>
            </w14:solidFill>
          </w14:textFill>
        </w:rPr>
        <w:t xml:space="preserve"> Bio-Rad ChemiDoc XRS system (Bio-Rad, Hercules, CA,</w:t>
      </w:r>
      <w:r>
        <w:rPr>
          <w:rFonts w:ascii="Times New Roman" w:hAnsi="Times New Roman" w:eastAsia="Georgia" w:cs="Times New Roman"/>
          <w:color w:val="000000"/>
          <w:sz w:val="24"/>
        </w:rPr>
        <w:t xml:space="preserve"> </w:t>
      </w:r>
      <w:r>
        <w:rPr>
          <w:rFonts w:ascii="Times New Roman" w:hAnsi="Times New Roman" w:eastAsia="Georgia" w:cs="Times New Roman"/>
          <w:color w:val="000000" w:themeColor="text1"/>
          <w:sz w:val="24"/>
          <w14:textFill>
            <w14:solidFill>
              <w14:schemeClr w14:val="tx1"/>
            </w14:solidFill>
          </w14:textFill>
        </w:rPr>
        <w:t>USA)</w:t>
      </w:r>
      <w:r>
        <w:rPr>
          <w:rFonts w:ascii="Times New Roman" w:hAnsi="Times New Roman" w:eastAsia="宋体" w:cs="Times New Roman"/>
          <w:color w:val="000000" w:themeColor="text1"/>
          <w:sz w:val="24"/>
          <w14:textFill>
            <w14:solidFill>
              <w14:schemeClr w14:val="tx1"/>
            </w14:solidFill>
          </w14:textFill>
        </w:rPr>
        <w:t>.</w:t>
      </w:r>
    </w:p>
    <w:p w14:paraId="257EF498">
      <w:pPr>
        <w:widowControl/>
        <w:spacing w:before="100" w:beforeAutospacing="1" w:after="100" w:afterAutospacing="1"/>
        <w:rPr>
          <w:rFonts w:ascii="Times New Roman" w:hAnsi="Times New Roman" w:eastAsia="宋体" w:cs="Times New Roman"/>
          <w:b/>
          <w:bCs/>
          <w:color w:val="000000" w:themeColor="text1"/>
          <w:kern w:val="0"/>
          <w:sz w:val="24"/>
          <w14:textFill>
            <w14:solidFill>
              <w14:schemeClr w14:val="tx1"/>
            </w14:solidFill>
          </w14:textFill>
        </w:rPr>
      </w:pPr>
      <w:r>
        <w:rPr>
          <w:rFonts w:ascii="Times New Roman" w:hAnsi="Times New Roman" w:eastAsia="宋体" w:cs="Times New Roman"/>
          <w:b/>
          <w:bCs/>
          <w:color w:val="000000" w:themeColor="text1"/>
          <w:kern w:val="0"/>
          <w:sz w:val="24"/>
          <w14:textFill>
            <w14:solidFill>
              <w14:schemeClr w14:val="tx1"/>
            </w14:solidFill>
          </w14:textFill>
        </w:rPr>
        <w:t>Real</w:t>
      </w:r>
      <w:r>
        <w:rPr>
          <w:rFonts w:ascii="Times New Roman" w:hAnsi="Times New Roman" w:eastAsia="宋体" w:cs="Times New Roman"/>
          <w:b/>
          <w:bCs/>
          <w:color w:val="000000"/>
          <w:kern w:val="0"/>
          <w:sz w:val="24"/>
        </w:rPr>
        <w:t>-</w:t>
      </w:r>
      <w:r>
        <w:rPr>
          <w:rFonts w:ascii="Times New Roman" w:hAnsi="Times New Roman" w:eastAsia="宋体" w:cs="Times New Roman"/>
          <w:b/>
          <w:bCs/>
          <w:color w:val="000000" w:themeColor="text1"/>
          <w:kern w:val="0"/>
          <w:sz w:val="24"/>
          <w14:textFill>
            <w14:solidFill>
              <w14:schemeClr w14:val="tx1"/>
            </w14:solidFill>
          </w14:textFill>
        </w:rPr>
        <w:t>time quantitative polymerase chain reaction (</w:t>
      </w:r>
      <w:r>
        <w:rPr>
          <w:rFonts w:ascii="Times New Roman" w:hAnsi="Times New Roman" w:eastAsia="宋体" w:cs="Times New Roman"/>
          <w:b/>
          <w:bCs/>
          <w:color w:val="000000"/>
          <w:kern w:val="0"/>
          <w:sz w:val="24"/>
        </w:rPr>
        <w:t>qRT‒PCR</w:t>
      </w:r>
      <w:r>
        <w:rPr>
          <w:rFonts w:ascii="Times New Roman" w:hAnsi="Times New Roman" w:eastAsia="宋体" w:cs="Times New Roman"/>
          <w:b/>
          <w:bCs/>
          <w:color w:val="000000" w:themeColor="text1"/>
          <w:kern w:val="0"/>
          <w:sz w:val="24"/>
          <w14:textFill>
            <w14:solidFill>
              <w14:schemeClr w14:val="tx1"/>
            </w14:solidFill>
          </w14:textFill>
        </w:rPr>
        <w:t>)</w:t>
      </w:r>
    </w:p>
    <w:p w14:paraId="127A395F">
      <w:pPr>
        <w:widowControl/>
        <w:spacing w:line="480" w:lineRule="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Georgia" w:cs="Times New Roman"/>
          <w:color w:val="000000" w:themeColor="text1"/>
          <w:sz w:val="24"/>
          <w14:textFill>
            <w14:solidFill>
              <w14:schemeClr w14:val="tx1"/>
            </w14:solidFill>
          </w14:textFill>
        </w:rPr>
        <w:t xml:space="preserve">We extracted total RNA from cells using TRNzol Universal (Ambion, Beijing, China) to </w:t>
      </w:r>
      <w:r>
        <w:rPr>
          <w:rFonts w:ascii="Times New Roman" w:hAnsi="Times New Roman" w:eastAsia="Georgia" w:cs="Times New Roman"/>
          <w:color w:val="000000"/>
          <w:sz w:val="24"/>
        </w:rPr>
        <w:t>synthesize</w:t>
      </w:r>
      <w:r>
        <w:rPr>
          <w:rFonts w:ascii="Times New Roman" w:hAnsi="Times New Roman" w:eastAsia="Georgia" w:cs="Times New Roman"/>
          <w:color w:val="000000" w:themeColor="text1"/>
          <w:sz w:val="24"/>
          <w14:textFill>
            <w14:solidFill>
              <w14:schemeClr w14:val="tx1"/>
            </w14:solidFill>
          </w14:textFill>
        </w:rPr>
        <w:t xml:space="preserve"> complementary DNA (cDNA) using the FastQuant First-Strand cDNA Synthesis </w:t>
      </w:r>
      <w:r>
        <w:rPr>
          <w:rFonts w:ascii="Times New Roman" w:hAnsi="Times New Roman" w:eastAsia="Georgia" w:cs="Times New Roman"/>
          <w:color w:val="000000"/>
          <w:sz w:val="24"/>
        </w:rPr>
        <w:t>Kit</w:t>
      </w:r>
      <w:r>
        <w:rPr>
          <w:rFonts w:ascii="Times New Roman" w:hAnsi="Times New Roman" w:eastAsia="Georgia" w:cs="Times New Roman"/>
          <w:color w:val="000000" w:themeColor="text1"/>
          <w:sz w:val="24"/>
          <w14:textFill>
            <w14:solidFill>
              <w14:schemeClr w14:val="tx1"/>
            </w14:solidFill>
          </w14:textFill>
        </w:rPr>
        <w:t xml:space="preserve"> (Takara). The reaction mixture consisted of 1 μg of cDNA, 5 μl of SYBR Green/Fluorescein qPCR Master Mix and a primer mixture containing both upstream and downstream primers at a concentration of 2 μM. Diethylpyrocarbonate (DEPC) water was added to attain the desired volume, resulting in a final volume of 10 μl. We performed </w:t>
      </w:r>
      <w:r>
        <w:rPr>
          <w:rFonts w:ascii="Times New Roman" w:hAnsi="Times New Roman" w:eastAsia="Georgia" w:cs="Times New Roman"/>
          <w:color w:val="000000"/>
          <w:sz w:val="24"/>
        </w:rPr>
        <w:t>qRT‒PCR</w:t>
      </w:r>
      <w:r>
        <w:rPr>
          <w:rFonts w:ascii="Times New Roman" w:hAnsi="Times New Roman" w:eastAsia="Georgia" w:cs="Times New Roman"/>
          <w:color w:val="000000" w:themeColor="text1"/>
          <w:sz w:val="24"/>
          <w14:textFill>
            <w14:solidFill>
              <w14:schemeClr w14:val="tx1"/>
            </w14:solidFill>
          </w14:textFill>
        </w:rPr>
        <w:t xml:space="preserve"> using a 7500 Fast Real-Time PCR data analysis system, with </w:t>
      </w:r>
      <w:r>
        <w:rPr>
          <w:rFonts w:ascii="Times New Roman" w:hAnsi="Times New Roman" w:eastAsia="宋体" w:cs="Times New Roman"/>
          <w:color w:val="000000" w:themeColor="text1"/>
          <w:sz w:val="24"/>
          <w14:textFill>
            <w14:solidFill>
              <w14:schemeClr w14:val="tx1"/>
            </w14:solidFill>
          </w14:textFill>
        </w:rPr>
        <w:t>ACTIN</w:t>
      </w:r>
      <w:r>
        <w:rPr>
          <w:rFonts w:ascii="Times New Roman" w:hAnsi="Times New Roman" w:eastAsia="Georgia" w:cs="Times New Roman"/>
          <w:color w:val="000000" w:themeColor="text1"/>
          <w:sz w:val="24"/>
          <w14:textFill>
            <w14:solidFill>
              <w14:schemeClr w14:val="tx1"/>
            </w14:solidFill>
          </w14:textFill>
        </w:rPr>
        <w:t xml:space="preserve"> as the internal reference. We calculated the expression of transcripts using the 2</w:t>
      </w:r>
      <w:r>
        <w:rPr>
          <w:rFonts w:ascii="Times New Roman" w:hAnsi="Times New Roman" w:eastAsia="Georgia" w:cs="Times New Roman"/>
          <w:color w:val="000000" w:themeColor="text1"/>
          <w:sz w:val="24"/>
          <w:vertAlign w:val="superscript"/>
          <w14:textFill>
            <w14:solidFill>
              <w14:schemeClr w14:val="tx1"/>
            </w14:solidFill>
          </w14:textFill>
        </w:rPr>
        <w:t>−△△ct</w:t>
      </w:r>
      <w:r>
        <w:rPr>
          <w:rFonts w:ascii="Times New Roman" w:hAnsi="Times New Roman" w:eastAsia="Georgia" w:cs="Times New Roman"/>
          <w:color w:val="000000" w:themeColor="text1"/>
          <w:sz w:val="24"/>
          <w14:textFill>
            <w14:solidFill>
              <w14:schemeClr w14:val="tx1"/>
            </w14:solidFill>
          </w14:textFill>
        </w:rPr>
        <w:t xml:space="preserve"> method. The primer sequences are </w:t>
      </w:r>
      <w:r>
        <w:rPr>
          <w:rFonts w:ascii="Times New Roman" w:hAnsi="Times New Roman" w:eastAsia="宋体" w:cs="Times New Roman"/>
          <w:color w:val="000000"/>
          <w:sz w:val="24"/>
        </w:rPr>
        <w:t>listed</w:t>
      </w:r>
      <w:r>
        <w:rPr>
          <w:rFonts w:ascii="Times New Roman" w:hAnsi="Times New Roman" w:eastAsia="宋体" w:cs="Times New Roman"/>
          <w:color w:val="000000" w:themeColor="text1"/>
          <w:sz w:val="24"/>
          <w14:textFill>
            <w14:solidFill>
              <w14:schemeClr w14:val="tx1"/>
            </w14:solidFill>
          </w14:textFill>
        </w:rPr>
        <w:t xml:space="preserve"> in </w:t>
      </w:r>
      <w:r>
        <w:rPr>
          <w:rFonts w:hint="eastAsia" w:ascii="Times New Roman" w:hAnsi="Times New Roman" w:eastAsia="宋体" w:cs="Times New Roman"/>
          <w:color w:val="000000" w:themeColor="text1"/>
          <w:sz w:val="24"/>
          <w14:textFill>
            <w14:solidFill>
              <w14:schemeClr w14:val="tx1"/>
            </w14:solidFill>
          </w14:textFill>
        </w:rPr>
        <w:t>Table S</w:t>
      </w:r>
      <w:r>
        <w:rPr>
          <w:rFonts w:hint="eastAsia" w:ascii="Times New Roman" w:hAnsi="Times New Roman" w:eastAsia="宋体" w:cs="Times New Roman"/>
          <w:color w:val="000000" w:themeColor="text1"/>
          <w:sz w:val="24"/>
          <w:lang w:val="en-US"/>
          <w14:textFill>
            <w14:solidFill>
              <w14:schemeClr w14:val="tx1"/>
            </w14:solidFill>
          </w14:textFill>
        </w:rPr>
        <w:t>11</w:t>
      </w:r>
      <w:r>
        <w:rPr>
          <w:rFonts w:ascii="Times New Roman" w:hAnsi="Times New Roman" w:eastAsia="宋体" w:cs="Times New Roman"/>
          <w:color w:val="000000" w:themeColor="text1"/>
          <w:sz w:val="24"/>
          <w14:textFill>
            <w14:solidFill>
              <w14:schemeClr w14:val="tx1"/>
            </w14:solidFill>
          </w14:textFill>
        </w:rPr>
        <w:t>.</w:t>
      </w:r>
    </w:p>
    <w:p w14:paraId="75F7B64B">
      <w:pPr>
        <w:widowControl/>
        <w:spacing w:before="100" w:beforeAutospacing="1" w:after="100" w:afterAutospacing="1"/>
        <w:rPr>
          <w:rFonts w:ascii="Times New Roman" w:hAnsi="Times New Roman" w:eastAsia="宋体" w:cs="Times New Roman"/>
          <w:b/>
          <w:bCs/>
          <w:color w:val="000000" w:themeColor="text1"/>
          <w:kern w:val="0"/>
          <w:sz w:val="24"/>
          <w:lang w:val="en-US"/>
          <w14:textFill>
            <w14:solidFill>
              <w14:schemeClr w14:val="tx1"/>
            </w14:solidFill>
          </w14:textFill>
        </w:rPr>
      </w:pPr>
      <w:r>
        <w:rPr>
          <w:rFonts w:ascii="Times New Roman" w:hAnsi="Times New Roman" w:eastAsia="宋体" w:cs="Times New Roman"/>
          <w:b/>
          <w:bCs/>
          <w:color w:val="000000" w:themeColor="text1"/>
          <w:kern w:val="0"/>
          <w:sz w:val="24"/>
          <w14:textFill>
            <w14:solidFill>
              <w14:schemeClr w14:val="tx1"/>
            </w14:solidFill>
          </w14:textFill>
        </w:rPr>
        <w:t>Immunohistochemistry</w:t>
      </w:r>
    </w:p>
    <w:p w14:paraId="3B1951B5">
      <w:pPr>
        <w:widowControl/>
        <w:spacing w:before="100" w:beforeAutospacing="1" w:after="100" w:afterAutospacing="1"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eastAsia="Georgia" w:cs="Times New Roman"/>
          <w:color w:val="000000" w:themeColor="text1"/>
          <w:sz w:val="24"/>
          <w14:textFill>
            <w14:solidFill>
              <w14:schemeClr w14:val="tx1"/>
            </w14:solidFill>
          </w14:textFill>
        </w:rPr>
        <w:t xml:space="preserve">All antibodies </w:t>
      </w:r>
      <w:r>
        <w:rPr>
          <w:rFonts w:ascii="Times New Roman" w:hAnsi="Times New Roman" w:eastAsia="Georgia" w:cs="Times New Roman"/>
          <w:color w:val="000000"/>
          <w:sz w:val="24"/>
        </w:rPr>
        <w:t xml:space="preserve">used </w:t>
      </w:r>
      <w:r>
        <w:rPr>
          <w:rFonts w:ascii="Times New Roman" w:hAnsi="Times New Roman" w:eastAsia="Georgia" w:cs="Times New Roman"/>
          <w:color w:val="000000" w:themeColor="text1"/>
          <w:sz w:val="24"/>
          <w14:textFill>
            <w14:solidFill>
              <w14:schemeClr w14:val="tx1"/>
            </w14:solidFill>
          </w14:textFill>
        </w:rPr>
        <w:t xml:space="preserve">are described in the Supplementary Information. Immunohistochemical staining was conducted on tissue microarrays containing samples from colorectal cancer patients with and without metastasis, as well as </w:t>
      </w:r>
      <w:r>
        <w:rPr>
          <w:rFonts w:ascii="Times New Roman" w:hAnsi="Times New Roman" w:eastAsia="Georgia" w:cs="Times New Roman"/>
          <w:color w:val="000000"/>
          <w:sz w:val="24"/>
        </w:rPr>
        <w:t xml:space="preserve">from patients </w:t>
      </w:r>
      <w:r>
        <w:rPr>
          <w:rFonts w:ascii="Times New Roman" w:hAnsi="Times New Roman" w:eastAsia="Georgia" w:cs="Times New Roman"/>
          <w:color w:val="000000" w:themeColor="text1"/>
          <w:sz w:val="24"/>
          <w14:textFill>
            <w14:solidFill>
              <w14:schemeClr w14:val="tx1"/>
            </w14:solidFill>
          </w14:textFill>
        </w:rPr>
        <w:t>with high and low SFRP2</w:t>
      </w:r>
      <w:r>
        <w:rPr>
          <w:rFonts w:ascii="Times New Roman" w:hAnsi="Times New Roman" w:eastAsia="Georgia" w:cs="Times New Roman"/>
          <w:color w:val="000000"/>
          <w:sz w:val="24"/>
        </w:rPr>
        <w:t xml:space="preserve"> expression, and</w:t>
      </w:r>
      <w:r>
        <w:rPr>
          <w:rFonts w:ascii="Times New Roman" w:hAnsi="Times New Roman" w:eastAsia="Georgia" w:cs="Times New Roman"/>
          <w:color w:val="000000" w:themeColor="text1"/>
          <w:sz w:val="24"/>
          <w14:textFill>
            <w14:solidFill>
              <w14:schemeClr w14:val="tx1"/>
            </w14:solidFill>
          </w14:textFill>
        </w:rPr>
        <w:t xml:space="preserve"> survival data</w:t>
      </w:r>
      <w:r>
        <w:rPr>
          <w:rFonts w:ascii="Times New Roman" w:hAnsi="Times New Roman" w:eastAsia="Georgia" w:cs="Times New Roman"/>
          <w:color w:val="000000"/>
          <w:sz w:val="24"/>
        </w:rPr>
        <w:t xml:space="preserve"> were collected</w:t>
      </w:r>
      <w:r>
        <w:rPr>
          <w:rFonts w:ascii="Times New Roman" w:hAnsi="Times New Roman" w:eastAsia="Georgia" w:cs="Times New Roman"/>
          <w:color w:val="000000" w:themeColor="text1"/>
          <w:sz w:val="24"/>
          <w14:textFill>
            <w14:solidFill>
              <w14:schemeClr w14:val="tx1"/>
            </w14:solidFill>
          </w14:textFill>
        </w:rPr>
        <w:t>. Paraffin</w:t>
      </w:r>
      <w:r>
        <w:rPr>
          <w:rFonts w:ascii="Times New Roman" w:hAnsi="Times New Roman" w:eastAsia="Georgia" w:cs="Times New Roman"/>
          <w:color w:val="000000"/>
          <w:sz w:val="24"/>
        </w:rPr>
        <w:t>-</w:t>
      </w:r>
      <w:r>
        <w:rPr>
          <w:rFonts w:ascii="Times New Roman" w:hAnsi="Times New Roman" w:eastAsia="Georgia" w:cs="Times New Roman"/>
          <w:color w:val="000000" w:themeColor="text1"/>
          <w:sz w:val="24"/>
          <w14:textFill>
            <w14:solidFill>
              <w14:schemeClr w14:val="tx1"/>
            </w14:solidFill>
          </w14:textFill>
        </w:rPr>
        <w:t>embedded sections were rehydrated through a xylene and alcohol series, rinsed in H</w:t>
      </w:r>
      <w:bookmarkStart w:id="2" w:name="_GoBack"/>
      <w:r>
        <w:rPr>
          <w:rFonts w:ascii="Times New Roman" w:hAnsi="Times New Roman" w:eastAsia="Georgia" w:cs="Times New Roman"/>
          <w:color w:val="000000" w:themeColor="text1"/>
          <w:sz w:val="24"/>
          <w:vertAlign w:val="subscript"/>
          <w14:textFill>
            <w14:solidFill>
              <w14:schemeClr w14:val="tx1"/>
            </w14:solidFill>
          </w14:textFill>
        </w:rPr>
        <w:t>2</w:t>
      </w:r>
      <w:bookmarkEnd w:id="2"/>
      <w:r>
        <w:rPr>
          <w:rFonts w:ascii="Times New Roman" w:hAnsi="Times New Roman" w:eastAsia="Georgia" w:cs="Times New Roman"/>
          <w:color w:val="000000" w:themeColor="text1"/>
          <w:sz w:val="24"/>
          <w14:textFill>
            <w14:solidFill>
              <w14:schemeClr w14:val="tx1"/>
            </w14:solidFill>
          </w14:textFill>
        </w:rPr>
        <w:t xml:space="preserve">O and washed in PBS. Antigen retrieval was performed using target EDTA (Vector Labs, Burlingame, CA) and steamed for 20 min. Samples were then blocked in peroxidase blocking buffer (Thermo Scientific) for 10 min, </w:t>
      </w:r>
      <w:r>
        <w:rPr>
          <w:rFonts w:ascii="Times New Roman" w:hAnsi="Times New Roman" w:eastAsia="Georgia" w:cs="Times New Roman"/>
          <w:color w:val="000000"/>
          <w:sz w:val="24"/>
        </w:rPr>
        <w:t>blocked with</w:t>
      </w:r>
      <w:r>
        <w:rPr>
          <w:rFonts w:ascii="Times New Roman" w:hAnsi="Times New Roman" w:eastAsia="Georgia"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sz w:val="24"/>
        </w:rPr>
        <w:t xml:space="preserve">protein </w:t>
      </w:r>
      <w:r>
        <w:rPr>
          <w:rFonts w:ascii="Times New Roman" w:hAnsi="Times New Roman" w:eastAsia="Georgia" w:cs="Times New Roman"/>
          <w:color w:val="000000" w:themeColor="text1"/>
          <w:sz w:val="24"/>
          <w14:textFill>
            <w14:solidFill>
              <w14:schemeClr w14:val="tx1"/>
            </w14:solidFill>
          </w14:textFill>
        </w:rPr>
        <w:t xml:space="preserve">(Thermo Scientific) for 20 min, and incubated </w:t>
      </w:r>
      <w:r>
        <w:rPr>
          <w:rFonts w:ascii="Times New Roman" w:hAnsi="Times New Roman" w:eastAsia="Georgia" w:cs="Times New Roman"/>
          <w:color w:val="000000"/>
          <w:sz w:val="24"/>
        </w:rPr>
        <w:t>with</w:t>
      </w:r>
      <w:r>
        <w:rPr>
          <w:rFonts w:ascii="Times New Roman" w:hAnsi="Times New Roman" w:eastAsia="Georgia" w:cs="Times New Roman"/>
          <w:color w:val="000000" w:themeColor="text1"/>
          <w:sz w:val="24"/>
          <w14:textFill>
            <w14:solidFill>
              <w14:schemeClr w14:val="tx1"/>
            </w14:solidFill>
          </w14:textFill>
        </w:rPr>
        <w:t xml:space="preserve"> </w:t>
      </w:r>
      <w:r>
        <w:rPr>
          <w:rFonts w:ascii="Times New Roman" w:hAnsi="Times New Roman" w:eastAsia="Georgia" w:cs="Times New Roman"/>
          <w:color w:val="000000"/>
          <w:sz w:val="24"/>
        </w:rPr>
        <w:t xml:space="preserve">the </w:t>
      </w:r>
      <w:r>
        <w:rPr>
          <w:rFonts w:ascii="Times New Roman" w:hAnsi="Times New Roman" w:eastAsia="Georgia" w:cs="Times New Roman"/>
          <w:color w:val="000000" w:themeColor="text1"/>
          <w:sz w:val="24"/>
          <w14:textFill>
            <w14:solidFill>
              <w14:schemeClr w14:val="tx1"/>
            </w14:solidFill>
          </w14:textFill>
        </w:rPr>
        <w:t>appropriate primary antibodies against SFRP2</w:t>
      </w:r>
      <w:r>
        <w:rPr>
          <w:rFonts w:ascii="Times New Roman" w:hAnsi="Times New Roman" w:eastAsia="宋体" w:cs="Times New Roman"/>
          <w:color w:val="000000"/>
          <w:sz w:val="24"/>
        </w:rPr>
        <w:t xml:space="preserve"> (Abcam</w:t>
      </w:r>
      <w:r>
        <w:rPr>
          <w:rFonts w:ascii="Times New Roman" w:hAnsi="Times New Roman" w:eastAsia="宋体" w:cs="Times New Roman"/>
          <w:color w:val="000000" w:themeColor="text1"/>
          <w:sz w:val="24"/>
          <w14:textFill>
            <w14:solidFill>
              <w14:schemeClr w14:val="tx1"/>
            </w14:solidFill>
          </w14:textFill>
        </w:rPr>
        <w:t>, ab137560)</w:t>
      </w:r>
      <w:r>
        <w:rPr>
          <w:rFonts w:ascii="Times New Roman" w:hAnsi="Times New Roman" w:eastAsia="Georgia" w:cs="Times New Roman"/>
          <w:color w:val="000000"/>
          <w:sz w:val="24"/>
        </w:rPr>
        <w:t xml:space="preserve"> and ENO2 </w:t>
      </w:r>
      <w:r>
        <w:rPr>
          <w:rFonts w:ascii="Times New Roman" w:hAnsi="Times New Roman" w:eastAsia="宋体" w:cs="Times New Roman"/>
          <w:color w:val="000000" w:themeColor="text1"/>
          <w:sz w:val="24"/>
          <w14:textFill>
            <w14:solidFill>
              <w14:schemeClr w14:val="tx1"/>
            </w14:solidFill>
          </w14:textFill>
        </w:rPr>
        <w:t>(Proteintech, 55235-1-AP)</w:t>
      </w:r>
      <w:r>
        <w:rPr>
          <w:rFonts w:ascii="Times New Roman" w:hAnsi="Times New Roman" w:eastAsia="Georgia" w:cs="Times New Roman"/>
          <w:color w:val="000000" w:themeColor="text1"/>
          <w:sz w:val="24"/>
          <w14:textFill>
            <w14:solidFill>
              <w14:schemeClr w14:val="tx1"/>
            </w14:solidFill>
          </w14:textFill>
        </w:rPr>
        <w:t xml:space="preserve"> diluted in antibody diluent (S0809, Dako) at 4 °C overnight in a humidified chamber. Subsequently, </w:t>
      </w:r>
      <w:r>
        <w:rPr>
          <w:rFonts w:ascii="Times New Roman" w:hAnsi="Times New Roman" w:eastAsia="Georgia" w:cs="Times New Roman"/>
          <w:color w:val="000000"/>
          <w:sz w:val="24"/>
        </w:rPr>
        <w:t xml:space="preserve">the sections were </w:t>
      </w:r>
      <w:r>
        <w:rPr>
          <w:rFonts w:ascii="Times New Roman" w:hAnsi="Times New Roman" w:eastAsia="Georgia" w:cs="Times New Roman"/>
          <w:color w:val="000000" w:themeColor="text1"/>
          <w:sz w:val="24"/>
          <w14:textFill>
            <w14:solidFill>
              <w14:schemeClr w14:val="tx1"/>
            </w14:solidFill>
          </w14:textFill>
        </w:rPr>
        <w:t>washed with PBS three times</w:t>
      </w:r>
      <w:r>
        <w:rPr>
          <w:rFonts w:ascii="Times New Roman" w:hAnsi="Times New Roman" w:eastAsia="Georgia" w:cs="Times New Roman"/>
          <w:color w:val="000000"/>
          <w:sz w:val="24"/>
        </w:rPr>
        <w:t>,</w:t>
      </w:r>
      <w:r>
        <w:rPr>
          <w:rFonts w:ascii="Times New Roman" w:hAnsi="Times New Roman" w:eastAsia="Georgia" w:cs="Times New Roman"/>
          <w:color w:val="000000" w:themeColor="text1"/>
          <w:sz w:val="24"/>
          <w14:textFill>
            <w14:solidFill>
              <w14:schemeClr w14:val="tx1"/>
            </w14:solidFill>
          </w14:textFill>
        </w:rPr>
        <w:t xml:space="preserve"> and the secondary antibody was applied for 15 min. Then, </w:t>
      </w:r>
      <w:r>
        <w:rPr>
          <w:rFonts w:ascii="Times New Roman" w:hAnsi="Times New Roman" w:eastAsia="Georgia" w:cs="Times New Roman"/>
          <w:color w:val="000000"/>
          <w:sz w:val="24"/>
        </w:rPr>
        <w:t xml:space="preserve">the </w:t>
      </w:r>
      <w:r>
        <w:rPr>
          <w:rFonts w:ascii="Times New Roman" w:hAnsi="Times New Roman" w:eastAsia="Georgia" w:cs="Times New Roman"/>
          <w:color w:val="000000" w:themeColor="text1"/>
          <w:sz w:val="24"/>
          <w14:textFill>
            <w14:solidFill>
              <w14:schemeClr w14:val="tx1"/>
            </w14:solidFill>
          </w14:textFill>
        </w:rPr>
        <w:t>sections were developed with horseradish peroxidase (HRP) and diaminobenzidine (DAB), counterstained with hematoxylin, differentiated with hydrochloric acid ethanol, rinsed with running water, hydrated with gradient alcohol and xylene, and mounted with neutral balsam. After that, a microscopic examination was performed.</w:t>
      </w:r>
    </w:p>
    <w:p w14:paraId="6313AE77">
      <w:pPr>
        <w:widowControl/>
        <w:spacing w:before="100" w:beforeAutospacing="1" w:after="100" w:afterAutospacing="1" w:line="480" w:lineRule="auto"/>
        <w:rPr>
          <w:rFonts w:ascii="Times New Roman" w:hAnsi="Times New Roman" w:eastAsia="Georgia" w:cs="Times New Roman"/>
          <w:b/>
          <w:bCs/>
          <w:color w:val="000000" w:themeColor="text1"/>
          <w:sz w:val="24"/>
          <w14:textFill>
            <w14:solidFill>
              <w14:schemeClr w14:val="tx1"/>
            </w14:solidFill>
          </w14:textFill>
        </w:rPr>
      </w:pPr>
      <w:r>
        <w:rPr>
          <w:rFonts w:ascii="Times New Roman" w:hAnsi="Times New Roman" w:eastAsia="Georgia" w:cs="Times New Roman"/>
          <w:b/>
          <w:bCs/>
          <w:color w:val="000000" w:themeColor="text1"/>
          <w:sz w:val="24"/>
          <w14:textFill>
            <w14:solidFill>
              <w14:schemeClr w14:val="tx1"/>
            </w14:solidFill>
          </w14:textFill>
        </w:rPr>
        <w:t>Metabolism assays</w:t>
      </w:r>
    </w:p>
    <w:p w14:paraId="0518FF26">
      <w:pPr>
        <w:widowControl/>
        <w:spacing w:before="100" w:beforeAutospacing="1" w:after="100" w:afterAutospacing="1" w:line="480" w:lineRule="auto"/>
        <w:rPr>
          <w:rFonts w:ascii="Times New Roman" w:hAnsi="Times New Roman" w:eastAsia="Georgia" w:cs="Times New Roman"/>
          <w:color w:val="000000" w:themeColor="text1"/>
          <w:sz w:val="24"/>
          <w14:textFill>
            <w14:solidFill>
              <w14:schemeClr w14:val="tx1"/>
            </w14:solidFill>
          </w14:textFill>
        </w:rPr>
      </w:pPr>
      <w:r>
        <w:rPr>
          <w:rFonts w:ascii="Times New Roman" w:hAnsi="Times New Roman" w:eastAsia="Georgia" w:cs="Times New Roman"/>
          <w:color w:val="000000" w:themeColor="text1"/>
          <w:sz w:val="24"/>
          <w14:textFill>
            <w14:solidFill>
              <w14:schemeClr w14:val="tx1"/>
            </w14:solidFill>
          </w14:textFill>
        </w:rPr>
        <w:t>The Seahorse XFe96 Analyzer was used to measure mitochondrial respiration and glycolysis. Briefly, CRC cells were plated at a density of 2</w:t>
      </w:r>
      <w:r>
        <w:rPr>
          <w:rFonts w:hint="eastAsia" w:ascii="Times New Roman" w:hAnsi="Times New Roman" w:eastAsia="Georgia" w:cs="Times New Roman"/>
          <w:color w:val="000000" w:themeColor="text1"/>
          <w:sz w:val="24"/>
          <w14:textFill>
            <w14:solidFill>
              <w14:schemeClr w14:val="tx1"/>
            </w14:solidFill>
          </w14:textFill>
        </w:rPr>
        <w:t>×</w:t>
      </w:r>
      <w:r>
        <w:rPr>
          <w:rFonts w:ascii="Times New Roman" w:hAnsi="Times New Roman" w:eastAsia="Georgia" w:cs="Times New Roman"/>
          <w:color w:val="000000" w:themeColor="text1"/>
          <w:sz w:val="24"/>
          <w14:textFill>
            <w14:solidFill>
              <w14:schemeClr w14:val="tx1"/>
            </w14:solidFill>
          </w14:textFill>
        </w:rPr>
        <w:t>10</w:t>
      </w:r>
      <w:r>
        <w:rPr>
          <w:rFonts w:ascii="Times New Roman" w:hAnsi="Times New Roman" w:eastAsia="Georgia" w:cs="Times New Roman"/>
          <w:color w:val="000000" w:themeColor="text1"/>
          <w:sz w:val="24"/>
          <w:vertAlign w:val="superscript"/>
          <w14:textFill>
            <w14:solidFill>
              <w14:schemeClr w14:val="tx1"/>
            </w14:solidFill>
          </w14:textFill>
        </w:rPr>
        <w:t>4</w:t>
      </w:r>
      <w:r>
        <w:rPr>
          <w:rFonts w:ascii="Times New Roman" w:hAnsi="Times New Roman" w:eastAsia="Georgia" w:cs="Times New Roman"/>
          <w:color w:val="000000" w:themeColor="text1"/>
          <w:sz w:val="24"/>
          <w14:textFill>
            <w14:solidFill>
              <w14:schemeClr w14:val="tx1"/>
            </w14:solidFill>
          </w14:textFill>
        </w:rPr>
        <w:t xml:space="preserve"> cells per well in Agilent Seahorse XF96 Cell Culture Microplate. The glycolysis stress test which were initially cultured in glucose-free medium and ECAR was measured following 10 mM glucose (Glu), 1.5</w:t>
      </w:r>
      <w:r>
        <w:rPr>
          <w:rFonts w:hint="eastAsia" w:ascii="Times New Roman" w:hAnsi="Times New Roman" w:eastAsia="Georgia" w:cs="Times New Roman"/>
          <w:color w:val="000000" w:themeColor="text1"/>
          <w:sz w:val="24"/>
          <w14:textFill>
            <w14:solidFill>
              <w14:schemeClr w14:val="tx1"/>
            </w14:solidFill>
          </w14:textFill>
        </w:rPr>
        <w:t>μ</w:t>
      </w:r>
      <w:r>
        <w:rPr>
          <w:rFonts w:ascii="Times New Roman" w:hAnsi="Times New Roman" w:eastAsia="Georgia" w:cs="Times New Roman"/>
          <w:color w:val="000000" w:themeColor="text1"/>
          <w:sz w:val="24"/>
          <w14:textFill>
            <w14:solidFill>
              <w14:schemeClr w14:val="tx1"/>
            </w14:solidFill>
          </w14:textFill>
        </w:rPr>
        <w:t xml:space="preserve">M oligomycin (Oligo), and 50 mM 2-Deoxy-D-glucose (2-DG) injections in the indicated cells. Box plots depict Glycolysis rates (ECAR after glucose addition subtracted from baseline ECAR before the first injection), Glycolytic Capacity (ECAR after oligomycin infection subtracted from basal ECAR) and Glycolytic Reserve (glycolytic capacity minus basal glycolysis) calculated from the ECAR curve. </w:t>
      </w:r>
    </w:p>
    <w:p w14:paraId="66A342EC">
      <w:pPr>
        <w:widowControl/>
        <w:spacing w:before="100" w:beforeAutospacing="1" w:after="100" w:afterAutospacing="1" w:line="480" w:lineRule="auto"/>
        <w:ind w:firstLine="480" w:firstLineChars="200"/>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eastAsia="Georgia" w:cs="Times New Roman"/>
          <w:color w:val="000000" w:themeColor="text1"/>
          <w:sz w:val="24"/>
          <w14:textFill>
            <w14:solidFill>
              <w14:schemeClr w14:val="tx1"/>
            </w14:solidFill>
          </w14:textFill>
        </w:rPr>
        <w:t>The OCRs were first measured on 2 × 10</w:t>
      </w:r>
      <w:r>
        <w:rPr>
          <w:rFonts w:ascii="Times New Roman" w:hAnsi="Times New Roman" w:eastAsia="Georgia" w:cs="Times New Roman"/>
          <w:color w:val="000000" w:themeColor="text1"/>
          <w:sz w:val="24"/>
          <w:vertAlign w:val="superscript"/>
          <w14:textFill>
            <w14:solidFill>
              <w14:schemeClr w14:val="tx1"/>
            </w14:solidFill>
          </w14:textFill>
        </w:rPr>
        <w:t>4</w:t>
      </w:r>
      <w:r>
        <w:rPr>
          <w:rFonts w:ascii="Times New Roman" w:hAnsi="Times New Roman" w:eastAsia="Georgia" w:cs="Times New Roman"/>
          <w:color w:val="000000" w:themeColor="text1"/>
          <w:sz w:val="24"/>
          <w14:textFill>
            <w14:solidFill>
              <w14:schemeClr w14:val="tx1"/>
            </w14:solidFill>
          </w14:textFill>
        </w:rPr>
        <w:t xml:space="preserve"> cells of each cell line under basal conditions and then sequentially added to oligomycin (1.0 µM), FCCP (0.5 µM), rotenone (1.0 µM), and antimycin A (1.0 µM) at the indicated times to determine the different parameters of mitochondrial functions. Graphs show the basal OCR, ATP-linked OCR, proton leak OCR, maximal OCR, reserve capacity, and non-mitochondrial OCR among the indicated cell lines. The non-mitochondrial OCR was determined as the OCR after rotenone/antimycin A treatment. The basal OCR was determined as the OCR before oligomycin minus the OCR after rotenone/antimycin A treatment. The ATP-linked OCR was determined as the OCR before oligomycin minus the OCR after oligomycin. The proton leak OCR was determined as the basal OCR minus the ATP-linked OCR. The maximal OCR was determined as the OCR after FCCP minus the non-mitochondrial OCR. Reserve capacity was defined as the difference between the maximal OCR after FCCP minus the basal OCR. Statistical significance was determined using paired t-tests.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Georgia" w:cs="Times New Roman"/>
          <w:color w:val="000000" w:themeColor="text1"/>
          <w:sz w:val="24"/>
          <w14:textFill>
            <w14:solidFill>
              <w14:schemeClr w14:val="tx1"/>
            </w14:solidFill>
          </w14:textFill>
        </w:rPr>
        <w:t xml:space="preserve"> &lt; 0.05, ns, not significant.</w:t>
      </w:r>
    </w:p>
    <w:p w14:paraId="55606D56">
      <w:pPr>
        <w:pStyle w:val="4"/>
        <w:spacing w:before="0" w:beforeAutospacing="0" w:after="0" w:afterAutospacing="0" w:line="480" w:lineRule="auto"/>
        <w:jc w:val="both"/>
        <w:rPr>
          <w:rFonts w:ascii="Times New Roman" w:hAnsi="Times New Roman" w:cs="Times New Roman"/>
          <w:b/>
          <w:bCs/>
          <w:color w:val="000000" w:themeColor="text1"/>
          <w:kern w:val="2"/>
          <w14:textFill>
            <w14:solidFill>
              <w14:schemeClr w14:val="tx1"/>
            </w14:solidFill>
          </w14:textFill>
        </w:rPr>
      </w:pPr>
      <w:r>
        <w:rPr>
          <w:rFonts w:ascii="Times New Roman" w:hAnsi="Times New Roman" w:cs="Times New Roman"/>
          <w:b/>
          <w:bCs/>
          <w:color w:val="000000" w:themeColor="text1"/>
          <w:kern w:val="2"/>
          <w14:textFill>
            <w14:solidFill>
              <w14:schemeClr w14:val="tx1"/>
            </w14:solidFill>
          </w14:textFill>
        </w:rPr>
        <w:t>Functional enrichment</w:t>
      </w:r>
    </w:p>
    <w:p w14:paraId="6F4F5B40">
      <w:pPr>
        <w:pStyle w:val="4"/>
        <w:spacing w:after="80" w:line="480" w:lineRule="auto"/>
        <w:rPr>
          <w:rFonts w:ascii="Times New Roman" w:hAnsi="Times New Roman" w:cs="Times New Roman"/>
          <w:color w:val="000000" w:themeColor="text1"/>
          <w:kern w:val="2"/>
          <w:lang w:val="en-US"/>
          <w14:textFill>
            <w14:solidFill>
              <w14:schemeClr w14:val="tx1"/>
            </w14:solidFill>
          </w14:textFill>
        </w:rPr>
      </w:pPr>
      <w:r>
        <w:fldChar w:fldCharType="begin"/>
      </w:r>
      <w:r>
        <w:instrText xml:space="preserve"> HYPERLINK "https://www.sciencedirect.com/topics/biochemistry-genetics-and-molecular-biology/gene-ontology" \o "Learn more about Gene Ontology from ScienceDirect's AI-generated Topic Pages" </w:instrText>
      </w:r>
      <w:r>
        <w:fldChar w:fldCharType="separate"/>
      </w:r>
      <w:r>
        <w:rPr>
          <w:rFonts w:ascii="Times New Roman" w:hAnsi="Times New Roman" w:cs="Times New Roman"/>
          <w:color w:val="000000" w:themeColor="text1"/>
          <w:kern w:val="2"/>
          <w14:textFill>
            <w14:solidFill>
              <w14:schemeClr w14:val="tx1"/>
            </w14:solidFill>
          </w14:textFill>
        </w:rPr>
        <w:t>Gene Ontology</w:t>
      </w:r>
      <w:r>
        <w:rPr>
          <w:rFonts w:ascii="Times New Roman" w:hAnsi="Times New Roman" w:cs="Times New Roman"/>
          <w:color w:val="000000" w:themeColor="text1"/>
          <w:kern w:val="2"/>
          <w14:textFill>
            <w14:solidFill>
              <w14:schemeClr w14:val="tx1"/>
            </w14:solidFill>
          </w14:textFill>
        </w:rPr>
        <w:fldChar w:fldCharType="end"/>
      </w:r>
      <w:r>
        <w:rPr>
          <w:rFonts w:ascii="Times New Roman" w:hAnsi="Times New Roman" w:cs="Times New Roman"/>
          <w:color w:val="000000"/>
          <w:kern w:val="2"/>
        </w:rPr>
        <w:t xml:space="preserve">Gene Ontology </w:t>
      </w:r>
      <w:r>
        <w:rPr>
          <w:rFonts w:ascii="Times New Roman" w:hAnsi="Times New Roman" w:cs="Times New Roman"/>
          <w:color w:val="000000" w:themeColor="text1"/>
          <w:kern w:val="2"/>
          <w14:textFill>
            <w14:solidFill>
              <w14:schemeClr w14:val="tx1"/>
            </w14:solidFill>
          </w14:textFill>
        </w:rPr>
        <w:t xml:space="preserve">(GO) enrichment analysis and Kyoto Encyclopedia of Genes and Genomes (KEGG) enrichment analysis were performed using the R package with </w:t>
      </w:r>
      <w:r>
        <w:rPr>
          <w:rFonts w:ascii="Times New Roman" w:hAnsi="Times New Roman" w:cs="Times New Roman"/>
          <w:i/>
          <w:iCs/>
          <w:color w:val="000000" w:themeColor="text1"/>
          <w:kern w:val="2"/>
          <w14:textFill>
            <w14:solidFill>
              <w14:schemeClr w14:val="tx1"/>
            </w14:solidFill>
          </w14:textFill>
        </w:rPr>
        <w:t>P</w:t>
      </w:r>
      <w:r>
        <w:rPr>
          <w:rFonts w:ascii="Times New Roman" w:hAnsi="Times New Roman" w:cs="Times New Roman"/>
          <w:color w:val="000000" w:themeColor="text1"/>
          <w:kern w:val="2"/>
          <w14:textFill>
            <w14:solidFill>
              <w14:schemeClr w14:val="tx1"/>
            </w14:solidFill>
          </w14:textFill>
        </w:rPr>
        <w:t xml:space="preserve">&lt;0.05 and </w:t>
      </w:r>
      <w:r>
        <w:rPr>
          <w:rFonts w:ascii="Times New Roman" w:hAnsi="Times New Roman" w:cs="Times New Roman"/>
          <w:color w:val="000000"/>
          <w:kern w:val="2"/>
        </w:rPr>
        <w:t xml:space="preserve">a </w:t>
      </w:r>
      <w:r>
        <w:rPr>
          <w:rFonts w:ascii="Times New Roman" w:hAnsi="Times New Roman" w:cs="Times New Roman"/>
          <w:color w:val="000000" w:themeColor="text1"/>
          <w:kern w:val="2"/>
          <w14:textFill>
            <w14:solidFill>
              <w14:schemeClr w14:val="tx1"/>
            </w14:solidFill>
          </w14:textFill>
        </w:rPr>
        <w:t>normalized enrichment score&gt;1 (</w:t>
      </w:r>
      <w:r>
        <w:fldChar w:fldCharType="begin"/>
      </w:r>
      <w:r>
        <w:instrText xml:space="preserve"> HYPERLINK "http://www.bioconductor.org/packages/release/bioc/html/clusterProfiler.html" \t "_blank" </w:instrText>
      </w:r>
      <w:r>
        <w:fldChar w:fldCharType="separate"/>
      </w:r>
      <w:r>
        <w:rPr>
          <w:rFonts w:ascii="Times New Roman" w:hAnsi="Times New Roman" w:cs="Times New Roman"/>
          <w:color w:val="000000" w:themeColor="text1"/>
          <w:kern w:val="2"/>
          <w14:textFill>
            <w14:solidFill>
              <w14:schemeClr w14:val="tx1"/>
            </w14:solidFill>
          </w14:textFill>
        </w:rPr>
        <w:t>http://www.bioconductor.org/packages/release/bioc/html/clusterProfiler.html</w:t>
      </w:r>
      <w:r>
        <w:rPr>
          <w:rFonts w:ascii="Times New Roman" w:hAnsi="Times New Roman" w:cs="Times New Roman"/>
          <w:color w:val="000000" w:themeColor="text1"/>
          <w:kern w:val="2"/>
          <w14:textFill>
            <w14:solidFill>
              <w14:schemeClr w14:val="tx1"/>
            </w14:solidFill>
          </w14:textFill>
        </w:rPr>
        <w:fldChar w:fldCharType="end"/>
      </w:r>
      <w:r>
        <w:rPr>
          <w:rFonts w:ascii="Times New Roman" w:hAnsi="Times New Roman" w:cs="Times New Roman"/>
          <w:color w:val="000000" w:themeColor="text1"/>
          <w:kern w:val="2"/>
          <w14:textFill>
            <w14:solidFill>
              <w14:schemeClr w14:val="tx1"/>
            </w14:solidFill>
          </w14:textFill>
        </w:rPr>
        <w:t>).</w:t>
      </w:r>
    </w:p>
    <w:p w14:paraId="526C8C60">
      <w:pPr>
        <w:pStyle w:val="4"/>
        <w:spacing w:after="80" w:line="480" w:lineRule="auto"/>
        <w:rPr>
          <w:rFonts w:ascii="Times New Roman" w:hAnsi="Times New Roman" w:eastAsia="Georgia" w:cs="Times New Roman"/>
          <w:b/>
          <w:bCs/>
          <w:color w:val="000000" w:themeColor="text1"/>
          <w14:textFill>
            <w14:solidFill>
              <w14:schemeClr w14:val="tx1"/>
            </w14:solidFill>
          </w14:textFill>
        </w:rPr>
      </w:pPr>
      <w:r>
        <w:rPr>
          <w:rFonts w:ascii="Times New Roman" w:hAnsi="Times New Roman" w:eastAsia="Georgia" w:cs="Times New Roman"/>
          <w:b/>
          <w:bCs/>
          <w:color w:val="000000" w:themeColor="text1"/>
          <w14:textFill>
            <w14:solidFill>
              <w14:schemeClr w14:val="tx1"/>
            </w14:solidFill>
          </w14:textFill>
        </w:rPr>
        <w:t>Protein‒protein interaction (PPI) network construction</w:t>
      </w:r>
    </w:p>
    <w:p w14:paraId="29522EE5">
      <w:pPr>
        <w:pStyle w:val="4"/>
        <w:spacing w:beforeAutospacing="0" w:after="80" w:afterAutospacing="0" w:line="480" w:lineRule="auto"/>
        <w:jc w:val="both"/>
        <w:rPr>
          <w:rFonts w:ascii="Times New Roman" w:hAnsi="Times New Roman" w:eastAsia="Georgia" w:cs="Times New Roman"/>
          <w:color w:val="000000" w:themeColor="text1"/>
          <w:lang w:val="en-US"/>
          <w14:textFill>
            <w14:solidFill>
              <w14:schemeClr w14:val="tx1"/>
            </w14:solidFill>
          </w14:textFill>
        </w:rPr>
      </w:pPr>
      <w:r>
        <w:rPr>
          <w:rFonts w:ascii="Times New Roman" w:hAnsi="Times New Roman" w:eastAsia="Georgia" w:cs="Times New Roman"/>
          <w:color w:val="000000" w:themeColor="text1"/>
          <w14:textFill>
            <w14:solidFill>
              <w14:schemeClr w14:val="tx1"/>
            </w14:solidFill>
          </w14:textFill>
        </w:rPr>
        <w:t xml:space="preserve">Molecular </w:t>
      </w:r>
      <w:r>
        <w:rPr>
          <w:rFonts w:ascii="Times New Roman" w:hAnsi="Times New Roman" w:eastAsia="Georgia" w:cs="Times New Roman"/>
          <w:color w:val="000000"/>
        </w:rPr>
        <w:t>complex detection</w:t>
      </w:r>
      <w:r>
        <w:rPr>
          <w:rFonts w:ascii="Times New Roman" w:hAnsi="Times New Roman" w:eastAsia="Georgia" w:cs="Times New Roman"/>
          <w:color w:val="000000" w:themeColor="text1"/>
          <w14:textFill>
            <w14:solidFill>
              <w14:schemeClr w14:val="tx1"/>
            </w14:solidFill>
          </w14:textFill>
        </w:rPr>
        <w:t xml:space="preserve"> (MCODE) identifies proteins of nodes in a network based on their connectivity patterns and uses a scoring system to assess the density and strength of connections within proteins. The biological network data </w:t>
      </w:r>
      <w:r>
        <w:rPr>
          <w:rFonts w:ascii="Times New Roman" w:hAnsi="Times New Roman" w:eastAsia="Georgia" w:cs="Times New Roman"/>
          <w:color w:val="000000"/>
        </w:rPr>
        <w:t>were</w:t>
      </w:r>
      <w:r>
        <w:rPr>
          <w:rFonts w:ascii="Times New Roman" w:hAnsi="Times New Roman" w:eastAsia="Georgia" w:cs="Times New Roman"/>
          <w:color w:val="000000" w:themeColor="text1"/>
          <w14:textFill>
            <w14:solidFill>
              <w14:schemeClr w14:val="tx1"/>
            </w14:solidFill>
          </w14:textFill>
        </w:rPr>
        <w:t xml:space="preserve"> loaded into Cytoscape, and the MCODE algorithm was applied to the loaded network data. Visualization tools within Cytoscape were utilized to facilitate the interpretation of the results.</w:t>
      </w:r>
    </w:p>
    <w:p w14:paraId="50DDCFDF">
      <w:pPr>
        <w:widowControl/>
        <w:spacing w:before="100" w:beforeAutospacing="1" w:after="100" w:afterAutospacing="1" w:line="480" w:lineRule="auto"/>
        <w:rPr>
          <w:rFonts w:ascii="Times New Roman" w:hAnsi="Times New Roman" w:eastAsia="Georgia"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Statistical </w:t>
      </w:r>
      <w:r>
        <w:rPr>
          <w:rFonts w:ascii="Times New Roman" w:hAnsi="Times New Roman" w:eastAsia="等线" w:cs="Times New Roman"/>
          <w:b/>
          <w:bCs/>
          <w:color w:val="000000"/>
          <w:sz w:val="24"/>
        </w:rPr>
        <w:t>analysis</w:t>
      </w:r>
    </w:p>
    <w:p w14:paraId="687C7F31">
      <w:pPr>
        <w:widowControl/>
        <w:spacing w:before="100" w:beforeAutospacing="1" w:after="100" w:afterAutospacing="1" w:line="480" w:lineRule="auto"/>
        <w:rPr>
          <w:rFonts w:ascii="Times New Roman" w:hAnsi="Times New Roman" w:cs="Times New Roman"/>
          <w:b/>
          <w:bCs/>
          <w:color w:val="000000" w:themeColor="text1"/>
          <w:sz w:val="24"/>
          <w14:textFill>
            <w14:solidFill>
              <w14:schemeClr w14:val="tx1"/>
            </w14:solidFill>
          </w14:textFill>
        </w:rPr>
      </w:pPr>
      <w:r>
        <w:rPr>
          <w:rFonts w:ascii="Times New Roman" w:hAnsi="Times New Roman" w:eastAsia="Georgia" w:cs="Times New Roman"/>
          <w:color w:val="000000" w:themeColor="text1"/>
          <w:sz w:val="24"/>
          <w14:textFill>
            <w14:solidFill>
              <w14:schemeClr w14:val="tx1"/>
            </w14:solidFill>
          </w14:textFill>
        </w:rPr>
        <w:t xml:space="preserve">Statistical significance was set at probability values of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Georgia" w:cs="Times New Roman"/>
          <w:color w:val="000000" w:themeColor="text1"/>
          <w:sz w:val="24"/>
          <w14:textFill>
            <w14:solidFill>
              <w14:schemeClr w14:val="tx1"/>
            </w14:solidFill>
          </w14:textFill>
        </w:rPr>
        <w:t xml:space="preserve"> &lt; 0.05. Statistical analysis was performed with the statistical software </w:t>
      </w:r>
      <w:r>
        <w:rPr>
          <w:rFonts w:ascii="Times New Roman" w:hAnsi="Times New Roman" w:eastAsia="Georgia" w:cs="Times New Roman"/>
          <w:color w:val="000000"/>
          <w:sz w:val="24"/>
        </w:rPr>
        <w:t>packages</w:t>
      </w:r>
      <w:r>
        <w:rPr>
          <w:rFonts w:ascii="Times New Roman" w:hAnsi="Times New Roman" w:eastAsia="Georgia" w:cs="Times New Roman"/>
          <w:color w:val="000000" w:themeColor="text1"/>
          <w:sz w:val="24"/>
          <w14:textFill>
            <w14:solidFill>
              <w14:schemeClr w14:val="tx1"/>
            </w14:solidFill>
          </w14:textFill>
        </w:rPr>
        <w:t xml:space="preserve"> SPSS 25.0, </w:t>
      </w:r>
      <w:r>
        <w:rPr>
          <w:rFonts w:ascii="Times New Roman" w:hAnsi="Times New Roman" w:eastAsia="Georgia" w:cs="Times New Roman"/>
          <w:color w:val="000000"/>
          <w:sz w:val="24"/>
        </w:rPr>
        <w:t>GraphPad</w:t>
      </w:r>
      <w:r>
        <w:rPr>
          <w:rFonts w:ascii="Times New Roman" w:hAnsi="Times New Roman" w:eastAsia="Georgia" w:cs="Times New Roman"/>
          <w:color w:val="000000" w:themeColor="text1"/>
          <w:sz w:val="24"/>
          <w14:textFill>
            <w14:solidFill>
              <w14:schemeClr w14:val="tx1"/>
            </w14:solidFill>
          </w14:textFill>
        </w:rPr>
        <w:t xml:space="preserve"> Prism 9.0 and </w:t>
      </w:r>
      <w:r>
        <w:rPr>
          <w:rFonts w:ascii="Times New Roman" w:hAnsi="Times New Roman" w:eastAsia="Georgia" w:cs="Times New Roman"/>
          <w:color w:val="000000"/>
          <w:sz w:val="24"/>
        </w:rPr>
        <w:t>ImageJ. K‒M</w:t>
      </w:r>
      <w:r>
        <w:rPr>
          <w:rFonts w:ascii="Times New Roman" w:hAnsi="Times New Roman" w:eastAsia="Georgia" w:cs="Times New Roman"/>
          <w:color w:val="000000" w:themeColor="text1"/>
          <w:sz w:val="24"/>
          <w14:textFill>
            <w14:solidFill>
              <w14:schemeClr w14:val="tx1"/>
            </w14:solidFill>
          </w14:textFill>
        </w:rPr>
        <w:t xml:space="preserve"> survival analysis and the </w:t>
      </w:r>
      <w:r>
        <w:rPr>
          <w:rFonts w:ascii="Times New Roman" w:hAnsi="Times New Roman" w:eastAsia="Georgia" w:cs="Times New Roman"/>
          <w:color w:val="000000"/>
          <w:sz w:val="24"/>
        </w:rPr>
        <w:t>log</w:t>
      </w:r>
      <w:r>
        <w:rPr>
          <w:rFonts w:ascii="Times New Roman" w:hAnsi="Times New Roman" w:eastAsia="Georgia" w:cs="Times New Roman"/>
          <w:color w:val="000000" w:themeColor="text1"/>
          <w:sz w:val="24"/>
          <w14:textFill>
            <w14:solidFill>
              <w14:schemeClr w14:val="tx1"/>
            </w14:solidFill>
          </w14:textFill>
        </w:rPr>
        <w:t xml:space="preserve"> rank test were used to plot the survival </w:t>
      </w:r>
      <w:r>
        <w:rPr>
          <w:rFonts w:ascii="Times New Roman" w:hAnsi="Times New Roman" w:eastAsia="Georgia" w:cs="Times New Roman"/>
          <w:color w:val="000000"/>
          <w:sz w:val="24"/>
        </w:rPr>
        <w:t>curves</w:t>
      </w:r>
      <w:r>
        <w:rPr>
          <w:rFonts w:ascii="Times New Roman" w:hAnsi="Times New Roman" w:eastAsia="Georgia" w:cs="Times New Roman"/>
          <w:color w:val="000000" w:themeColor="text1"/>
          <w:sz w:val="24"/>
          <w14:textFill>
            <w14:solidFill>
              <w14:schemeClr w14:val="tx1"/>
            </w14:solidFill>
          </w14:textFill>
        </w:rPr>
        <w:t xml:space="preserve"> and compare the survival </w:t>
      </w:r>
      <w:r>
        <w:rPr>
          <w:rFonts w:ascii="Times New Roman" w:hAnsi="Times New Roman" w:eastAsia="Georgia" w:cs="Times New Roman"/>
          <w:color w:val="000000"/>
          <w:sz w:val="24"/>
        </w:rPr>
        <w:t>times; the significance</w:t>
      </w:r>
      <w:r>
        <w:rPr>
          <w:rFonts w:ascii="Times New Roman" w:hAnsi="Times New Roman" w:eastAsia="Georgia" w:cs="Times New Roman"/>
          <w:color w:val="000000" w:themeColor="text1"/>
          <w:sz w:val="24"/>
          <w14:textFill>
            <w14:solidFill>
              <w14:schemeClr w14:val="tx1"/>
            </w14:solidFill>
          </w14:textFill>
        </w:rPr>
        <w:t xml:space="preserve"> level </w:t>
      </w:r>
      <w:r>
        <w:rPr>
          <w:rFonts w:ascii="Times New Roman" w:hAnsi="Times New Roman" w:eastAsia="Georgia" w:cs="Times New Roman"/>
          <w:color w:val="000000"/>
          <w:sz w:val="24"/>
        </w:rPr>
        <w:t>was set at</w:t>
      </w:r>
      <w:r>
        <w:rPr>
          <w:rFonts w:ascii="Times New Roman" w:hAnsi="Times New Roman" w:eastAsia="Georgia" w:cs="Times New Roman"/>
          <w:color w:val="000000" w:themeColor="text1"/>
          <w:sz w:val="24"/>
          <w14:textFill>
            <w14:solidFill>
              <w14:schemeClr w14:val="tx1"/>
            </w14:solidFill>
          </w14:textFill>
        </w:rPr>
        <w:t xml:space="preserve"> 0.05. </w:t>
      </w:r>
      <w:r>
        <w:rPr>
          <w:rFonts w:ascii="Times New Roman" w:hAnsi="Times New Roman" w:eastAsia="Georgia" w:cs="Times New Roman"/>
          <w:color w:val="000000"/>
          <w:sz w:val="24"/>
        </w:rPr>
        <w:t>Comparisons</w:t>
      </w:r>
      <w:r>
        <w:rPr>
          <w:rFonts w:ascii="Times New Roman" w:hAnsi="Times New Roman" w:eastAsia="Georgia" w:cs="Times New Roman"/>
          <w:color w:val="000000" w:themeColor="text1"/>
          <w:sz w:val="24"/>
          <w14:textFill>
            <w14:solidFill>
              <w14:schemeClr w14:val="tx1"/>
            </w14:solidFill>
          </w14:textFill>
        </w:rPr>
        <w:t xml:space="preserve"> between the means of two independent samples </w:t>
      </w:r>
      <w:r>
        <w:rPr>
          <w:rFonts w:ascii="Times New Roman" w:hAnsi="Times New Roman" w:eastAsia="Georgia" w:cs="Times New Roman"/>
          <w:color w:val="000000"/>
          <w:sz w:val="24"/>
        </w:rPr>
        <w:t>were</w:t>
      </w:r>
      <w:r>
        <w:rPr>
          <w:rFonts w:ascii="Times New Roman" w:hAnsi="Times New Roman" w:eastAsia="Georgia" w:cs="Times New Roman"/>
          <w:color w:val="000000" w:themeColor="text1"/>
          <w:sz w:val="24"/>
          <w14:textFill>
            <w14:solidFill>
              <w14:schemeClr w14:val="tx1"/>
            </w14:solidFill>
          </w14:textFill>
        </w:rPr>
        <w:t xml:space="preserve"> performed using the </w:t>
      </w:r>
      <w:r>
        <w:rPr>
          <w:rFonts w:ascii="Times New Roman" w:hAnsi="Times New Roman" w:eastAsia="Georgia" w:cs="Times New Roman"/>
          <w:i/>
          <w:iCs/>
          <w:color w:val="000000" w:themeColor="text1"/>
          <w:sz w:val="24"/>
          <w14:textFill>
            <w14:solidFill>
              <w14:schemeClr w14:val="tx1"/>
            </w14:solidFill>
          </w14:textFill>
        </w:rPr>
        <w:t>t</w:t>
      </w:r>
      <w:r>
        <w:rPr>
          <w:rFonts w:ascii="Times New Roman" w:hAnsi="Times New Roman" w:eastAsia="Georgia" w:cs="Times New Roman"/>
          <w:color w:val="000000"/>
          <w:sz w:val="24"/>
        </w:rPr>
        <w:t xml:space="preserve"> </w:t>
      </w:r>
      <w:r>
        <w:rPr>
          <w:rFonts w:ascii="Times New Roman" w:hAnsi="Times New Roman" w:eastAsia="Georgia" w:cs="Times New Roman"/>
          <w:color w:val="000000" w:themeColor="text1"/>
          <w:sz w:val="24"/>
          <w14:textFill>
            <w14:solidFill>
              <w14:schemeClr w14:val="tx1"/>
            </w14:solidFill>
          </w14:textFill>
        </w:rPr>
        <w:t xml:space="preserve">test; ANOVA was performed to compare the differences in means between multiple groups, and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Georgia" w:cs="Times New Roman"/>
          <w:color w:val="000000" w:themeColor="text1"/>
          <w:sz w:val="24"/>
          <w14:textFill>
            <w14:solidFill>
              <w14:schemeClr w14:val="tx1"/>
            </w14:solidFill>
          </w14:textFill>
        </w:rPr>
        <w:t xml:space="preserve"> &lt; 0.05 was considered </w:t>
      </w:r>
      <w:r>
        <w:rPr>
          <w:rFonts w:ascii="Times New Roman" w:hAnsi="Times New Roman" w:eastAsia="Georgia" w:cs="Times New Roman"/>
          <w:color w:val="000000"/>
          <w:sz w:val="24"/>
        </w:rPr>
        <w:t>to indicate statistical significance</w:t>
      </w:r>
      <w:r>
        <w:rPr>
          <w:rFonts w:ascii="Times New Roman" w:hAnsi="Times New Roman" w:eastAsia="Georgia" w:cs="Times New Roman"/>
          <w:color w:val="000000" w:themeColor="text1"/>
          <w:sz w:val="24"/>
          <w14:textFill>
            <w14:solidFill>
              <w14:schemeClr w14:val="tx1"/>
            </w14:solidFill>
          </w14:textFill>
        </w:rPr>
        <w:t>.</w:t>
      </w:r>
    </w:p>
    <w:p w14:paraId="0B286B32">
      <w:pP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br w:type="page"/>
      </w:r>
    </w:p>
    <w:p w14:paraId="28A52253">
      <w:pPr>
        <w:spacing w:line="480" w:lineRule="auto"/>
        <w:rPr>
          <w:rFonts w:ascii="Times New Roman" w:hAnsi="Times New Roman" w:cs="Times New Roman"/>
          <w:sz w:val="24"/>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等线" w:cs="Times New Roman"/>
          <w:b/>
          <w:bCs/>
          <w:color w:val="000000"/>
          <w:sz w:val="24"/>
          <w:lang w:val="en-US"/>
        </w:rPr>
        <w:t>1</w:t>
      </w:r>
      <w:r>
        <w:rPr>
          <w:rFonts w:ascii="Times New Roman" w:hAnsi="Times New Roman" w:eastAsia="等线" w:cs="Times New Roman"/>
          <w:b/>
          <w:bCs/>
          <w:color w:val="000000"/>
          <w:sz w:val="24"/>
        </w:rPr>
        <w:t>.</w:t>
      </w:r>
      <w:r>
        <w:rPr>
          <w:rFonts w:ascii="Times New Roman" w:hAnsi="Times New Roman" w:cs="Times New Roman"/>
          <w:b/>
          <w:bCs/>
          <w:sz w:val="24"/>
        </w:rPr>
        <w:t xml:space="preserve"> Expression of </w:t>
      </w:r>
      <w:r>
        <w:rPr>
          <w:rFonts w:ascii="Times New Roman" w:hAnsi="Times New Roman" w:eastAsia="宋体" w:cs="Times New Roman"/>
          <w:b/>
          <w:bCs/>
          <w:sz w:val="24"/>
        </w:rPr>
        <w:t>the GRG</w:t>
      </w:r>
      <w:r>
        <w:rPr>
          <w:rFonts w:ascii="Times New Roman" w:hAnsi="Times New Roman" w:cs="Times New Roman"/>
          <w:b/>
          <w:bCs/>
          <w:sz w:val="24"/>
        </w:rPr>
        <w:t xml:space="preserve"> signature in normal and CRC tissues.</w:t>
      </w:r>
      <w:r>
        <w:rPr>
          <w:rFonts w:ascii="Times New Roman" w:hAnsi="Times New Roman" w:cs="Times New Roman"/>
          <w:sz w:val="24"/>
        </w:rPr>
        <w:t xml:space="preserve"> (A) </w:t>
      </w:r>
      <w:r>
        <w:rPr>
          <w:rFonts w:ascii="Times New Roman" w:hAnsi="Times New Roman" w:eastAsia="宋体" w:cs="Times New Roman"/>
          <w:sz w:val="24"/>
        </w:rPr>
        <w:t>RT</w:t>
      </w:r>
      <w:r>
        <w:rPr>
          <w:rFonts w:ascii="Times New Roman" w:hAnsi="Times New Roman" w:eastAsia="MS Gothic" w:cs="Times New Roman"/>
          <w:sz w:val="24"/>
        </w:rPr>
        <w:t>‒</w:t>
      </w:r>
      <w:r>
        <w:rPr>
          <w:rFonts w:ascii="Times New Roman" w:hAnsi="Times New Roman" w:eastAsia="宋体" w:cs="Times New Roman"/>
          <w:sz w:val="24"/>
        </w:rPr>
        <w:t>qPCR</w:t>
      </w:r>
      <w:r>
        <w:rPr>
          <w:rFonts w:ascii="Times New Roman" w:hAnsi="Times New Roman" w:cs="Times New Roman"/>
          <w:sz w:val="24"/>
        </w:rPr>
        <w:t xml:space="preserve"> </w:t>
      </w:r>
      <w:r>
        <w:rPr>
          <w:rFonts w:ascii="Times New Roman" w:hAnsi="Times New Roman" w:eastAsia="宋体" w:cs="Times New Roman"/>
          <w:sz w:val="24"/>
        </w:rPr>
        <w:t>was used to determine</w:t>
      </w:r>
      <w:r>
        <w:rPr>
          <w:rFonts w:ascii="Times New Roman" w:hAnsi="Times New Roman" w:cs="Times New Roman"/>
          <w:sz w:val="24"/>
        </w:rPr>
        <w:t xml:space="preserve"> </w:t>
      </w:r>
      <w:r>
        <w:rPr>
          <w:rFonts w:hint="eastAsia" w:ascii="Times New Roman" w:hAnsi="Times New Roman" w:cs="Times New Roman"/>
          <w:sz w:val="24"/>
          <w:lang w:val="en-US"/>
        </w:rPr>
        <w:t xml:space="preserve">the </w:t>
      </w:r>
      <w:r>
        <w:rPr>
          <w:rFonts w:ascii="Times New Roman" w:hAnsi="Times New Roman" w:cs="Times New Roman"/>
          <w:sz w:val="24"/>
        </w:rPr>
        <w:t>expression</w:t>
      </w:r>
      <w:r>
        <w:rPr>
          <w:rFonts w:hint="eastAsia" w:ascii="Times New Roman" w:hAnsi="Times New Roman" w:cs="Times New Roman"/>
          <w:sz w:val="24"/>
          <w:lang w:val="en-US"/>
        </w:rPr>
        <w:t xml:space="preserve"> of 19 </w:t>
      </w:r>
      <w:r>
        <w:rPr>
          <w:rFonts w:ascii="Times New Roman" w:hAnsi="Times New Roman" w:cs="Times New Roman"/>
          <w:sz w:val="24"/>
        </w:rPr>
        <w:t xml:space="preserve">GRG signature in </w:t>
      </w:r>
      <w:r>
        <w:rPr>
          <w:rFonts w:hint="eastAsia" w:ascii="Times New Roman" w:hAnsi="Times New Roman" w:cs="Times New Roman"/>
          <w:sz w:val="24"/>
          <w:lang w:val="en-US"/>
        </w:rPr>
        <w:t xml:space="preserve">ten pairs of </w:t>
      </w:r>
      <w:r>
        <w:rPr>
          <w:rFonts w:ascii="Times New Roman" w:hAnsi="Times New Roman" w:cs="Times New Roman"/>
          <w:sz w:val="24"/>
        </w:rPr>
        <w:t xml:space="preserve">CRC and normal colorectal mucosa. (B) </w:t>
      </w:r>
      <w:r>
        <w:rPr>
          <w:rFonts w:hint="eastAsia" w:ascii="Times New Roman" w:hAnsi="Times New Roman" w:cs="Times New Roman"/>
          <w:sz w:val="24"/>
          <w:lang w:val="en-US"/>
        </w:rPr>
        <w:t>P</w:t>
      </w:r>
      <w:r>
        <w:rPr>
          <w:rFonts w:ascii="Times New Roman" w:hAnsi="Times New Roman" w:cs="Times New Roman"/>
          <w:sz w:val="24"/>
        </w:rPr>
        <w:t xml:space="preserve">aired comparisons of the expression levels of </w:t>
      </w:r>
      <w:r>
        <w:rPr>
          <w:rFonts w:hint="eastAsia" w:ascii="Times New Roman" w:hAnsi="Times New Roman" w:cs="Times New Roman"/>
          <w:sz w:val="24"/>
          <w:lang w:val="en-US"/>
        </w:rPr>
        <w:t xml:space="preserve">19 GRG </w:t>
      </w:r>
      <w:r>
        <w:rPr>
          <w:rFonts w:ascii="Times New Roman" w:hAnsi="Times New Roman" w:cs="Times New Roman"/>
          <w:sz w:val="24"/>
        </w:rPr>
        <w:t xml:space="preserve">genes between </w:t>
      </w:r>
      <w:r>
        <w:rPr>
          <w:rFonts w:hint="eastAsia" w:ascii="Times New Roman" w:hAnsi="Times New Roman" w:cs="Times New Roman"/>
          <w:sz w:val="24"/>
          <w:lang w:val="en-US"/>
        </w:rPr>
        <w:t>CRC</w:t>
      </w:r>
      <w:r>
        <w:rPr>
          <w:rFonts w:ascii="Times New Roman" w:hAnsi="Times New Roman" w:cs="Times New Roman"/>
          <w:sz w:val="24"/>
        </w:rPr>
        <w:t xml:space="preserve"> and normal controls</w:t>
      </w:r>
      <w:r>
        <w:rPr>
          <w:rFonts w:hint="eastAsia" w:ascii="Times New Roman" w:hAnsi="Times New Roman" w:cs="Times New Roman"/>
          <w:sz w:val="24"/>
          <w:lang w:val="en-US"/>
        </w:rPr>
        <w:t xml:space="preserve"> from TCGA datasets</w:t>
      </w:r>
      <w:r>
        <w:rPr>
          <w:rFonts w:ascii="Times New Roman" w:hAnsi="Times New Roman" w:cs="Times New Roman"/>
          <w:sz w:val="24"/>
        </w:rPr>
        <w:t>.</w:t>
      </w:r>
    </w:p>
    <w:p w14:paraId="622296BA">
      <w:pPr>
        <w:spacing w:line="480" w:lineRule="auto"/>
        <w:rPr>
          <w:rFonts w:ascii="Times New Roman" w:hAnsi="Times New Roman" w:eastAsia="宋体" w:cs="Times New Roman"/>
          <w:b/>
          <w:bCs/>
          <w:color w:val="000000" w:themeColor="text1"/>
          <w:kern w:val="0"/>
          <w:sz w:val="24"/>
          <w14:textFill>
            <w14:solidFill>
              <w14:schemeClr w14:val="tx1"/>
            </w14:solidFill>
          </w14:textFill>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等线" w:cs="Times New Roman"/>
          <w:b/>
          <w:bCs/>
          <w:color w:val="000000"/>
          <w:sz w:val="24"/>
          <w:lang w:val="en-US"/>
        </w:rPr>
        <w:t>2</w:t>
      </w:r>
      <w:r>
        <w:rPr>
          <w:rFonts w:ascii="Times New Roman" w:hAnsi="Times New Roman" w:eastAsia="等线" w:cs="Times New Roman"/>
          <w:b/>
          <w:bCs/>
          <w:color w:val="000000"/>
          <w:sz w:val="24"/>
        </w:rPr>
        <w:t xml:space="preserve">. </w:t>
      </w:r>
      <w:r>
        <w:rPr>
          <w:rFonts w:ascii="Times New Roman" w:hAnsi="Times New Roman" w:eastAsia="等线" w:cs="Times New Roman"/>
          <w:color w:val="000000"/>
          <w:sz w:val="24"/>
        </w:rPr>
        <w:t xml:space="preserve">The prognostic value of 19 </w:t>
      </w:r>
      <w:r>
        <w:rPr>
          <w:rFonts w:hint="eastAsia" w:ascii="Times New Roman" w:hAnsi="Times New Roman" w:eastAsia="等线" w:cs="Times New Roman"/>
          <w:color w:val="000000"/>
          <w:sz w:val="24"/>
          <w:lang w:val="en-US"/>
        </w:rPr>
        <w:t>GRG</w:t>
      </w:r>
      <w:r>
        <w:rPr>
          <w:rFonts w:ascii="Times New Roman" w:hAnsi="Times New Roman" w:eastAsia="等线" w:cs="Times New Roman"/>
          <w:color w:val="000000"/>
          <w:sz w:val="24"/>
        </w:rPr>
        <w:t xml:space="preserve"> signature</w:t>
      </w:r>
      <w:r>
        <w:rPr>
          <w:rFonts w:hint="eastAsia" w:ascii="Times New Roman" w:hAnsi="Times New Roman" w:eastAsia="等线" w:cs="Times New Roman"/>
          <w:color w:val="000000"/>
          <w:sz w:val="24"/>
          <w:lang w:val="en-US"/>
        </w:rPr>
        <w:t xml:space="preserve"> </w:t>
      </w:r>
      <w:r>
        <w:rPr>
          <w:rFonts w:ascii="Times New Roman" w:hAnsi="Times New Roman" w:eastAsia="等线" w:cs="Times New Roman"/>
          <w:color w:val="000000"/>
          <w:sz w:val="24"/>
        </w:rPr>
        <w:t xml:space="preserve">genes in CRC patients </w:t>
      </w:r>
      <w:r>
        <w:rPr>
          <w:rFonts w:hint="eastAsia" w:ascii="Times New Roman" w:hAnsi="Times New Roman" w:eastAsia="等线" w:cs="Times New Roman"/>
          <w:color w:val="000000"/>
          <w:sz w:val="24"/>
          <w:lang w:val="en-US"/>
        </w:rPr>
        <w:t xml:space="preserve">based on </w:t>
      </w:r>
      <w:r>
        <w:rPr>
          <w:rFonts w:ascii="Times New Roman" w:hAnsi="Times New Roman" w:eastAsia="等线" w:cs="Times New Roman"/>
          <w:color w:val="000000"/>
          <w:sz w:val="24"/>
        </w:rPr>
        <w:t>TCGA data.</w:t>
      </w:r>
    </w:p>
    <w:p w14:paraId="63FD4FD6">
      <w:pPr>
        <w:widowControl/>
        <w:spacing w:line="480" w:lineRule="auto"/>
        <w:rPr>
          <w:rFonts w:ascii="Times New Roman" w:hAnsi="Times New Roman" w:eastAsia="宋体" w:cs="Times New Roman"/>
          <w:b/>
          <w:bCs/>
          <w:color w:val="000000" w:themeColor="text1"/>
          <w:kern w:val="0"/>
          <w:sz w:val="24"/>
          <w14:textFill>
            <w14:solidFill>
              <w14:schemeClr w14:val="tx1"/>
            </w14:solidFill>
          </w14:textFill>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宋体" w:cs="Times New Roman"/>
          <w:b/>
          <w:bCs/>
          <w:color w:val="000000"/>
          <w:kern w:val="0"/>
          <w:sz w:val="24"/>
          <w:lang w:val="en-US"/>
        </w:rPr>
        <w:t xml:space="preserve">3. </w:t>
      </w:r>
      <w:r>
        <w:rPr>
          <w:rFonts w:ascii="Times New Roman" w:hAnsi="Times New Roman" w:eastAsia="等线" w:cs="Times New Roman"/>
          <w:color w:val="000000"/>
          <w:sz w:val="24"/>
        </w:rPr>
        <w:t>Correlations</w:t>
      </w:r>
      <w:r>
        <w:rPr>
          <w:rFonts w:hint="eastAsia" w:ascii="Times New Roman" w:hAnsi="Times New Roman" w:cs="Times New Roman"/>
          <w:color w:val="000000" w:themeColor="text1"/>
          <w:sz w:val="24"/>
          <w14:textFill>
            <w14:solidFill>
              <w14:schemeClr w14:val="tx1"/>
            </w14:solidFill>
          </w14:textFill>
        </w:rPr>
        <w:t xml:space="preserve"> between </w:t>
      </w:r>
      <w:r>
        <w:rPr>
          <w:rFonts w:ascii="Times New Roman" w:hAnsi="Times New Roman" w:eastAsia="等线" w:cs="Times New Roman"/>
          <w:color w:val="000000"/>
          <w:sz w:val="24"/>
        </w:rPr>
        <w:t xml:space="preserve">the </w:t>
      </w:r>
      <w:r>
        <w:rPr>
          <w:rFonts w:hint="eastAsia" w:ascii="Times New Roman" w:hAnsi="Times New Roman" w:cs="Times New Roman"/>
          <w:color w:val="000000" w:themeColor="text1"/>
          <w:sz w:val="24"/>
          <w14:textFill>
            <w14:solidFill>
              <w14:schemeClr w14:val="tx1"/>
            </w14:solidFill>
          </w14:textFill>
        </w:rPr>
        <w:t xml:space="preserve">risk score and clinicopathological parameters. </w:t>
      </w:r>
      <w:r>
        <w:rPr>
          <w:rFonts w:ascii="Times New Roman" w:hAnsi="Times New Roman" w:cs="Times New Roman"/>
          <w:color w:val="000000" w:themeColor="text1"/>
          <w:sz w:val="24"/>
          <w14:textFill>
            <w14:solidFill>
              <w14:schemeClr w14:val="tx1"/>
            </w14:solidFill>
          </w14:textFill>
        </w:rPr>
        <w:t xml:space="preserve">T, </w:t>
      </w:r>
      <w:r>
        <w:rPr>
          <w:rFonts w:hint="eastAsia" w:ascii="Times New Roman" w:hAnsi="Times New Roman" w:cs="Times New Roman"/>
          <w:color w:val="000000" w:themeColor="text1"/>
          <w:sz w:val="24"/>
          <w14:textFill>
            <w14:solidFill>
              <w14:schemeClr w14:val="tx1"/>
            </w14:solidFill>
          </w14:textFill>
        </w:rPr>
        <w:t>T classification</w:t>
      </w:r>
      <w:r>
        <w:rPr>
          <w:rFonts w:ascii="Times New Roman" w:hAnsi="Times New Roman" w:cs="Times New Roman"/>
          <w:color w:val="000000" w:themeColor="text1"/>
          <w:sz w:val="24"/>
          <w14:textFill>
            <w14:solidFill>
              <w14:schemeClr w14:val="tx1"/>
            </w14:solidFill>
          </w14:textFill>
        </w:rPr>
        <w:t>; N,</w:t>
      </w:r>
      <w:r>
        <w:rPr>
          <w:rFonts w:ascii="Times New Roman" w:hAnsi="Times New Roman" w:eastAsia="宋体" w:cs="Times New Roman"/>
          <w:color w:val="000000" w:themeColor="text1"/>
          <w:sz w:val="24"/>
          <w14:textFill>
            <w14:solidFill>
              <w14:schemeClr w14:val="tx1"/>
            </w14:solidFill>
          </w14:textFill>
        </w:rPr>
        <w:t xml:space="preserve"> lymphatic metastasis</w:t>
      </w:r>
      <w:r>
        <w:rPr>
          <w:rFonts w:ascii="Times New Roman" w:hAnsi="Times New Roman" w:cs="Times New Roman"/>
          <w:color w:val="000000" w:themeColor="text1"/>
          <w:sz w:val="24"/>
          <w14:textFill>
            <w14:solidFill>
              <w14:schemeClr w14:val="tx1"/>
            </w14:solidFill>
          </w14:textFill>
        </w:rPr>
        <w:t>; M,</w:t>
      </w:r>
      <w:r>
        <w:rPr>
          <w:rFonts w:ascii="Times New Roman" w:hAnsi="Times New Roman" w:eastAsia="宋体" w:cs="Times New Roman"/>
          <w:color w:val="000000" w:themeColor="text1"/>
          <w:sz w:val="24"/>
          <w14:textFill>
            <w14:solidFill>
              <w14:schemeClr w14:val="tx1"/>
            </w14:solidFill>
          </w14:textFill>
        </w:rPr>
        <w:t xml:space="preserve"> distant metastasis</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宋体" w:cs="Times New Roman"/>
          <w:color w:val="000000" w:themeColor="text1"/>
          <w:kern w:val="0"/>
          <w:sz w:val="24"/>
          <w14:textFill>
            <w14:solidFill>
              <w14:schemeClr w14:val="tx1"/>
            </w14:solidFill>
          </w14:textFill>
        </w:rPr>
        <w:t xml:space="preserve"> &lt; 0.05;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宋体" w:cs="Times New Roman"/>
          <w:color w:val="000000" w:themeColor="text1"/>
          <w:kern w:val="0"/>
          <w:sz w:val="24"/>
          <w14:textFill>
            <w14:solidFill>
              <w14:schemeClr w14:val="tx1"/>
            </w14:solidFill>
          </w14:textFill>
        </w:rPr>
        <w:t xml:space="preserve"> &lt; 0.01;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宋体" w:cs="Times New Roman"/>
          <w:i/>
          <w:iCs/>
          <w:color w:val="000000" w:themeColor="text1"/>
          <w:kern w:val="0"/>
          <w:sz w:val="24"/>
          <w14:textFill>
            <w14:solidFill>
              <w14:schemeClr w14:val="tx1"/>
            </w14:solidFill>
          </w14:textFill>
        </w:rPr>
        <w:t xml:space="preserve"> </w:t>
      </w:r>
      <w:r>
        <w:rPr>
          <w:rFonts w:ascii="Times New Roman" w:hAnsi="Times New Roman" w:eastAsia="宋体" w:cs="Times New Roman"/>
          <w:color w:val="000000" w:themeColor="text1"/>
          <w:kern w:val="0"/>
          <w:sz w:val="24"/>
          <w14:textFill>
            <w14:solidFill>
              <w14:schemeClr w14:val="tx1"/>
            </w14:solidFill>
          </w14:textFill>
        </w:rPr>
        <w:t>&lt; 0.001</w:t>
      </w:r>
    </w:p>
    <w:p w14:paraId="07EC9EA9">
      <w:pPr>
        <w:widowControl/>
        <w:spacing w:line="480" w:lineRule="auto"/>
        <w:rPr>
          <w:rFonts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宋体" w:cs="Times New Roman"/>
          <w:b/>
          <w:bCs/>
          <w:color w:val="000000"/>
          <w:kern w:val="0"/>
          <w:sz w:val="24"/>
          <w:lang w:val="en-US"/>
        </w:rPr>
        <w:t>4</w:t>
      </w:r>
      <w:r>
        <w:rPr>
          <w:rFonts w:ascii="Times New Roman" w:hAnsi="Times New Roman" w:eastAsia="宋体" w:cs="Times New Roman"/>
          <w:b/>
          <w:bCs/>
          <w:color w:val="000000" w:themeColor="text1"/>
          <w:kern w:val="0"/>
          <w:sz w:val="24"/>
          <w14:textFill>
            <w14:solidFill>
              <w14:schemeClr w14:val="tx1"/>
            </w14:solidFill>
          </w14:textFill>
        </w:rPr>
        <w:t>. GRG signature validation in the test cohort GSE39582</w:t>
      </w:r>
      <w:r>
        <w:rPr>
          <w:rFonts w:ascii="Times New Roman" w:hAnsi="Times New Roman" w:cs="Times New Roman"/>
          <w:b/>
          <w:bCs/>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lang w:val="en-US"/>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 Patient outcomes based on the risk score. The risk score for each CRC patient (top). Survival rates and survival times of patients in different groups (bottom). (</w:t>
      </w:r>
      <w:r>
        <w:rPr>
          <w:rFonts w:ascii="Times New Roman" w:hAnsi="Times New Roman" w:cs="Times New Roman"/>
          <w:color w:val="000000" w:themeColor="text1"/>
          <w:sz w:val="24"/>
          <w:lang w:val="en-US"/>
          <w14:textFill>
            <w14:solidFill>
              <w14:schemeClr w14:val="tx1"/>
            </w14:solidFill>
          </w14:textFill>
        </w:rPr>
        <w:t>B</w:t>
      </w:r>
      <w:r>
        <w:rPr>
          <w:rFonts w:ascii="Times New Roman" w:hAnsi="Times New Roman" w:cs="Times New Roman"/>
          <w:color w:val="000000" w:themeColor="text1"/>
          <w:sz w:val="24"/>
          <w14:textFill>
            <w14:solidFill>
              <w14:schemeClr w14:val="tx1"/>
            </w14:solidFill>
          </w14:textFill>
        </w:rPr>
        <w:t>) Kaplan‒Meier</w:t>
      </w:r>
      <w:r>
        <w:rPr>
          <w:rFonts w:ascii="Times New Roman" w:hAnsi="Times New Roman" w:cs="Times New Roman"/>
          <w:color w:val="000000" w:themeColor="text1"/>
          <w:sz w:val="24"/>
          <w:lang w:val="en-US"/>
          <w14:textFill>
            <w14:solidFill>
              <w14:schemeClr w14:val="tx1"/>
            </w14:solidFill>
          </w14:textFill>
        </w:rPr>
        <w:t xml:space="preserve"> </w:t>
      </w:r>
      <w:r>
        <w:rPr>
          <w:rFonts w:ascii="Times New Roman" w:hAnsi="Times New Roman" w:eastAsia="黑体" w:cs="Times New Roman"/>
          <w:color w:val="000000" w:themeColor="text1"/>
          <w:kern w:val="0"/>
          <w:sz w:val="24"/>
          <w14:textFill>
            <w14:solidFill>
              <w14:schemeClr w14:val="tx1"/>
            </w14:solidFill>
          </w14:textFill>
        </w:rPr>
        <w:t>survival</w:t>
      </w:r>
      <w:r>
        <w:rPr>
          <w:rFonts w:ascii="Times New Roman" w:hAnsi="Times New Roman" w:cs="Times New Roman"/>
          <w:color w:val="000000" w:themeColor="text1"/>
          <w:sz w:val="24"/>
          <w14:textFill>
            <w14:solidFill>
              <w14:schemeClr w14:val="tx1"/>
            </w14:solidFill>
          </w14:textFill>
        </w:rPr>
        <w:t xml:space="preserve"> curves for the overall survival and progression-free survival of CRC patients in the Risk</w:t>
      </w:r>
      <w:r>
        <w:rPr>
          <w:rFonts w:ascii="Times New Roman" w:hAnsi="Times New Roman" w:cs="Times New Roman"/>
          <w:color w:val="000000" w:themeColor="text1"/>
          <w:sz w:val="24"/>
          <w:vertAlign w:val="superscript"/>
          <w14:textFill>
            <w14:solidFill>
              <w14:schemeClr w14:val="tx1"/>
            </w14:solidFill>
          </w14:textFill>
        </w:rPr>
        <w:t>H</w:t>
      </w:r>
      <w:r>
        <w:rPr>
          <w:rFonts w:ascii="Times New Roman" w:hAnsi="Times New Roman" w:cs="Times New Roman"/>
          <w:color w:val="000000" w:themeColor="text1"/>
          <w:sz w:val="24"/>
          <w14:textFill>
            <w14:solidFill>
              <w14:schemeClr w14:val="tx1"/>
            </w14:solidFill>
          </w14:textFill>
        </w:rPr>
        <w:t xml:space="preserve"> and Risk</w:t>
      </w:r>
      <w:r>
        <w:rPr>
          <w:rFonts w:ascii="Times New Roman" w:hAnsi="Times New Roman" w:cs="Times New Roman"/>
          <w:color w:val="000000" w:themeColor="text1"/>
          <w:sz w:val="24"/>
          <w:vertAlign w:val="superscript"/>
          <w14:textFill>
            <w14:solidFill>
              <w14:schemeClr w14:val="tx1"/>
            </w14:solidFill>
          </w14:textFill>
        </w:rPr>
        <w:t>L</w:t>
      </w:r>
      <w:r>
        <w:rPr>
          <w:rFonts w:ascii="Times New Roman" w:hAnsi="Times New Roman" w:cs="Times New Roman"/>
          <w:color w:val="000000" w:themeColor="text1"/>
          <w:sz w:val="24"/>
          <w14:textFill>
            <w14:solidFill>
              <w14:schemeClr w14:val="tx1"/>
            </w14:solidFill>
          </w14:textFill>
        </w:rPr>
        <w:t xml:space="preserve"> groups.</w:t>
      </w:r>
      <w:r>
        <w:rPr>
          <w:rFonts w:ascii="Times New Roman" w:hAnsi="Times New Roman" w:cs="Times New Roman"/>
          <w:color w:val="000000" w:themeColor="text1"/>
          <w:sz w:val="24"/>
          <w:lang w:val="en-US"/>
          <w14:textFill>
            <w14:solidFill>
              <w14:schemeClr w14:val="tx1"/>
            </w14:solidFill>
          </w14:textFill>
        </w:rPr>
        <w:t xml:space="preserve"> (C)</w:t>
      </w:r>
      <w:r>
        <w:rPr>
          <w:rFonts w:ascii="Times New Roman" w:hAnsi="Times New Roman" w:eastAsia="宋体" w:cs="Times New Roman"/>
          <w:sz w:val="24"/>
        </w:rPr>
        <w:t xml:space="preserve">PCA </w:t>
      </w:r>
      <w:r>
        <w:rPr>
          <w:rFonts w:ascii="Times New Roman" w:hAnsi="Times New Roman" w:cs="Times New Roman"/>
          <w:sz w:val="24"/>
        </w:rPr>
        <w:t>of two groups using whole transcriptome data.</w:t>
      </w:r>
      <w:r>
        <w:rPr>
          <w:rFonts w:ascii="Times New Roman" w:hAnsi="Times New Roman" w:cs="Times New Roman"/>
          <w:sz w:val="24"/>
          <w:lang w:val="en-US"/>
        </w:rPr>
        <w:t xml:space="preserve"> </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color w:val="000000" w:themeColor="text1"/>
          <w:sz w:val="24"/>
          <w:lang w:val="en-US"/>
          <w14:textFill>
            <w14:solidFill>
              <w14:schemeClr w14:val="tx1"/>
            </w14:solidFill>
          </w14:textFill>
        </w:rPr>
        <w:t>D</w:t>
      </w:r>
      <w:r>
        <w:rPr>
          <w:rFonts w:ascii="Times New Roman" w:hAnsi="Times New Roman" w:cs="Times New Roman"/>
          <w:color w:val="000000" w:themeColor="text1"/>
          <w:sz w:val="24"/>
          <w14:textFill>
            <w14:solidFill>
              <w14:schemeClr w14:val="tx1"/>
            </w14:solidFill>
          </w14:textFill>
        </w:rPr>
        <w:t xml:space="preserve">) ROC curves </w:t>
      </w:r>
      <w:r>
        <w:rPr>
          <w:rFonts w:ascii="Times New Roman" w:hAnsi="Times New Roman" w:eastAsia="等线" w:cs="Times New Roman"/>
          <w:color w:val="000000"/>
          <w:sz w:val="24"/>
        </w:rPr>
        <w:t>showing</w:t>
      </w:r>
      <w:r>
        <w:rPr>
          <w:rFonts w:ascii="Times New Roman" w:hAnsi="Times New Roman" w:cs="Times New Roman"/>
          <w:color w:val="000000" w:themeColor="text1"/>
          <w:sz w:val="24"/>
          <w14:textFill>
            <w14:solidFill>
              <w14:schemeClr w14:val="tx1"/>
            </w14:solidFill>
          </w14:textFill>
        </w:rPr>
        <w:t xml:space="preserve"> the prognostic value of the GRG signature and clinicopathologic characteristics. (</w:t>
      </w:r>
      <w:r>
        <w:rPr>
          <w:rFonts w:ascii="Times New Roman" w:hAnsi="Times New Roman" w:cs="Times New Roman"/>
          <w:color w:val="000000" w:themeColor="text1"/>
          <w:sz w:val="24"/>
          <w:lang w:val="en-US"/>
          <w14:textFill>
            <w14:solidFill>
              <w14:schemeClr w14:val="tx1"/>
            </w14:solidFill>
          </w14:textFill>
        </w:rPr>
        <w:t>E-F</w:t>
      </w:r>
      <w:r>
        <w:rPr>
          <w:rFonts w:ascii="Times New Roman" w:hAnsi="Times New Roman" w:cs="Times New Roman"/>
          <w:color w:val="000000" w:themeColor="text1"/>
          <w:sz w:val="24"/>
          <w14:textFill>
            <w14:solidFill>
              <w14:schemeClr w14:val="tx1"/>
            </w14:solidFill>
          </w14:textFill>
        </w:rPr>
        <w:t xml:space="preserve">) Forest plot </w:t>
      </w:r>
      <w:r>
        <w:rPr>
          <w:rFonts w:ascii="Times New Roman" w:hAnsi="Times New Roman" w:eastAsia="宋体" w:cs="Times New Roman"/>
          <w:color w:val="000000" w:themeColor="text1"/>
          <w:sz w:val="24"/>
          <w14:textFill>
            <w14:solidFill>
              <w14:schemeClr w14:val="tx1"/>
            </w14:solidFill>
          </w14:textFill>
        </w:rPr>
        <w:t xml:space="preserve">showing </w:t>
      </w:r>
      <w:r>
        <w:rPr>
          <w:rFonts w:ascii="Times New Roman" w:hAnsi="Times New Roman" w:cs="Times New Roman"/>
          <w:color w:val="000000" w:themeColor="text1"/>
          <w:sz w:val="24"/>
          <w14:textFill>
            <w14:solidFill>
              <w14:schemeClr w14:val="tx1"/>
            </w14:solidFill>
          </w14:textFill>
        </w:rPr>
        <w:t xml:space="preserve">the univariate and multivariate Cox </w:t>
      </w:r>
      <w:r>
        <w:rPr>
          <w:rFonts w:ascii="Times New Roman" w:hAnsi="Times New Roman" w:eastAsia="等线" w:cs="Times New Roman"/>
          <w:color w:val="000000"/>
          <w:sz w:val="24"/>
        </w:rPr>
        <w:t>analyses</w:t>
      </w:r>
      <w:r>
        <w:rPr>
          <w:rFonts w:ascii="Times New Roman" w:hAnsi="Times New Roman" w:cs="Times New Roman"/>
          <w:color w:val="000000" w:themeColor="text1"/>
          <w:sz w:val="24"/>
          <w14:textFill>
            <w14:solidFill>
              <w14:schemeClr w14:val="tx1"/>
            </w14:solidFill>
          </w14:textFill>
        </w:rPr>
        <w:t xml:space="preserve"> of the risk model for overall survival in CRC</w:t>
      </w:r>
      <w:r>
        <w:rPr>
          <w:rFonts w:ascii="Times New Roman" w:hAnsi="Times New Roman" w:eastAsia="等线" w:cs="Times New Roman"/>
          <w:color w:val="000000"/>
          <w:sz w:val="24"/>
        </w:rPr>
        <w:t xml:space="preserve"> patients</w:t>
      </w:r>
      <w:r>
        <w:rPr>
          <w:rFonts w:ascii="Times New Roman" w:hAnsi="Times New Roman" w:cs="Times New Roman"/>
          <w:color w:val="000000" w:themeColor="text1"/>
          <w:sz w:val="24"/>
          <w14:textFill>
            <w14:solidFill>
              <w14:schemeClr w14:val="tx1"/>
            </w14:solidFill>
          </w14:textFill>
        </w:rPr>
        <w:t>. (</w:t>
      </w:r>
      <w:r>
        <w:rPr>
          <w:rFonts w:ascii="Times New Roman" w:hAnsi="Times New Roman" w:cs="Times New Roman"/>
          <w:color w:val="000000" w:themeColor="text1"/>
          <w:sz w:val="24"/>
          <w:lang w:val="en-US"/>
          <w14:textFill>
            <w14:solidFill>
              <w14:schemeClr w14:val="tx1"/>
            </w14:solidFill>
          </w14:textFill>
        </w:rPr>
        <w:t>G</w:t>
      </w:r>
      <w:r>
        <w:rPr>
          <w:rFonts w:ascii="Times New Roman" w:hAnsi="Times New Roman" w:cs="Times New Roman"/>
          <w:color w:val="000000" w:themeColor="text1"/>
          <w:sz w:val="24"/>
          <w14:textFill>
            <w14:solidFill>
              <w14:schemeClr w14:val="tx1"/>
            </w14:solidFill>
          </w14:textFill>
        </w:rPr>
        <w:t>) Boxplots representing the changes in risk scores with clinicopathological parameters.</w:t>
      </w:r>
      <w:r>
        <w:rPr>
          <w:rFonts w:ascii="Times New Roman" w:hAnsi="Times New Roman" w:cs="Times New Roman"/>
          <w:color w:val="000000" w:themeColor="text1"/>
          <w:sz w:val="24"/>
          <w:lang w:val="en-US"/>
          <w14:textFill>
            <w14:solidFill>
              <w14:schemeClr w14:val="tx1"/>
            </w14:solidFill>
          </w14:textFill>
        </w:rPr>
        <w:t xml:space="preserve"> (H) Correlation between risk score and clinicopathological parameters. </w:t>
      </w:r>
      <w:r>
        <w:rPr>
          <w:rFonts w:ascii="Times New Roman" w:hAnsi="Times New Roman" w:cs="Times New Roman"/>
          <w:color w:val="000000" w:themeColor="text1"/>
          <w:sz w:val="24"/>
          <w14:textFill>
            <w14:solidFill>
              <w14:schemeClr w14:val="tx1"/>
            </w14:solidFill>
          </w14:textFill>
        </w:rPr>
        <w:t xml:space="preserve">T, </w:t>
      </w:r>
      <w:r>
        <w:rPr>
          <w:rFonts w:hint="eastAsia" w:ascii="Times New Roman" w:hAnsi="Times New Roman" w:cs="Times New Roman"/>
          <w:color w:val="000000" w:themeColor="text1"/>
          <w:sz w:val="24"/>
          <w14:textFill>
            <w14:solidFill>
              <w14:schemeClr w14:val="tx1"/>
            </w14:solidFill>
          </w14:textFill>
        </w:rPr>
        <w:t>T classification</w:t>
      </w:r>
      <w:r>
        <w:rPr>
          <w:rFonts w:ascii="Times New Roman" w:hAnsi="Times New Roman" w:cs="Times New Roman"/>
          <w:color w:val="000000" w:themeColor="text1"/>
          <w:sz w:val="24"/>
          <w14:textFill>
            <w14:solidFill>
              <w14:schemeClr w14:val="tx1"/>
            </w14:solidFill>
          </w14:textFill>
        </w:rPr>
        <w:t>; N,</w:t>
      </w:r>
      <w:r>
        <w:rPr>
          <w:rFonts w:ascii="Times New Roman" w:hAnsi="Times New Roman" w:eastAsia="宋体" w:cs="Times New Roman"/>
          <w:color w:val="000000" w:themeColor="text1"/>
          <w:sz w:val="24"/>
          <w14:textFill>
            <w14:solidFill>
              <w14:schemeClr w14:val="tx1"/>
            </w14:solidFill>
          </w14:textFill>
        </w:rPr>
        <w:t xml:space="preserve"> lymphatic metastasis</w:t>
      </w:r>
      <w:r>
        <w:rPr>
          <w:rFonts w:ascii="Times New Roman" w:hAnsi="Times New Roman" w:cs="Times New Roman"/>
          <w:color w:val="000000" w:themeColor="text1"/>
          <w:sz w:val="24"/>
          <w14:textFill>
            <w14:solidFill>
              <w14:schemeClr w14:val="tx1"/>
            </w14:solidFill>
          </w14:textFill>
        </w:rPr>
        <w:t>; M,</w:t>
      </w:r>
      <w:r>
        <w:rPr>
          <w:rFonts w:ascii="Times New Roman" w:hAnsi="Times New Roman" w:eastAsia="宋体" w:cs="Times New Roman"/>
          <w:color w:val="000000" w:themeColor="text1"/>
          <w:sz w:val="24"/>
          <w14:textFill>
            <w14:solidFill>
              <w14:schemeClr w14:val="tx1"/>
            </w14:solidFill>
          </w14:textFill>
        </w:rPr>
        <w:t xml:space="preserve"> distant metastasis</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color w:val="000000" w:themeColor="text1"/>
          <w:sz w:val="24"/>
          <w:lang w:val="en-US"/>
          <w14:textFill>
            <w14:solidFill>
              <w14:schemeClr w14:val="tx1"/>
            </w14:solidFill>
          </w14:textFill>
        </w:rPr>
        <w:t xml:space="preserve"> </w:t>
      </w:r>
      <w:r>
        <w:rPr>
          <w:rFonts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宋体" w:cs="Times New Roman"/>
          <w:color w:val="000000" w:themeColor="text1"/>
          <w:kern w:val="0"/>
          <w:sz w:val="24"/>
          <w14:textFill>
            <w14:solidFill>
              <w14:schemeClr w14:val="tx1"/>
            </w14:solidFill>
          </w14:textFill>
        </w:rPr>
        <w:t xml:space="preserve"> &lt; 0.05;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宋体" w:cs="Times New Roman"/>
          <w:color w:val="000000" w:themeColor="text1"/>
          <w:kern w:val="0"/>
          <w:sz w:val="24"/>
          <w14:textFill>
            <w14:solidFill>
              <w14:schemeClr w14:val="tx1"/>
            </w14:solidFill>
          </w14:textFill>
        </w:rPr>
        <w:t xml:space="preserve"> &lt; 0.01; ***</w:t>
      </w:r>
      <w:r>
        <w:rPr>
          <w:rFonts w:hint="eastAsia" w:ascii="Times New Roman" w:hAnsi="Times New Roman" w:eastAsia="宋体" w:cs="Times New Roman"/>
          <w:i/>
          <w:iCs/>
          <w:color w:val="000000" w:themeColor="text1"/>
          <w:sz w:val="24"/>
          <w14:textFill>
            <w14:solidFill>
              <w14:schemeClr w14:val="tx1"/>
            </w14:solidFill>
          </w14:textFill>
        </w:rPr>
        <w:t>P</w:t>
      </w:r>
      <w:r>
        <w:rPr>
          <w:rFonts w:ascii="Times New Roman" w:hAnsi="Times New Roman" w:eastAsia="宋体" w:cs="Times New Roman"/>
          <w:color w:val="000000" w:themeColor="text1"/>
          <w:kern w:val="0"/>
          <w:sz w:val="24"/>
          <w14:textFill>
            <w14:solidFill>
              <w14:schemeClr w14:val="tx1"/>
            </w14:solidFill>
          </w14:textFill>
        </w:rPr>
        <w:t xml:space="preserve"> &lt; 0.001</w:t>
      </w:r>
    </w:p>
    <w:p w14:paraId="1B8F6BAD">
      <w:pPr>
        <w:rPr>
          <w:rFonts w:ascii="Times New Roman" w:hAnsi="Times New Roman" w:eastAsia="宋体" w:cs="Times New Roman"/>
          <w:color w:val="000000" w:themeColor="text1"/>
          <w:kern w:val="0"/>
          <w:sz w:val="24"/>
          <w14:textFill>
            <w14:solidFill>
              <w14:schemeClr w14:val="tx1"/>
            </w14:solidFill>
          </w14:textFill>
        </w:rPr>
      </w:pPr>
    </w:p>
    <w:p w14:paraId="68227AC0">
      <w:pPr>
        <w:widowControl/>
        <w:spacing w:line="480" w:lineRule="auto"/>
        <w:rPr>
          <w:rFonts w:ascii="Times New Roman" w:hAnsi="Times New Roman" w:eastAsia="等线" w:cs="Times New Roman"/>
          <w:color w:val="000000"/>
          <w:sz w:val="24"/>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等线" w:cs="Times New Roman"/>
          <w:b/>
          <w:bCs/>
          <w:color w:val="000000"/>
          <w:sz w:val="24"/>
          <w:lang w:val="en-US"/>
        </w:rPr>
        <w:t>5</w:t>
      </w:r>
      <w:r>
        <w:rPr>
          <w:rFonts w:ascii="Times New Roman" w:hAnsi="Times New Roman" w:eastAsia="等线" w:cs="Times New Roman"/>
          <w:b/>
          <w:bCs/>
          <w:color w:val="000000"/>
          <w:sz w:val="24"/>
        </w:rPr>
        <w:t xml:space="preserve">. </w:t>
      </w:r>
      <w:r>
        <w:rPr>
          <w:rFonts w:hint="eastAsia" w:ascii="Times New Roman" w:hAnsi="Times New Roman" w:eastAsia="等线" w:cs="Times New Roman"/>
          <w:color w:val="000000"/>
          <w:sz w:val="24"/>
          <w:lang w:val="en-US"/>
        </w:rPr>
        <w:t xml:space="preserve">(A) </w:t>
      </w:r>
      <w:r>
        <w:rPr>
          <w:rFonts w:ascii="Times New Roman" w:hAnsi="Times New Roman" w:eastAsia="等线" w:cs="Times New Roman"/>
          <w:color w:val="000000"/>
          <w:sz w:val="24"/>
        </w:rPr>
        <w:t xml:space="preserve">Heatmap showing the expression patterns of 19 alvcometabolism-related genes defined in the prognostic model. </w:t>
      </w:r>
      <w:r>
        <w:rPr>
          <w:rFonts w:hint="eastAsia" w:ascii="Times New Roman" w:hAnsi="Times New Roman" w:eastAsia="等线" w:cs="Times New Roman"/>
          <w:color w:val="000000"/>
          <w:sz w:val="24"/>
          <w:lang w:val="en-US"/>
        </w:rPr>
        <w:t xml:space="preserve">(B) </w:t>
      </w:r>
      <w:r>
        <w:rPr>
          <w:rFonts w:ascii="Times New Roman" w:hAnsi="Times New Roman" w:eastAsia="等线" w:cs="Times New Roman"/>
          <w:color w:val="000000"/>
          <w:sz w:val="24"/>
        </w:rPr>
        <w:t>GSVA showed the enriched pathways between the Risk</w:t>
      </w:r>
      <w:r>
        <w:rPr>
          <w:rFonts w:ascii="Times New Roman" w:hAnsi="Times New Roman" w:eastAsia="等线" w:cs="Times New Roman"/>
          <w:color w:val="000000"/>
          <w:sz w:val="24"/>
          <w:vertAlign w:val="superscript"/>
        </w:rPr>
        <w:t>H</w:t>
      </w:r>
      <w:r>
        <w:rPr>
          <w:rFonts w:ascii="Times New Roman" w:hAnsi="Times New Roman" w:eastAsia="等线" w:cs="Times New Roman"/>
          <w:color w:val="000000"/>
          <w:sz w:val="24"/>
        </w:rPr>
        <w:t xml:space="preserve"> and Risk</w:t>
      </w:r>
      <w:r>
        <w:rPr>
          <w:rFonts w:ascii="Times New Roman" w:hAnsi="Times New Roman" w:eastAsia="等线" w:cs="Times New Roman"/>
          <w:color w:val="000000"/>
          <w:sz w:val="24"/>
          <w:vertAlign w:val="superscript"/>
        </w:rPr>
        <w:t>L</w:t>
      </w:r>
      <w:r>
        <w:rPr>
          <w:rFonts w:ascii="Times New Roman" w:hAnsi="Times New Roman" w:eastAsia="等线" w:cs="Times New Roman"/>
          <w:color w:val="000000"/>
          <w:sz w:val="24"/>
        </w:rPr>
        <w:t xml:space="preserve"> groups.</w:t>
      </w:r>
    </w:p>
    <w:p w14:paraId="0DCC0CB7">
      <w:pPr>
        <w:widowControl/>
        <w:spacing w:line="480" w:lineRule="auto"/>
        <w:rPr>
          <w:rFonts w:ascii="Times New Roman" w:hAnsi="Times New Roman" w:cs="Times New Roman"/>
          <w:color w:val="000000" w:themeColor="text1"/>
          <w:sz w:val="24"/>
          <w:lang w:val="en-US"/>
          <w14:textFill>
            <w14:solidFill>
              <w14:schemeClr w14:val="tx1"/>
            </w14:solidFill>
          </w14:textFill>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等线" w:cs="Times New Roman"/>
          <w:b/>
          <w:bCs/>
          <w:color w:val="000000"/>
          <w:sz w:val="24"/>
          <w:lang w:val="en-US"/>
        </w:rPr>
        <w:t>6</w:t>
      </w:r>
      <w:r>
        <w:rPr>
          <w:rFonts w:ascii="Times New Roman" w:hAnsi="Times New Roman" w:eastAsia="等线" w:cs="Times New Roman"/>
          <w:b/>
          <w:bCs/>
          <w:color w:val="000000"/>
          <w:sz w:val="24"/>
        </w:rPr>
        <w:t>.</w:t>
      </w:r>
      <w:r>
        <w:rPr>
          <w:rFonts w:ascii="Times New Roman" w:hAnsi="Times New Roman" w:cs="Times New Roman"/>
          <w:b/>
          <w:bCs/>
          <w:color w:val="0D0D0D" w:themeColor="text1" w:themeTint="F2"/>
          <w:sz w:val="24"/>
          <w14:textFill>
            <w14:solidFill>
              <w14:schemeClr w14:val="tx1">
                <w14:lumMod w14:val="95000"/>
                <w14:lumOff w14:val="5000"/>
              </w14:schemeClr>
            </w14:solidFill>
          </w14:textFill>
        </w:rPr>
        <w:t xml:space="preserve"> SFRP2 overexpression indicates poor prognosis and immunosuppression in CRC</w:t>
      </w:r>
      <w:r>
        <w:rPr>
          <w:rFonts w:ascii="Times New Roman" w:hAnsi="Times New Roman" w:eastAsia="等线" w:cs="Times New Roman"/>
          <w:b/>
          <w:bCs/>
          <w:color w:val="0D0D0D"/>
          <w:sz w:val="24"/>
        </w:rPr>
        <w:t xml:space="preserve"> patients</w:t>
      </w:r>
      <w:r>
        <w:rPr>
          <w:rFonts w:ascii="Times New Roman" w:hAnsi="Times New Roman" w:cs="Times New Roman"/>
          <w:b/>
          <w:bCs/>
          <w:color w:val="0D0D0D" w:themeColor="text1" w:themeTint="F2"/>
          <w:sz w:val="24"/>
          <w14:textFill>
            <w14:solidFill>
              <w14:schemeClr w14:val="tx1">
                <w14:lumMod w14:val="95000"/>
                <w14:lumOff w14:val="5000"/>
              </w14:schemeClr>
            </w14:solidFill>
          </w14:textFill>
        </w:rPr>
        <w:t xml:space="preserve">. </w:t>
      </w:r>
      <w:r>
        <w:rPr>
          <w:rFonts w:ascii="Times New Roman" w:hAnsi="Times New Roman" w:cs="Times New Roman"/>
          <w:kern w:val="0"/>
          <w:sz w:val="24"/>
        </w:rPr>
        <w:t>(A</w:t>
      </w:r>
      <w:r>
        <w:rPr>
          <w:rFonts w:ascii="Times New Roman" w:hAnsi="Times New Roman" w:cs="Times New Roman"/>
          <w:kern w:val="0"/>
          <w:sz w:val="24"/>
          <w:lang w:val="en-US"/>
        </w:rPr>
        <w:t>-C</w:t>
      </w:r>
      <w:r>
        <w:rPr>
          <w:rFonts w:ascii="Times New Roman" w:hAnsi="Times New Roman" w:cs="Times New Roman"/>
          <w:kern w:val="0"/>
          <w:sz w:val="24"/>
        </w:rPr>
        <w:t>)</w:t>
      </w:r>
      <w:r>
        <w:rPr>
          <w:rFonts w:ascii="Times New Roman" w:hAnsi="Times New Roman" w:cs="Times New Roman"/>
          <w:sz w:val="24"/>
        </w:rPr>
        <w:t xml:space="preserve"> </w:t>
      </w:r>
      <w:r>
        <w:rPr>
          <w:rFonts w:ascii="Times New Roman" w:hAnsi="Times New Roman" w:eastAsia="等线" w:cs="Times New Roman"/>
          <w:sz w:val="24"/>
        </w:rPr>
        <w:t>Correlations</w:t>
      </w:r>
      <w:r>
        <w:rPr>
          <w:rFonts w:ascii="Times New Roman" w:hAnsi="Times New Roman" w:cs="Times New Roman"/>
          <w:sz w:val="24"/>
        </w:rPr>
        <w:t xml:space="preserve"> between clinicopathologic features and SFRP2 expression.</w:t>
      </w:r>
      <w:r>
        <w:rPr>
          <w:rFonts w:ascii="Times New Roman" w:hAnsi="Times New Roman" w:cs="Times New Roman"/>
          <w:kern w:val="0"/>
          <w:sz w:val="24"/>
        </w:rPr>
        <w:t xml:space="preserve"> (</w:t>
      </w:r>
      <w:r>
        <w:rPr>
          <w:rFonts w:hint="eastAsia" w:ascii="Times New Roman" w:hAnsi="Times New Roman" w:cs="Times New Roman"/>
          <w:kern w:val="0"/>
          <w:sz w:val="24"/>
          <w:lang w:val="en-US"/>
        </w:rPr>
        <w:t>D</w:t>
      </w:r>
      <w:r>
        <w:rPr>
          <w:rFonts w:ascii="Times New Roman" w:hAnsi="Times New Roman" w:cs="Times New Roman"/>
          <w:kern w:val="0"/>
          <w:sz w:val="24"/>
        </w:rPr>
        <w:t xml:space="preserve">) </w:t>
      </w:r>
      <w:r>
        <w:rPr>
          <w:rFonts w:ascii="Times New Roman" w:hAnsi="Times New Roman" w:cs="Times New Roman"/>
          <w:sz w:val="24"/>
        </w:rPr>
        <w:t xml:space="preserve">Relative abundance fractions of the immune cell population </w:t>
      </w:r>
      <w:r>
        <w:rPr>
          <w:rFonts w:ascii="Times New Roman" w:hAnsi="Times New Roman" w:cs="Times New Roman"/>
          <w:color w:val="0D0D0D" w:themeColor="text1" w:themeTint="F2"/>
          <w:sz w:val="24"/>
          <w14:textFill>
            <w14:solidFill>
              <w14:schemeClr w14:val="tx1">
                <w14:lumMod w14:val="95000"/>
                <w14:lumOff w14:val="5000"/>
              </w14:schemeClr>
            </w14:solidFill>
          </w14:textFill>
        </w:rPr>
        <w:t xml:space="preserve">in </w:t>
      </w:r>
      <w:r>
        <w:rPr>
          <w:rFonts w:ascii="Times New Roman" w:hAnsi="Times New Roman" w:eastAsia="宋体" w:cs="Times New Roman"/>
          <w:color w:val="0D0D0D"/>
          <w:sz w:val="24"/>
        </w:rPr>
        <w:t xml:space="preserve">the </w:t>
      </w:r>
      <w:r>
        <w:rPr>
          <w:rFonts w:ascii="Times New Roman" w:hAnsi="Times New Roman" w:cs="Times New Roman"/>
          <w:sz w:val="24"/>
        </w:rPr>
        <w:t>SFRP2</w:t>
      </w:r>
      <w:r>
        <w:rPr>
          <w:rFonts w:ascii="Times New Roman" w:hAnsi="Times New Roman" w:cs="Times New Roman"/>
          <w:color w:val="0D0D0D" w:themeColor="text1" w:themeTint="F2"/>
          <w:sz w:val="24"/>
          <w:vertAlign w:val="superscript"/>
          <w14:textFill>
            <w14:solidFill>
              <w14:schemeClr w14:val="tx1">
                <w14:lumMod w14:val="95000"/>
                <w14:lumOff w14:val="5000"/>
              </w14:schemeClr>
            </w14:solidFill>
          </w14:textFill>
        </w:rPr>
        <w:t>H</w:t>
      </w:r>
      <w:r>
        <w:rPr>
          <w:rFonts w:ascii="Times New Roman" w:hAnsi="Times New Roman" w:cs="Times New Roman"/>
          <w:color w:val="0D0D0D" w:themeColor="text1" w:themeTint="F2"/>
          <w:sz w:val="24"/>
          <w14:textFill>
            <w14:solidFill>
              <w14:schemeClr w14:val="tx1">
                <w14:lumMod w14:val="95000"/>
                <w14:lumOff w14:val="5000"/>
              </w14:schemeClr>
            </w14:solidFill>
          </w14:textFill>
        </w:rPr>
        <w:t xml:space="preserve"> and </w:t>
      </w:r>
      <w:r>
        <w:rPr>
          <w:rFonts w:ascii="Times New Roman" w:hAnsi="Times New Roman" w:cs="Times New Roman"/>
          <w:sz w:val="24"/>
        </w:rPr>
        <w:t>SFRP2</w:t>
      </w:r>
      <w:r>
        <w:rPr>
          <w:rFonts w:ascii="Times New Roman" w:hAnsi="Times New Roman" w:cs="Times New Roman"/>
          <w:color w:val="0D0D0D" w:themeColor="text1" w:themeTint="F2"/>
          <w:sz w:val="24"/>
          <w:vertAlign w:val="superscript"/>
          <w14:textFill>
            <w14:solidFill>
              <w14:schemeClr w14:val="tx1">
                <w14:lumMod w14:val="95000"/>
                <w14:lumOff w14:val="5000"/>
              </w14:schemeClr>
            </w14:solidFill>
          </w14:textFill>
        </w:rPr>
        <w:t>L</w:t>
      </w:r>
      <w:r>
        <w:rPr>
          <w:rFonts w:ascii="Times New Roman" w:hAnsi="Times New Roman" w:cs="Times New Roman"/>
          <w:color w:val="0D0D0D" w:themeColor="text1" w:themeTint="F2"/>
          <w:sz w:val="24"/>
          <w14:textFill>
            <w14:solidFill>
              <w14:schemeClr w14:val="tx1">
                <w14:lumMod w14:val="95000"/>
                <w14:lumOff w14:val="5000"/>
              </w14:schemeClr>
            </w14:solidFill>
          </w14:textFill>
        </w:rPr>
        <w:t xml:space="preserve"> groups</w:t>
      </w:r>
      <w:r>
        <w:rPr>
          <w:rFonts w:ascii="Times New Roman" w:hAnsi="Times New Roman" w:cs="Times New Roman"/>
          <w:sz w:val="24"/>
        </w:rPr>
        <w:t xml:space="preserve"> </w:t>
      </w:r>
      <w:r>
        <w:rPr>
          <w:rFonts w:ascii="Times New Roman" w:hAnsi="Times New Roman" w:eastAsia="等线" w:cs="Times New Roman"/>
          <w:sz w:val="24"/>
        </w:rPr>
        <w:t xml:space="preserve">determined </w:t>
      </w:r>
      <w:r>
        <w:rPr>
          <w:rFonts w:ascii="Times New Roman" w:hAnsi="Times New Roman" w:cs="Times New Roman"/>
          <w:sz w:val="24"/>
        </w:rPr>
        <w:t>using the CIBERSORT tool.</w:t>
      </w:r>
      <w:r>
        <w:rPr>
          <w:rFonts w:ascii="Times New Roman" w:hAnsi="Times New Roman" w:cs="Times New Roman"/>
          <w:sz w:val="24"/>
          <w:lang w:val="en-US"/>
        </w:rPr>
        <w:t xml:space="preserve"> </w:t>
      </w:r>
      <w:r>
        <w:rPr>
          <w:rFonts w:ascii="Times New Roman" w:hAnsi="Times New Roman" w:cs="Times New Roman"/>
          <w:kern w:val="0"/>
          <w:sz w:val="24"/>
        </w:rPr>
        <w:t>(</w:t>
      </w:r>
      <w:r>
        <w:rPr>
          <w:rFonts w:hint="eastAsia" w:ascii="Times New Roman" w:hAnsi="Times New Roman" w:cs="Times New Roman"/>
          <w:kern w:val="0"/>
          <w:sz w:val="24"/>
          <w:lang w:val="en-US"/>
        </w:rPr>
        <w:t>E</w:t>
      </w:r>
      <w:r>
        <w:rPr>
          <w:rFonts w:ascii="Times New Roman" w:hAnsi="Times New Roman" w:cs="Times New Roman"/>
          <w:kern w:val="0"/>
          <w:sz w:val="24"/>
        </w:rPr>
        <w:t xml:space="preserve">) </w:t>
      </w:r>
      <w:r>
        <w:rPr>
          <w:rFonts w:ascii="Times New Roman" w:hAnsi="Times New Roman" w:cs="Times New Roman"/>
          <w:color w:val="0D0D0D" w:themeColor="text1" w:themeTint="F2"/>
          <w:sz w:val="24"/>
          <w14:textFill>
            <w14:solidFill>
              <w14:schemeClr w14:val="tx1">
                <w14:lumMod w14:val="95000"/>
                <w14:lumOff w14:val="5000"/>
              </w14:schemeClr>
            </w14:solidFill>
          </w14:textFill>
        </w:rPr>
        <w:t>Correlation analysis of</w:t>
      </w:r>
      <w:r>
        <w:rPr>
          <w:rFonts w:ascii="Times New Roman" w:hAnsi="Times New Roman" w:eastAsia="宋体" w:cs="Times New Roman"/>
          <w:color w:val="0D0D0D"/>
          <w:sz w:val="24"/>
        </w:rPr>
        <w:t xml:space="preserve"> </w:t>
      </w:r>
      <w:r>
        <w:rPr>
          <w:rFonts w:ascii="Times New Roman" w:hAnsi="Times New Roman" w:cs="Times New Roman"/>
          <w:sz w:val="24"/>
        </w:rPr>
        <w:t>SFRP2 expression</w:t>
      </w:r>
      <w:r>
        <w:rPr>
          <w:rFonts w:ascii="Times New Roman" w:hAnsi="Times New Roman" w:cs="Times New Roman"/>
          <w:color w:val="0D0D0D" w:themeColor="text1" w:themeTint="F2"/>
          <w:sz w:val="24"/>
          <w14:textFill>
            <w14:solidFill>
              <w14:schemeClr w14:val="tx1">
                <w14:lumMod w14:val="95000"/>
                <w14:lumOff w14:val="5000"/>
              </w14:schemeClr>
            </w14:solidFill>
          </w14:textFill>
        </w:rPr>
        <w:t xml:space="preserve"> and immune cell infiltration.</w:t>
      </w:r>
      <w:r>
        <w:rPr>
          <w:rFonts w:ascii="Times New Roman" w:hAnsi="Times New Roman" w:cs="Times New Roman"/>
          <w:b/>
          <w:bCs/>
          <w:sz w:val="24"/>
        </w:rPr>
        <w:t xml:space="preserve"> </w:t>
      </w:r>
      <w:r>
        <w:rPr>
          <w:rFonts w:ascii="Times New Roman" w:hAnsi="Times New Roman" w:cs="Times New Roman"/>
          <w:kern w:val="0"/>
          <w:sz w:val="24"/>
        </w:rPr>
        <w:t>(</w:t>
      </w:r>
      <w:r>
        <w:rPr>
          <w:rFonts w:hint="eastAsia" w:ascii="Times New Roman" w:hAnsi="Times New Roman" w:cs="Times New Roman"/>
          <w:kern w:val="0"/>
          <w:sz w:val="24"/>
          <w:lang w:val="en-US"/>
        </w:rPr>
        <w:t>F</w:t>
      </w:r>
      <w:r>
        <w:rPr>
          <w:rFonts w:ascii="Times New Roman" w:hAnsi="Times New Roman" w:cs="Times New Roman"/>
          <w:kern w:val="0"/>
          <w:sz w:val="24"/>
        </w:rPr>
        <w:t xml:space="preserve">) </w:t>
      </w:r>
      <w:r>
        <w:rPr>
          <w:rFonts w:ascii="Times New Roman" w:hAnsi="Times New Roman" w:eastAsia="等线" w:cs="Times New Roman"/>
          <w:color w:val="0D0D0D"/>
          <w:sz w:val="24"/>
        </w:rPr>
        <w:t>Correlations</w:t>
      </w:r>
      <w:r>
        <w:rPr>
          <w:rFonts w:ascii="Times New Roman" w:hAnsi="Times New Roman" w:cs="Times New Roman"/>
          <w:color w:val="0D0D0D" w:themeColor="text1" w:themeTint="F2"/>
          <w:sz w:val="24"/>
          <w14:textFill>
            <w14:solidFill>
              <w14:schemeClr w14:val="tx1">
                <w14:lumMod w14:val="95000"/>
                <w14:lumOff w14:val="5000"/>
              </w14:schemeClr>
            </w14:solidFill>
          </w14:textFill>
        </w:rPr>
        <w:t xml:space="preserve"> between </w:t>
      </w:r>
      <w:r>
        <w:rPr>
          <w:rFonts w:ascii="Times New Roman" w:hAnsi="Times New Roman" w:cs="Times New Roman"/>
          <w:sz w:val="24"/>
        </w:rPr>
        <w:t>SFRP2 expression and immune-related genes</w:t>
      </w:r>
      <w:r>
        <w:rPr>
          <w:rFonts w:ascii="Times New Roman" w:hAnsi="Times New Roman" w:cs="Times New Roman"/>
          <w:color w:val="0D0D0D" w:themeColor="text1" w:themeTint="F2"/>
          <w:sz w:val="24"/>
          <w14:textFill>
            <w14:solidFill>
              <w14:schemeClr w14:val="tx1">
                <w14:lumMod w14:val="95000"/>
                <w14:lumOff w14:val="5000"/>
              </w14:schemeClr>
            </w14:solidFill>
          </w14:textFill>
        </w:rPr>
        <w:t xml:space="preserve">. </w:t>
      </w:r>
      <w:r>
        <w:rPr>
          <w:rFonts w:ascii="Times New Roman" w:hAnsi="Times New Roman" w:cs="Times New Roman"/>
          <w:sz w:val="24"/>
          <w:lang w:val="en-US"/>
        </w:rPr>
        <w:t xml:space="preserve">(G) </w:t>
      </w:r>
      <w:r>
        <w:rPr>
          <w:rFonts w:ascii="Times New Roman" w:hAnsi="Times New Roman" w:eastAsia="宋体" w:cs="Times New Roman"/>
          <w:color w:val="000000"/>
          <w:sz w:val="24"/>
        </w:rPr>
        <w:t>Gene‒gene</w:t>
      </w:r>
      <w:r>
        <w:rPr>
          <w:rFonts w:ascii="Times New Roman" w:hAnsi="Times New Roman" w:eastAsia="宋体" w:cs="Times New Roman"/>
          <w:color w:val="000000" w:themeColor="text1"/>
          <w:sz w:val="24"/>
          <w14:textFill>
            <w14:solidFill>
              <w14:schemeClr w14:val="tx1"/>
            </w14:solidFill>
          </w14:textFill>
        </w:rPr>
        <w:t xml:space="preserve"> correlations </w:t>
      </w:r>
      <w:r>
        <w:rPr>
          <w:rFonts w:ascii="Times New Roman" w:hAnsi="Times New Roman" w:cs="Times New Roman"/>
          <w:color w:val="000000" w:themeColor="text1"/>
          <w:sz w:val="24"/>
          <w14:textFill>
            <w14:solidFill>
              <w14:schemeClr w14:val="tx1"/>
            </w14:solidFill>
          </w14:textFill>
        </w:rPr>
        <w:t xml:space="preserve">between the </w:t>
      </w:r>
      <w:r>
        <w:rPr>
          <w:rFonts w:ascii="Times New Roman" w:hAnsi="Times New Roman" w:cs="Times New Roman"/>
          <w:color w:val="000000" w:themeColor="text1"/>
          <w:sz w:val="24"/>
          <w:lang w:val="en-US"/>
          <w14:textFill>
            <w14:solidFill>
              <w14:schemeClr w14:val="tx1"/>
            </w14:solidFill>
          </w14:textFill>
        </w:rPr>
        <w:t>SFRP2 related genes.</w:t>
      </w:r>
    </w:p>
    <w:p w14:paraId="681090B6">
      <w:pPr>
        <w:spacing w:line="480" w:lineRule="auto"/>
        <w:rPr>
          <w:rFonts w:ascii="Times New Roman" w:hAnsi="Times New Roman" w:eastAsia="等线" w:cs="Times New Roman"/>
          <w:sz w:val="24"/>
        </w:rPr>
      </w:pPr>
      <w:r>
        <w:rPr>
          <w:rFonts w:ascii="Times New Roman" w:hAnsi="Times New Roman" w:cs="Times New Roman"/>
          <w:b/>
          <w:bCs/>
          <w:sz w:val="24"/>
        </w:rPr>
        <w:t>Fig.S7</w:t>
      </w:r>
      <w:r>
        <w:rPr>
          <w:rFonts w:ascii="Times New Roman" w:hAnsi="Times New Roman" w:eastAsia="宋体" w:cs="Times New Roman"/>
          <w:b/>
          <w:bCs/>
          <w:kern w:val="0"/>
          <w:sz w:val="24"/>
        </w:rPr>
        <w:t xml:space="preserve">. </w:t>
      </w:r>
      <w:bookmarkStart w:id="1" w:name="_Hlk187505029"/>
      <w:r>
        <w:rPr>
          <w:rFonts w:ascii="Times New Roman" w:hAnsi="Times New Roman" w:eastAsia="宋体" w:cs="Times New Roman"/>
          <w:b/>
          <w:bCs/>
          <w:kern w:val="0"/>
          <w:sz w:val="24"/>
        </w:rPr>
        <w:t>Analysis of glycolysis in CRC cells in response to SFRP2.</w:t>
      </w:r>
      <w:r>
        <w:rPr>
          <w:rFonts w:ascii="Times New Roman" w:hAnsi="Times New Roman" w:eastAsia="宋体" w:cs="Times New Roman"/>
          <w:kern w:val="0"/>
          <w:sz w:val="24"/>
        </w:rPr>
        <w:t xml:space="preserve"> (A,</w:t>
      </w:r>
      <w:r>
        <w:rPr>
          <w:rFonts w:hint="eastAsia" w:ascii="Times New Roman" w:hAnsi="Times New Roman" w:eastAsia="宋体" w:cs="Times New Roman"/>
          <w:kern w:val="0"/>
          <w:sz w:val="24"/>
        </w:rPr>
        <w:t xml:space="preserve"> </w:t>
      </w:r>
      <w:r>
        <w:rPr>
          <w:rFonts w:ascii="Times New Roman" w:hAnsi="Times New Roman" w:eastAsia="宋体" w:cs="Times New Roman"/>
          <w:kern w:val="0"/>
          <w:sz w:val="24"/>
        </w:rPr>
        <w:t>C,</w:t>
      </w:r>
      <w:r>
        <w:rPr>
          <w:rFonts w:hint="eastAsia" w:ascii="Times New Roman" w:hAnsi="Times New Roman" w:eastAsia="宋体" w:cs="Times New Roman"/>
          <w:kern w:val="0"/>
          <w:sz w:val="24"/>
        </w:rPr>
        <w:t xml:space="preserve"> </w:t>
      </w:r>
      <w:r>
        <w:rPr>
          <w:rFonts w:ascii="Times New Roman" w:hAnsi="Times New Roman" w:eastAsia="宋体" w:cs="Times New Roman"/>
          <w:kern w:val="0"/>
          <w:sz w:val="24"/>
        </w:rPr>
        <w:t>E,</w:t>
      </w:r>
      <w:r>
        <w:rPr>
          <w:rFonts w:hint="eastAsia" w:ascii="Times New Roman" w:hAnsi="Times New Roman" w:eastAsia="宋体" w:cs="Times New Roman"/>
          <w:kern w:val="0"/>
          <w:sz w:val="24"/>
        </w:rPr>
        <w:t xml:space="preserve"> </w:t>
      </w:r>
      <w:r>
        <w:rPr>
          <w:rFonts w:ascii="Times New Roman" w:hAnsi="Times New Roman" w:eastAsia="宋体" w:cs="Times New Roman"/>
          <w:kern w:val="0"/>
          <w:sz w:val="24"/>
        </w:rPr>
        <w:t>G) the Glycolysis Stress test which were initially cultured in glucose-free medium and ECAR was measured following glucose (Glu), oligomycin (Oligo), and 2-Deoxy-D-glucose (2-DG) injections in the indicated cells. Box plots depict Glycolysis rates, Glycolytic Capacity</w:t>
      </w:r>
      <w:r>
        <w:rPr>
          <w:rFonts w:ascii="Times New Roman" w:hAnsi="Times New Roman" w:eastAsia="宋体" w:cs="Times New Roman"/>
          <w:kern w:val="0"/>
          <w:sz w:val="24"/>
          <w:lang w:val="en-US"/>
        </w:rPr>
        <w:t xml:space="preserve"> </w:t>
      </w:r>
      <w:r>
        <w:rPr>
          <w:rFonts w:ascii="Times New Roman" w:hAnsi="Times New Roman" w:eastAsia="宋体" w:cs="Times New Roman"/>
          <w:kern w:val="0"/>
          <w:sz w:val="24"/>
        </w:rPr>
        <w:t>and Glycolytic Reserve</w:t>
      </w:r>
      <w:r>
        <w:rPr>
          <w:rFonts w:ascii="Times New Roman" w:hAnsi="Times New Roman" w:eastAsia="宋体" w:cs="Times New Roman"/>
          <w:kern w:val="0"/>
          <w:sz w:val="24"/>
          <w:lang w:val="en-US"/>
        </w:rPr>
        <w:t xml:space="preserve"> </w:t>
      </w:r>
      <w:r>
        <w:rPr>
          <w:rFonts w:ascii="Times New Roman" w:hAnsi="Times New Roman" w:eastAsia="宋体" w:cs="Times New Roman"/>
          <w:kern w:val="0"/>
          <w:sz w:val="24"/>
        </w:rPr>
        <w:t>calculated from the ECAR curve. Statistical significance was determined using paired t-tests. *</w:t>
      </w:r>
      <w:r>
        <w:rPr>
          <w:rFonts w:ascii="Times New Roman" w:hAnsi="Times New Roman" w:eastAsia="宋体" w:cs="Times New Roman"/>
          <w:i/>
          <w:iCs/>
          <w:kern w:val="0"/>
          <w:sz w:val="24"/>
        </w:rPr>
        <w:t>P</w:t>
      </w:r>
      <w:r>
        <w:rPr>
          <w:rFonts w:hint="eastAsia" w:ascii="Times New Roman" w:hAnsi="Times New Roman" w:eastAsia="宋体" w:cs="Times New Roman"/>
          <w:i/>
          <w:iCs/>
          <w:kern w:val="0"/>
          <w:sz w:val="24"/>
        </w:rPr>
        <w:t xml:space="preserve"> </w:t>
      </w:r>
      <w:r>
        <w:rPr>
          <w:rFonts w:ascii="Times New Roman" w:hAnsi="Times New Roman" w:eastAsia="宋体" w:cs="Times New Roman"/>
          <w:kern w:val="0"/>
          <w:sz w:val="24"/>
        </w:rPr>
        <w:t>&lt; 0.05, ns, not significant. (B,</w:t>
      </w:r>
      <w:r>
        <w:rPr>
          <w:rFonts w:hint="eastAsia" w:ascii="Times New Roman" w:hAnsi="Times New Roman" w:eastAsia="宋体" w:cs="Times New Roman"/>
          <w:kern w:val="0"/>
          <w:sz w:val="24"/>
        </w:rPr>
        <w:t xml:space="preserve"> </w:t>
      </w:r>
      <w:r>
        <w:rPr>
          <w:rFonts w:ascii="Times New Roman" w:hAnsi="Times New Roman" w:eastAsia="宋体" w:cs="Times New Roman"/>
          <w:kern w:val="0"/>
          <w:sz w:val="24"/>
        </w:rPr>
        <w:t>D,</w:t>
      </w:r>
      <w:r>
        <w:rPr>
          <w:rFonts w:hint="eastAsia" w:ascii="Times New Roman" w:hAnsi="Times New Roman" w:eastAsia="宋体" w:cs="Times New Roman"/>
          <w:kern w:val="0"/>
          <w:sz w:val="24"/>
        </w:rPr>
        <w:t xml:space="preserve"> </w:t>
      </w:r>
      <w:r>
        <w:rPr>
          <w:rFonts w:ascii="Times New Roman" w:hAnsi="Times New Roman" w:eastAsia="宋体" w:cs="Times New Roman"/>
          <w:kern w:val="0"/>
          <w:sz w:val="24"/>
        </w:rPr>
        <w:t>F,</w:t>
      </w:r>
      <w:r>
        <w:rPr>
          <w:rFonts w:hint="eastAsia" w:ascii="Times New Roman" w:hAnsi="Times New Roman" w:eastAsia="宋体" w:cs="Times New Roman"/>
          <w:kern w:val="0"/>
          <w:sz w:val="24"/>
        </w:rPr>
        <w:t xml:space="preserve"> </w:t>
      </w:r>
      <w:r>
        <w:rPr>
          <w:rFonts w:ascii="Times New Roman" w:hAnsi="Times New Roman" w:eastAsia="宋体" w:cs="Times New Roman"/>
          <w:kern w:val="0"/>
          <w:sz w:val="24"/>
        </w:rPr>
        <w:t>H) An analysis of O</w:t>
      </w:r>
      <w:r>
        <w:rPr>
          <w:rFonts w:ascii="Times New Roman" w:hAnsi="Times New Roman" w:eastAsia="宋体" w:cs="Times New Roman"/>
          <w:kern w:val="0"/>
          <w:sz w:val="24"/>
          <w:vertAlign w:val="subscript"/>
        </w:rPr>
        <w:t>2</w:t>
      </w:r>
      <w:r>
        <w:rPr>
          <w:rFonts w:ascii="Times New Roman" w:hAnsi="Times New Roman" w:eastAsia="宋体" w:cs="Times New Roman"/>
          <w:kern w:val="0"/>
          <w:sz w:val="24"/>
        </w:rPr>
        <w:t xml:space="preserve"> consumption </w:t>
      </w:r>
      <w:r>
        <w:rPr>
          <w:rFonts w:ascii="Times New Roman" w:hAnsi="Times New Roman" w:eastAsia="宋体" w:cs="Times New Roman"/>
          <w:kern w:val="0"/>
          <w:sz w:val="24"/>
          <w:lang w:val="en-US"/>
        </w:rPr>
        <w:t xml:space="preserve">rate </w:t>
      </w:r>
      <w:r>
        <w:rPr>
          <w:rFonts w:ascii="Times New Roman" w:hAnsi="Times New Roman" w:eastAsia="宋体" w:cs="Times New Roman"/>
          <w:kern w:val="0"/>
          <w:sz w:val="24"/>
        </w:rPr>
        <w:t>in the various cell lines sequentially added to oligomycin (1.0 µM), FCCP (0.5 µM), rotenone (1.0 µM), and antimycin A (1.0 µM). Graphs show the basal OCR, ATP-linked OCR, proton leak OCR, maximal OCR, reserve capacity, and non-mitochondrial OCR among the indicated cell lines.</w:t>
      </w:r>
      <w:bookmarkEnd w:id="1"/>
    </w:p>
    <w:p w14:paraId="5E8C73DA">
      <w:pPr>
        <w:widowControl/>
        <w:spacing w:line="480" w:lineRule="auto"/>
        <w:rPr>
          <w:rFonts w:ascii="Times New Roman" w:hAnsi="Times New Roman" w:cs="Times New Roman"/>
          <w:color w:val="000000" w:themeColor="text1"/>
          <w:sz w:val="24"/>
          <w:lang w:val="en-US"/>
          <w14:textFill>
            <w14:solidFill>
              <w14:schemeClr w14:val="tx1"/>
            </w14:solidFill>
          </w14:textFill>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宋体" w:cs="Times New Roman"/>
          <w:b/>
          <w:bCs/>
          <w:color w:val="000000"/>
          <w:kern w:val="0"/>
          <w:sz w:val="24"/>
          <w:lang w:val="en-US"/>
        </w:rPr>
        <w:t xml:space="preserve">8. </w:t>
      </w:r>
      <w:r>
        <w:rPr>
          <w:rFonts w:ascii="Times New Roman" w:hAnsi="Times New Roman" w:eastAsia="等线" w:cs="Times New Roman"/>
          <w:color w:val="000000"/>
          <w:sz w:val="24"/>
        </w:rPr>
        <w:t>(</w:t>
      </w:r>
      <w:r>
        <w:rPr>
          <w:rFonts w:hint="eastAsia" w:ascii="Times New Roman" w:hAnsi="Times New Roman" w:eastAsia="等线" w:cs="Times New Roman"/>
          <w:color w:val="000000"/>
          <w:sz w:val="24"/>
          <w:lang w:val="en-US"/>
        </w:rPr>
        <w:t>A</w:t>
      </w:r>
      <w:r>
        <w:rPr>
          <w:rFonts w:ascii="Times New Roman" w:hAnsi="Times New Roman" w:eastAsia="等线" w:cs="Times New Roman"/>
          <w:color w:val="000000"/>
          <w:sz w:val="24"/>
        </w:rPr>
        <w:t>-</w:t>
      </w:r>
      <w:r>
        <w:rPr>
          <w:rFonts w:hint="eastAsia" w:ascii="Times New Roman" w:hAnsi="Times New Roman" w:eastAsia="等线" w:cs="Times New Roman"/>
          <w:color w:val="000000"/>
          <w:sz w:val="24"/>
          <w:lang w:val="en-US"/>
        </w:rPr>
        <w:t>B</w:t>
      </w:r>
      <w:r>
        <w:rPr>
          <w:rFonts w:ascii="Times New Roman" w:hAnsi="Times New Roman" w:eastAsia="等线" w:cs="Times New Roman"/>
          <w:color w:val="000000"/>
          <w:sz w:val="24"/>
        </w:rPr>
        <w:t>) Boxplots representing the changes in risk scores with external beam radiotherapy (XRT) and Cyclophosphamide (CTX) from the cohort GSE14333.</w:t>
      </w:r>
      <w:r>
        <w:rPr>
          <w:rFonts w:hint="eastAsia" w:ascii="Times New Roman" w:hAnsi="Times New Roman" w:eastAsia="等线" w:cs="Times New Roman"/>
          <w:color w:val="000000"/>
          <w:sz w:val="24"/>
          <w:lang w:val="en-US"/>
        </w:rPr>
        <w:t xml:space="preserve"> </w:t>
      </w:r>
      <w:r>
        <w:rPr>
          <w:rFonts w:ascii="Times New Roman" w:hAnsi="Times New Roman" w:eastAsia="等线" w:cs="Times New Roman"/>
          <w:color w:val="000000"/>
          <w:sz w:val="24"/>
        </w:rPr>
        <w:t>(</w:t>
      </w:r>
      <w:r>
        <w:rPr>
          <w:rFonts w:hint="eastAsia" w:ascii="Times New Roman" w:hAnsi="Times New Roman" w:eastAsia="等线" w:cs="Times New Roman"/>
          <w:color w:val="000000"/>
          <w:sz w:val="24"/>
          <w:lang w:val="en-US"/>
        </w:rPr>
        <w:t>C</w:t>
      </w:r>
      <w:r>
        <w:rPr>
          <w:rFonts w:ascii="Times New Roman" w:hAnsi="Times New Roman" w:eastAsia="等线" w:cs="Times New Roman"/>
          <w:color w:val="000000"/>
          <w:sz w:val="24"/>
        </w:rPr>
        <w:t>) Boxplots representing the changes in risk scores with tumor location from the cohort GSE14333. (</w:t>
      </w:r>
      <w:r>
        <w:rPr>
          <w:rFonts w:hint="eastAsia" w:ascii="Times New Roman" w:hAnsi="Times New Roman" w:eastAsia="等线" w:cs="Times New Roman"/>
          <w:color w:val="000000"/>
          <w:sz w:val="24"/>
          <w:lang w:val="en-US"/>
        </w:rPr>
        <w:t>D</w:t>
      </w:r>
      <w:r>
        <w:rPr>
          <w:rFonts w:ascii="Times New Roman" w:hAnsi="Times New Roman" w:eastAsia="等线" w:cs="Times New Roman"/>
          <w:color w:val="000000"/>
          <w:sz w:val="24"/>
        </w:rPr>
        <w:t>) Boxplots representing the changes in risk scores with chemotherapy type from the cohort GSE39582. (</w:t>
      </w:r>
      <w:r>
        <w:rPr>
          <w:rFonts w:hint="eastAsia" w:ascii="Times New Roman" w:hAnsi="Times New Roman" w:eastAsia="等线" w:cs="Times New Roman"/>
          <w:color w:val="000000"/>
          <w:sz w:val="24"/>
          <w:lang w:val="en-US"/>
        </w:rPr>
        <w:t>E</w:t>
      </w:r>
      <w:r>
        <w:rPr>
          <w:rFonts w:ascii="Times New Roman" w:hAnsi="Times New Roman" w:eastAsia="等线" w:cs="Times New Roman"/>
          <w:color w:val="000000"/>
          <w:sz w:val="24"/>
        </w:rPr>
        <w:t>) Boxplots representing the changes in risk scores with tumor location from the cohort GSE39582.</w:t>
      </w:r>
    </w:p>
    <w:p w14:paraId="54D21DEE">
      <w:pPr>
        <w:widowControl/>
        <w:spacing w:line="480" w:lineRule="auto"/>
        <w:rPr>
          <w:rFonts w:ascii="Times New Roman" w:hAnsi="Times New Roman" w:eastAsia="等线" w:cs="Times New Roman"/>
          <w:color w:val="000000"/>
          <w:sz w:val="24"/>
        </w:rPr>
      </w:pPr>
      <w:r>
        <w:rPr>
          <w:rFonts w:hint="eastAsia" w:ascii="Times New Roman" w:hAnsi="Times New Roman" w:eastAsia="宋体" w:cs="Times New Roman"/>
          <w:b/>
          <w:bCs/>
          <w:color w:val="000000" w:themeColor="text1"/>
          <w:kern w:val="0"/>
          <w:sz w:val="24"/>
          <w14:textFill>
            <w14:solidFill>
              <w14:schemeClr w14:val="tx1"/>
            </w14:solidFill>
          </w14:textFill>
        </w:rPr>
        <w:t>Fig.S</w:t>
      </w:r>
      <w:r>
        <w:rPr>
          <w:rFonts w:hint="eastAsia" w:ascii="Times New Roman" w:hAnsi="Times New Roman" w:eastAsia="宋体" w:cs="Times New Roman"/>
          <w:b/>
          <w:bCs/>
          <w:color w:val="000000"/>
          <w:kern w:val="0"/>
          <w:sz w:val="24"/>
          <w:lang w:val="en-US"/>
        </w:rPr>
        <w:t>9</w:t>
      </w:r>
      <w:r>
        <w:rPr>
          <w:rFonts w:ascii="Times New Roman" w:hAnsi="Times New Roman" w:eastAsia="宋体" w:cs="Times New Roman"/>
          <w:b/>
          <w:bCs/>
          <w:color w:val="000000" w:themeColor="text1"/>
          <w:kern w:val="0"/>
          <w:sz w:val="24"/>
          <w14:textFill>
            <w14:solidFill>
              <w14:schemeClr w14:val="tx1"/>
            </w14:solidFill>
          </w14:textFill>
        </w:rPr>
        <w:t xml:space="preserve">. </w:t>
      </w:r>
      <w:r>
        <w:rPr>
          <w:rFonts w:ascii="Times New Roman" w:hAnsi="Times New Roman" w:cs="Times New Roman"/>
          <w:b/>
          <w:bCs/>
          <w:color w:val="000000" w:themeColor="text1"/>
          <w:sz w:val="24"/>
          <w14:textFill>
            <w14:solidFill>
              <w14:schemeClr w14:val="tx1"/>
            </w14:solidFill>
          </w14:textFill>
        </w:rPr>
        <w:t xml:space="preserve">Comparison of the DNA alterations between </w:t>
      </w:r>
      <w:r>
        <w:rPr>
          <w:rFonts w:ascii="Times New Roman" w:hAnsi="Times New Roman" w:eastAsia="宋体" w:cs="Times New Roman"/>
          <w:b/>
          <w:bCs/>
          <w:color w:val="000000" w:themeColor="text1"/>
          <w:sz w:val="24"/>
          <w14:textFill>
            <w14:solidFill>
              <w14:schemeClr w14:val="tx1"/>
            </w14:solidFill>
          </w14:textFill>
        </w:rPr>
        <w:t xml:space="preserve">the </w:t>
      </w:r>
      <w:r>
        <w:rPr>
          <w:rFonts w:ascii="Times New Roman" w:hAnsi="Times New Roman" w:cs="Times New Roman"/>
          <w:b/>
          <w:bCs/>
          <w:color w:val="000000" w:themeColor="text1"/>
          <w:sz w:val="24"/>
          <w14:textFill>
            <w14:solidFill>
              <w14:schemeClr w14:val="tx1"/>
            </w14:solidFill>
          </w14:textFill>
        </w:rPr>
        <w:t>Risk</w:t>
      </w:r>
      <w:r>
        <w:rPr>
          <w:rFonts w:ascii="Times New Roman" w:hAnsi="Times New Roman" w:cs="Times New Roman"/>
          <w:b/>
          <w:bCs/>
          <w:color w:val="000000" w:themeColor="text1"/>
          <w:sz w:val="24"/>
          <w:vertAlign w:val="superscript"/>
          <w14:textFill>
            <w14:solidFill>
              <w14:schemeClr w14:val="tx1"/>
            </w14:solidFill>
          </w14:textFill>
        </w:rPr>
        <w:t>H</w:t>
      </w:r>
      <w:r>
        <w:rPr>
          <w:rFonts w:ascii="Times New Roman" w:hAnsi="Times New Roman" w:cs="Times New Roman"/>
          <w:b/>
          <w:bCs/>
          <w:color w:val="000000" w:themeColor="text1"/>
          <w:sz w:val="24"/>
          <w14:textFill>
            <w14:solidFill>
              <w14:schemeClr w14:val="tx1"/>
            </w14:solidFill>
          </w14:textFill>
        </w:rPr>
        <w:t xml:space="preserve"> and Risk</w:t>
      </w:r>
      <w:r>
        <w:rPr>
          <w:rFonts w:ascii="Times New Roman" w:hAnsi="Times New Roman" w:cs="Times New Roman"/>
          <w:b/>
          <w:bCs/>
          <w:color w:val="000000" w:themeColor="text1"/>
          <w:sz w:val="24"/>
          <w:vertAlign w:val="superscript"/>
          <w14:textFill>
            <w14:solidFill>
              <w14:schemeClr w14:val="tx1"/>
            </w14:solidFill>
          </w14:textFill>
        </w:rPr>
        <w:t>L</w:t>
      </w:r>
      <w:r>
        <w:rPr>
          <w:rFonts w:ascii="Times New Roman" w:hAnsi="Times New Roman" w:cs="Times New Roman"/>
          <w:b/>
          <w:bCs/>
          <w:color w:val="000000" w:themeColor="text1"/>
          <w:sz w:val="24"/>
          <w14:textFill>
            <w14:solidFill>
              <w14:schemeClr w14:val="tx1"/>
            </w14:solidFill>
          </w14:textFill>
        </w:rPr>
        <w:t xml:space="preserve"> groups. </w:t>
      </w:r>
      <w:r>
        <w:rPr>
          <w:rFonts w:ascii="Times New Roman" w:hAnsi="Times New Roman" w:cs="Times New Roman"/>
          <w:color w:val="000000" w:themeColor="text1"/>
          <w:sz w:val="24"/>
          <w14:textFill>
            <w14:solidFill>
              <w14:schemeClr w14:val="tx1"/>
            </w14:solidFill>
          </w14:textFill>
        </w:rPr>
        <w:t>(A)</w:t>
      </w:r>
      <w:r>
        <w:rPr>
          <w:rFonts w:ascii="Times New Roman" w:hAnsi="Times New Roman" w:cs="Times New Roman"/>
          <w:color w:val="000000" w:themeColor="text1"/>
          <w14:textFill>
            <w14:solidFill>
              <w14:schemeClr w14:val="tx1"/>
            </w14:solidFill>
          </w14:textFill>
        </w:rPr>
        <w:t xml:space="preserve"> </w:t>
      </w:r>
      <w:r>
        <w:rPr>
          <w:rFonts w:ascii="Times New Roman" w:hAnsi="Times New Roman" w:eastAsia="等线" w:cs="Times New Roman"/>
          <w:color w:val="000000"/>
          <w:sz w:val="24"/>
        </w:rPr>
        <w:t>Comparison of the</w:t>
      </w:r>
      <w:r>
        <w:rPr>
          <w:rFonts w:ascii="Times New Roman" w:hAnsi="Times New Roman" w:cs="Times New Roman"/>
          <w:color w:val="000000" w:themeColor="text1"/>
          <w:sz w:val="24"/>
          <w14:textFill>
            <w14:solidFill>
              <w14:schemeClr w14:val="tx1"/>
            </w14:solidFill>
          </w14:textFill>
        </w:rPr>
        <w:t xml:space="preserve"> somatic mutation rate between</w:t>
      </w:r>
      <w:r>
        <w:rPr>
          <w:rFonts w:ascii="Times New Roman" w:hAnsi="Times New Roman" w:eastAsia="宋体" w:cs="Times New Roman"/>
          <w:color w:val="000000" w:themeColor="text1"/>
          <w:sz w:val="24"/>
          <w14:textFill>
            <w14:solidFill>
              <w14:schemeClr w14:val="tx1"/>
            </w14:solidFill>
          </w14:textFill>
        </w:rPr>
        <w:t xml:space="preserve"> the</w:t>
      </w:r>
      <w:r>
        <w:rPr>
          <w:rFonts w:ascii="Times New Roman" w:hAnsi="Times New Roman" w:cs="Times New Roman"/>
          <w:color w:val="000000" w:themeColor="text1"/>
          <w:sz w:val="24"/>
          <w14:textFill>
            <w14:solidFill>
              <w14:schemeClr w14:val="tx1"/>
            </w14:solidFill>
          </w14:textFill>
        </w:rPr>
        <w:t xml:space="preserve"> Risk</w:t>
      </w:r>
      <w:r>
        <w:rPr>
          <w:rFonts w:ascii="Times New Roman" w:hAnsi="Times New Roman" w:cs="Times New Roman"/>
          <w:color w:val="000000" w:themeColor="text1"/>
          <w:sz w:val="24"/>
          <w:vertAlign w:val="superscript"/>
          <w14:textFill>
            <w14:solidFill>
              <w14:schemeClr w14:val="tx1"/>
            </w14:solidFill>
          </w14:textFill>
        </w:rPr>
        <w:t>H</w:t>
      </w:r>
      <w:r>
        <w:rPr>
          <w:rFonts w:ascii="Times New Roman" w:hAnsi="Times New Roman" w:cs="Times New Roman"/>
          <w:color w:val="000000" w:themeColor="text1"/>
          <w:sz w:val="24"/>
          <w14:textFill>
            <w14:solidFill>
              <w14:schemeClr w14:val="tx1"/>
            </w14:solidFill>
          </w14:textFill>
        </w:rPr>
        <w:t xml:space="preserve"> and Risk</w:t>
      </w:r>
      <w:r>
        <w:rPr>
          <w:rFonts w:ascii="Times New Roman" w:hAnsi="Times New Roman" w:cs="Times New Roman"/>
          <w:color w:val="000000" w:themeColor="text1"/>
          <w:sz w:val="24"/>
          <w:vertAlign w:val="superscript"/>
          <w14:textFill>
            <w14:solidFill>
              <w14:schemeClr w14:val="tx1"/>
            </w14:solidFill>
          </w14:textFill>
        </w:rPr>
        <w:t>L</w:t>
      </w:r>
      <w:r>
        <w:rPr>
          <w:rFonts w:ascii="Times New Roman" w:hAnsi="Times New Roman" w:cs="Times New Roman"/>
          <w:color w:val="000000" w:themeColor="text1"/>
          <w:sz w:val="24"/>
          <w14:textFill>
            <w14:solidFill>
              <w14:schemeClr w14:val="tx1"/>
            </w14:solidFill>
          </w14:textFill>
        </w:rPr>
        <w:t xml:space="preserve"> groups using MAF and oncoplots. (B) </w:t>
      </w:r>
      <w:r>
        <w:rPr>
          <w:rFonts w:ascii="Times New Roman" w:hAnsi="Times New Roman" w:eastAsia="等线" w:cs="Times New Roman"/>
          <w:color w:val="000000"/>
          <w:sz w:val="24"/>
        </w:rPr>
        <w:t>Correlations</w:t>
      </w:r>
      <w:r>
        <w:rPr>
          <w:rFonts w:ascii="Times New Roman" w:hAnsi="Times New Roman" w:cs="Times New Roman"/>
          <w:color w:val="000000" w:themeColor="text1"/>
          <w:sz w:val="24"/>
          <w14:textFill>
            <w14:solidFill>
              <w14:schemeClr w14:val="tx1"/>
            </w14:solidFill>
          </w14:textFill>
        </w:rPr>
        <w:t xml:space="preserve"> </w:t>
      </w:r>
      <w:r>
        <w:rPr>
          <w:rFonts w:ascii="Times New Roman" w:hAnsi="Times New Roman" w:eastAsia="等线" w:cs="Times New Roman"/>
          <w:color w:val="000000"/>
          <w:sz w:val="24"/>
        </w:rPr>
        <w:t>between</w:t>
      </w:r>
      <w:r>
        <w:rPr>
          <w:rFonts w:ascii="Times New Roman" w:hAnsi="Times New Roman" w:cs="Times New Roman"/>
          <w:color w:val="000000" w:themeColor="text1"/>
          <w:sz w:val="24"/>
          <w14:textFill>
            <w14:solidFill>
              <w14:schemeClr w14:val="tx1"/>
            </w14:solidFill>
          </w14:textFill>
        </w:rPr>
        <w:t xml:space="preserve"> mutation frequency and GRG risk score. (C)</w:t>
      </w:r>
      <w:r>
        <w:rPr>
          <w:rFonts w:ascii="Times New Roman" w:hAnsi="Times New Roman" w:cs="Times New Roman"/>
          <w:color w:val="000000" w:themeColor="text1"/>
          <w14:textFill>
            <w14:solidFill>
              <w14:schemeClr w14:val="tx1"/>
            </w14:solidFill>
          </w14:textFill>
        </w:rPr>
        <w:t xml:space="preserve"> </w:t>
      </w:r>
      <w:r>
        <w:rPr>
          <w:rFonts w:ascii="Times New Roman" w:hAnsi="Times New Roman" w:eastAsia="等线" w:cs="Times New Roman"/>
          <w:color w:val="000000"/>
          <w:sz w:val="24"/>
        </w:rPr>
        <w:t>Boxplots showing</w:t>
      </w:r>
      <w:r>
        <w:rPr>
          <w:rFonts w:ascii="Times New Roman" w:hAnsi="Times New Roman" w:cs="Times New Roman"/>
          <w:color w:val="000000" w:themeColor="text1"/>
          <w:sz w:val="24"/>
          <w14:textFill>
            <w14:solidFill>
              <w14:schemeClr w14:val="tx1"/>
            </w14:solidFill>
          </w14:textFill>
        </w:rPr>
        <w:t xml:space="preserve"> the difference in risk scores between patients with wild</w:t>
      </w:r>
      <w:r>
        <w:rPr>
          <w:rFonts w:ascii="Times New Roman" w:hAnsi="Times New Roman" w:eastAsia="宋体" w:cs="Times New Roman"/>
          <w:color w:val="000000" w:themeColor="text1"/>
          <w:sz w:val="24"/>
          <w14:textFill>
            <w14:solidFill>
              <w14:schemeClr w14:val="tx1"/>
            </w14:solidFill>
          </w14:textFill>
        </w:rPr>
        <w:t>-type</w:t>
      </w:r>
      <w:r>
        <w:rPr>
          <w:rFonts w:ascii="Times New Roman" w:hAnsi="Times New Roman" w:cs="Times New Roman"/>
          <w:color w:val="000000" w:themeColor="text1"/>
          <w:sz w:val="24"/>
          <w14:textFill>
            <w14:solidFill>
              <w14:schemeClr w14:val="tx1"/>
            </w14:solidFill>
          </w14:textFill>
        </w:rPr>
        <w:t xml:space="preserve"> and mutant isoforms of the indicated gene.</w:t>
      </w: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6D2F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7599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477599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yZGY1MzcyNDRiNjVjMjkxNmIwZGE3YmUzMGY5ZTIifQ=="/>
  </w:docVars>
  <w:rsids>
    <w:rsidRoot w:val="68995187"/>
    <w:rsid w:val="00100085"/>
    <w:rsid w:val="00133683"/>
    <w:rsid w:val="001B21AC"/>
    <w:rsid w:val="00257E91"/>
    <w:rsid w:val="005B68C9"/>
    <w:rsid w:val="005F16B0"/>
    <w:rsid w:val="00675A0E"/>
    <w:rsid w:val="00751FCA"/>
    <w:rsid w:val="007F2355"/>
    <w:rsid w:val="007F38F0"/>
    <w:rsid w:val="008E5E65"/>
    <w:rsid w:val="009238D0"/>
    <w:rsid w:val="0098402A"/>
    <w:rsid w:val="009A4A6A"/>
    <w:rsid w:val="009C33F5"/>
    <w:rsid w:val="00B46BAE"/>
    <w:rsid w:val="00B57426"/>
    <w:rsid w:val="00BC4CEE"/>
    <w:rsid w:val="00C129D7"/>
    <w:rsid w:val="00CA0AEB"/>
    <w:rsid w:val="00E2770A"/>
    <w:rsid w:val="00E472BA"/>
    <w:rsid w:val="00EC5A28"/>
    <w:rsid w:val="00FF7C69"/>
    <w:rsid w:val="0C12675B"/>
    <w:rsid w:val="110C5640"/>
    <w:rsid w:val="1A66379D"/>
    <w:rsid w:val="291C5BFE"/>
    <w:rsid w:val="2CA25462"/>
    <w:rsid w:val="2F0057B3"/>
    <w:rsid w:val="36A31E81"/>
    <w:rsid w:val="3B9701E8"/>
    <w:rsid w:val="3FA80F9D"/>
    <w:rsid w:val="4B745559"/>
    <w:rsid w:val="4E35307B"/>
    <w:rsid w:val="4F924651"/>
    <w:rsid w:val="58061D02"/>
    <w:rsid w:val="5AC01675"/>
    <w:rsid w:val="5B4F7CA9"/>
    <w:rsid w:val="67EA0481"/>
    <w:rsid w:val="68995187"/>
    <w:rsid w:val="6A1835D4"/>
    <w:rsid w:val="7BCC76C6"/>
    <w:rsid w:val="7DB02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GB" w:eastAsia="zh-CN" w:bidi="ar-SA"/>
      <w14:ligatures w14:val="standardContextual"/>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rPr>
  </w:style>
  <w:style w:type="paragraph" w:styleId="3">
    <w:name w:val="header"/>
    <w:basedOn w:val="1"/>
    <w:link w:val="9"/>
    <w:uiPriority w:val="0"/>
    <w:pP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14:ligatures w14:val="none"/>
    </w:rPr>
  </w:style>
  <w:style w:type="character" w:styleId="7">
    <w:name w:val="line number"/>
    <w:basedOn w:val="6"/>
    <w:qFormat/>
    <w:uiPriority w:val="0"/>
  </w:style>
  <w:style w:type="character" w:styleId="8">
    <w:name w:val="annotation reference"/>
    <w:basedOn w:val="6"/>
    <w:semiHidden/>
    <w:unhideWhenUsed/>
    <w:qFormat/>
    <w:uiPriority w:val="99"/>
    <w:rPr>
      <w:sz w:val="21"/>
      <w:szCs w:val="21"/>
    </w:rPr>
  </w:style>
  <w:style w:type="character" w:customStyle="1" w:styleId="9">
    <w:name w:val="页眉 字符"/>
    <w:basedOn w:val="6"/>
    <w:link w:val="3"/>
    <w:qFormat/>
    <w:uiPriority w:val="0"/>
    <w:rPr>
      <w:kern w:val="2"/>
      <w:sz w:val="18"/>
      <w:szCs w:val="18"/>
      <w:lang w:val="en-GB"/>
      <w14:ligatures w14:val="standardContextual"/>
    </w:rPr>
  </w:style>
  <w:style w:type="paragraph" w:customStyle="1" w:styleId="10">
    <w:name w:val="修订1"/>
    <w:hidden/>
    <w:unhideWhenUsed/>
    <w:qFormat/>
    <w:uiPriority w:val="99"/>
    <w:rPr>
      <w:rFonts w:asciiTheme="minorHAnsi" w:hAnsiTheme="minorHAnsi" w:eastAsiaTheme="minorEastAsia" w:cstheme="minorBidi"/>
      <w:kern w:val="2"/>
      <w:sz w:val="21"/>
      <w:szCs w:val="24"/>
      <w:lang w:val="en-GB" w:eastAsia="zh-CN" w:bidi="ar-SA"/>
      <w14:ligatures w14:val="standardContextual"/>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GB" w:eastAsia="zh-CN" w:bidi="ar-SA"/>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1854</Words>
  <Characters>10757</Characters>
  <Lines>91</Lines>
  <Paragraphs>25</Paragraphs>
  <TotalTime>0</TotalTime>
  <ScaleCrop>false</ScaleCrop>
  <LinksUpToDate>false</LinksUpToDate>
  <CharactersWithSpaces>12573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2025-01-27T09:09:00Z</dcterms:created>
  <dc:creator>杜风</dc:creator>
  <cp:lastModifiedBy>杜风</cp:lastModifiedBy>
  <dcterms:modified xsi:type="dcterms:W3CDTF">2025-01-31T10:09:25Z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E770DB1499ED48BFBA136AD658709099_13</vt:lpwstr>
  </property>
  <property fmtid="{D5CDD505-2E9C-101B-9397-08002B2CF9AE}" pid="4" name="KSOTemplateDocerSaveRecord">
    <vt:lpwstr>eyJoZGlkIjoiMWUyZGY1MzcyNDRiNjVjMjkxNmIwZGE3YmUzMGY5ZTIiLCJ1c2VySWQiOiIyNjcwNzQ3MjAifQ==</vt:lpwstr>
  </property>
</Properties>
</file>