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43D0C" w14:textId="00D6A616" w:rsidR="00ED1584" w:rsidRPr="00C823E7" w:rsidRDefault="00ED1584" w:rsidP="00ED15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23E7">
        <w:rPr>
          <w:rFonts w:ascii="Times New Roman" w:hAnsi="Times New Roman" w:cs="Times New Roman" w:hint="eastAsia"/>
          <w:b/>
          <w:bCs/>
          <w:sz w:val="24"/>
          <w:szCs w:val="24"/>
        </w:rPr>
        <w:t>Supplementary materi</w:t>
      </w:r>
      <w:bookmarkStart w:id="0" w:name="_GoBack"/>
      <w:bookmarkEnd w:id="0"/>
      <w:r w:rsidRPr="00C823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al </w:t>
      </w:r>
      <w:r w:rsidR="00E37006" w:rsidRPr="00C823E7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C823E7">
        <w:rPr>
          <w:rFonts w:ascii="Times New Roman" w:hAnsi="Times New Roman" w:cs="Times New Roman"/>
          <w:b/>
          <w:bCs/>
          <w:sz w:val="24"/>
          <w:szCs w:val="24"/>
        </w:rPr>
        <w:t xml:space="preserve">. Characteristics of neuroendocrine tumor lesions </w:t>
      </w:r>
      <w:r w:rsidR="00B54EF1" w:rsidRPr="00C823E7">
        <w:rPr>
          <w:rFonts w:ascii="Times New Roman" w:hAnsi="Times New Roman" w:cs="Times New Roman" w:hint="eastAsia"/>
          <w:b/>
          <w:bCs/>
          <w:sz w:val="24"/>
          <w:szCs w:val="24"/>
        </w:rPr>
        <w:t>occurring</w:t>
      </w:r>
      <w:r w:rsidRPr="00C823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823E7">
        <w:rPr>
          <w:rFonts w:ascii="Times New Roman" w:hAnsi="Times New Roman" w:cs="Times New Roman"/>
          <w:b/>
          <w:bCs/>
          <w:sz w:val="24"/>
          <w:szCs w:val="24"/>
        </w:rPr>
        <w:t>in patients with autoimmune gastritis</w:t>
      </w:r>
    </w:p>
    <w:p w14:paraId="4206A982" w14:textId="77777777" w:rsidR="00ED1584" w:rsidRPr="00C823E7" w:rsidRDefault="00ED1584" w:rsidP="00ED158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386" w:type="dxa"/>
        <w:tblLook w:val="04A0" w:firstRow="1" w:lastRow="0" w:firstColumn="1" w:lastColumn="0" w:noHBand="0" w:noVBand="1"/>
      </w:tblPr>
      <w:tblGrid>
        <w:gridCol w:w="3118"/>
        <w:gridCol w:w="2268"/>
      </w:tblGrid>
      <w:tr w:rsidR="00C304E7" w:rsidRPr="00C823E7" w14:paraId="2246899B" w14:textId="77777777" w:rsidTr="00E82B39">
        <w:trPr>
          <w:trHeight w:val="300"/>
        </w:trPr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A1CA41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DD8D3EA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C823E7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+</w:t>
            </w:r>
          </w:p>
        </w:tc>
      </w:tr>
      <w:tr w:rsidR="00C304E7" w:rsidRPr="00C823E7" w14:paraId="1A902689" w14:textId="77777777" w:rsidTr="00E82B39">
        <w:tc>
          <w:tcPr>
            <w:tcW w:w="3118" w:type="dxa"/>
          </w:tcPr>
          <w:p w14:paraId="0719D1BC" w14:textId="77777777" w:rsidR="00ED1584" w:rsidRPr="00C823E7" w:rsidRDefault="00ED1584" w:rsidP="00E82B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Number of patients</w:t>
            </w:r>
          </w:p>
        </w:tc>
        <w:tc>
          <w:tcPr>
            <w:tcW w:w="2268" w:type="dxa"/>
            <w:vAlign w:val="center"/>
          </w:tcPr>
          <w:p w14:paraId="048FC549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304E7" w:rsidRPr="00C823E7" w14:paraId="2A0A0573" w14:textId="77777777" w:rsidTr="00E82B39">
        <w:tc>
          <w:tcPr>
            <w:tcW w:w="3118" w:type="dxa"/>
          </w:tcPr>
          <w:p w14:paraId="27232545" w14:textId="77777777" w:rsidR="00ED1584" w:rsidRPr="00C823E7" w:rsidRDefault="00ED1584" w:rsidP="00E82B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Number of lesions</w:t>
            </w:r>
          </w:p>
        </w:tc>
        <w:tc>
          <w:tcPr>
            <w:tcW w:w="2268" w:type="dxa"/>
            <w:vAlign w:val="center"/>
          </w:tcPr>
          <w:p w14:paraId="0A599732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304E7" w:rsidRPr="00C823E7" w14:paraId="60CD8756" w14:textId="77777777" w:rsidTr="00E82B39">
        <w:tc>
          <w:tcPr>
            <w:tcW w:w="3118" w:type="dxa"/>
          </w:tcPr>
          <w:p w14:paraId="5D7FCDAA" w14:textId="77777777" w:rsidR="00ED1584" w:rsidRPr="00C823E7" w:rsidRDefault="00ED1584" w:rsidP="00E82B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 xml:space="preserve">Size (mm) (Median </w:t>
            </w:r>
            <w:r w:rsidRPr="00C823E7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IQR</w:t>
            </w:r>
            <w:r w:rsidRPr="00C823E7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B01D824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5.5 (4.5, 6.0)</w:t>
            </w:r>
          </w:p>
        </w:tc>
      </w:tr>
      <w:tr w:rsidR="00C304E7" w:rsidRPr="00C823E7" w14:paraId="0A7F7570" w14:textId="77777777" w:rsidTr="00E82B39">
        <w:tc>
          <w:tcPr>
            <w:tcW w:w="3118" w:type="dxa"/>
          </w:tcPr>
          <w:p w14:paraId="47CDD92A" w14:textId="77777777" w:rsidR="00ED1584" w:rsidRPr="00C823E7" w:rsidRDefault="00ED1584" w:rsidP="00E82B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2268" w:type="dxa"/>
            <w:vAlign w:val="center"/>
          </w:tcPr>
          <w:p w14:paraId="3F1101D1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4E7" w:rsidRPr="00C823E7" w14:paraId="4427331D" w14:textId="77777777" w:rsidTr="00E82B39">
        <w:tc>
          <w:tcPr>
            <w:tcW w:w="3118" w:type="dxa"/>
          </w:tcPr>
          <w:p w14:paraId="56C8FA3D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Greater curvature of angulus</w:t>
            </w:r>
          </w:p>
        </w:tc>
        <w:tc>
          <w:tcPr>
            <w:tcW w:w="2268" w:type="dxa"/>
            <w:vAlign w:val="center"/>
          </w:tcPr>
          <w:p w14:paraId="7734EAF8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60DDCF51" w14:textId="77777777" w:rsidTr="00E82B39">
        <w:tc>
          <w:tcPr>
            <w:tcW w:w="3118" w:type="dxa"/>
          </w:tcPr>
          <w:p w14:paraId="2EE0C5AA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Anterior wall of lower corpus</w:t>
            </w:r>
          </w:p>
        </w:tc>
        <w:tc>
          <w:tcPr>
            <w:tcW w:w="2268" w:type="dxa"/>
            <w:vAlign w:val="center"/>
          </w:tcPr>
          <w:p w14:paraId="000BD457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0E581801" w14:textId="77777777" w:rsidTr="00E82B39">
        <w:tc>
          <w:tcPr>
            <w:tcW w:w="3118" w:type="dxa"/>
          </w:tcPr>
          <w:p w14:paraId="38673BBB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Lesser curvature of lower corpus</w:t>
            </w:r>
          </w:p>
        </w:tc>
        <w:tc>
          <w:tcPr>
            <w:tcW w:w="2268" w:type="dxa"/>
            <w:vAlign w:val="center"/>
          </w:tcPr>
          <w:p w14:paraId="6B6B4C39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6A04ADCC" w14:textId="77777777" w:rsidTr="00E82B39">
        <w:tc>
          <w:tcPr>
            <w:tcW w:w="3118" w:type="dxa"/>
          </w:tcPr>
          <w:p w14:paraId="649D840D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Greater curvature of lower corpus</w:t>
            </w:r>
          </w:p>
        </w:tc>
        <w:tc>
          <w:tcPr>
            <w:tcW w:w="2268" w:type="dxa"/>
            <w:vAlign w:val="center"/>
          </w:tcPr>
          <w:p w14:paraId="09DFCE94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2 (16.7%)</w:t>
            </w:r>
          </w:p>
        </w:tc>
      </w:tr>
      <w:tr w:rsidR="00C304E7" w:rsidRPr="00C823E7" w14:paraId="67F7C643" w14:textId="77777777" w:rsidTr="00E82B39">
        <w:tc>
          <w:tcPr>
            <w:tcW w:w="3118" w:type="dxa"/>
          </w:tcPr>
          <w:p w14:paraId="508C677D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Lesser curvature of middle corpus</w:t>
            </w:r>
          </w:p>
        </w:tc>
        <w:tc>
          <w:tcPr>
            <w:tcW w:w="2268" w:type="dxa"/>
            <w:vAlign w:val="center"/>
          </w:tcPr>
          <w:p w14:paraId="356B1455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622AB9D6" w14:textId="77777777" w:rsidTr="00E82B39">
        <w:tc>
          <w:tcPr>
            <w:tcW w:w="3118" w:type="dxa"/>
          </w:tcPr>
          <w:p w14:paraId="277DD9D3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Anterior wall of upper corpus</w:t>
            </w:r>
          </w:p>
        </w:tc>
        <w:tc>
          <w:tcPr>
            <w:tcW w:w="2268" w:type="dxa"/>
            <w:vAlign w:val="center"/>
          </w:tcPr>
          <w:p w14:paraId="221A3332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3533FA0C" w14:textId="77777777" w:rsidTr="00E82B39">
        <w:tc>
          <w:tcPr>
            <w:tcW w:w="3118" w:type="dxa"/>
          </w:tcPr>
          <w:p w14:paraId="1C283B2F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Lesser curvature of upper corpus</w:t>
            </w:r>
          </w:p>
        </w:tc>
        <w:tc>
          <w:tcPr>
            <w:tcW w:w="2268" w:type="dxa"/>
            <w:vAlign w:val="center"/>
          </w:tcPr>
          <w:p w14:paraId="4E7337E4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468452BC" w14:textId="77777777" w:rsidTr="00E82B39">
        <w:tc>
          <w:tcPr>
            <w:tcW w:w="3118" w:type="dxa"/>
          </w:tcPr>
          <w:p w14:paraId="260C7E7F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Greater curvature of upper corpus</w:t>
            </w:r>
          </w:p>
        </w:tc>
        <w:tc>
          <w:tcPr>
            <w:tcW w:w="2268" w:type="dxa"/>
            <w:vAlign w:val="center"/>
          </w:tcPr>
          <w:p w14:paraId="485D8356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3 (25.0%)</w:t>
            </w:r>
          </w:p>
        </w:tc>
      </w:tr>
      <w:tr w:rsidR="00C304E7" w:rsidRPr="00C823E7" w14:paraId="2664A45D" w14:textId="77777777" w:rsidTr="00E82B39">
        <w:tc>
          <w:tcPr>
            <w:tcW w:w="3118" w:type="dxa"/>
          </w:tcPr>
          <w:p w14:paraId="5D66BDA1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Fundus</w:t>
            </w:r>
          </w:p>
        </w:tc>
        <w:tc>
          <w:tcPr>
            <w:tcW w:w="2268" w:type="dxa"/>
            <w:vAlign w:val="center"/>
          </w:tcPr>
          <w:p w14:paraId="4985A054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5683CB84" w14:textId="77777777" w:rsidTr="00E82B39">
        <w:tc>
          <w:tcPr>
            <w:tcW w:w="3118" w:type="dxa"/>
          </w:tcPr>
          <w:p w14:paraId="7E024232" w14:textId="77777777" w:rsidR="00ED1584" w:rsidRPr="00C823E7" w:rsidRDefault="00ED1584" w:rsidP="00E82B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</w:p>
        </w:tc>
        <w:tc>
          <w:tcPr>
            <w:tcW w:w="2268" w:type="dxa"/>
            <w:vAlign w:val="center"/>
          </w:tcPr>
          <w:p w14:paraId="37B28422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4E7" w:rsidRPr="00C823E7" w14:paraId="02DA7A60" w14:textId="77777777" w:rsidTr="00E82B39">
        <w:tc>
          <w:tcPr>
            <w:tcW w:w="3118" w:type="dxa"/>
          </w:tcPr>
          <w:p w14:paraId="19236584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ESD</w:t>
            </w:r>
          </w:p>
        </w:tc>
        <w:tc>
          <w:tcPr>
            <w:tcW w:w="2268" w:type="dxa"/>
            <w:vAlign w:val="center"/>
          </w:tcPr>
          <w:p w14:paraId="7DFA3544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9 (75.0%)</w:t>
            </w:r>
          </w:p>
        </w:tc>
      </w:tr>
      <w:tr w:rsidR="00C304E7" w:rsidRPr="00C823E7" w14:paraId="4456330C" w14:textId="77777777" w:rsidTr="00E82B39">
        <w:tc>
          <w:tcPr>
            <w:tcW w:w="3118" w:type="dxa"/>
          </w:tcPr>
          <w:p w14:paraId="12957458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Disappeared after biopsy</w:t>
            </w:r>
          </w:p>
        </w:tc>
        <w:tc>
          <w:tcPr>
            <w:tcW w:w="2268" w:type="dxa"/>
            <w:vAlign w:val="center"/>
          </w:tcPr>
          <w:p w14:paraId="0A9D01AE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2 (16.7%)</w:t>
            </w:r>
          </w:p>
        </w:tc>
      </w:tr>
      <w:tr w:rsidR="00C304E7" w:rsidRPr="00C823E7" w14:paraId="45E9A79B" w14:textId="77777777" w:rsidTr="00E82B39">
        <w:tc>
          <w:tcPr>
            <w:tcW w:w="3118" w:type="dxa"/>
          </w:tcPr>
          <w:p w14:paraId="39F12E19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Observation after biopsy</w:t>
            </w:r>
          </w:p>
        </w:tc>
        <w:tc>
          <w:tcPr>
            <w:tcW w:w="2268" w:type="dxa"/>
            <w:vAlign w:val="center"/>
          </w:tcPr>
          <w:p w14:paraId="74824DA5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 (8.3%)</w:t>
            </w:r>
          </w:p>
        </w:tc>
      </w:tr>
      <w:tr w:rsidR="00C304E7" w:rsidRPr="00C823E7" w14:paraId="1D8FCDFD" w14:textId="77777777" w:rsidTr="00E82B39">
        <w:tc>
          <w:tcPr>
            <w:tcW w:w="3118" w:type="dxa"/>
          </w:tcPr>
          <w:p w14:paraId="2FCFB81B" w14:textId="77777777" w:rsidR="00ED1584" w:rsidRPr="00C823E7" w:rsidRDefault="00ED1584" w:rsidP="00E82B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WHO classification</w:t>
            </w:r>
          </w:p>
        </w:tc>
        <w:tc>
          <w:tcPr>
            <w:tcW w:w="2268" w:type="dxa"/>
            <w:vAlign w:val="center"/>
          </w:tcPr>
          <w:p w14:paraId="4ED6B2A2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4E7" w:rsidRPr="00C823E7" w14:paraId="2D5741FB" w14:textId="77777777" w:rsidTr="00E82B39">
        <w:tc>
          <w:tcPr>
            <w:tcW w:w="3118" w:type="dxa"/>
          </w:tcPr>
          <w:p w14:paraId="30DE3449" w14:textId="77777777" w:rsidR="00ED1584" w:rsidRPr="00C823E7" w:rsidRDefault="00ED1584" w:rsidP="00E82B39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NETG1</w:t>
            </w:r>
          </w:p>
        </w:tc>
        <w:tc>
          <w:tcPr>
            <w:tcW w:w="2268" w:type="dxa"/>
            <w:vAlign w:val="center"/>
          </w:tcPr>
          <w:p w14:paraId="57889209" w14:textId="77777777" w:rsidR="00ED1584" w:rsidRPr="00C823E7" w:rsidRDefault="00ED1584" w:rsidP="00E82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3E7">
              <w:rPr>
                <w:rFonts w:ascii="Times New Roman" w:hAnsi="Times New Roman" w:cs="Times New Roman"/>
                <w:sz w:val="18"/>
                <w:szCs w:val="18"/>
              </w:rPr>
              <w:t>12 (100.0%)</w:t>
            </w:r>
          </w:p>
        </w:tc>
      </w:tr>
    </w:tbl>
    <w:p w14:paraId="49596A69" w14:textId="3E7A259E" w:rsidR="00E44B06" w:rsidRPr="00C304E7" w:rsidRDefault="00ED1584">
      <w:pPr>
        <w:rPr>
          <w:rFonts w:ascii="Times New Roman" w:hAnsi="Times New Roman" w:cs="Times New Roman"/>
          <w:sz w:val="24"/>
          <w:szCs w:val="24"/>
        </w:rPr>
      </w:pPr>
      <w:r w:rsidRPr="00C823E7">
        <w:rPr>
          <w:rFonts w:ascii="Times New Roman" w:hAnsi="Times New Roman" w:cs="Times New Roman"/>
          <w:sz w:val="24"/>
          <w:szCs w:val="24"/>
        </w:rPr>
        <w:t>N+</w:t>
      </w:r>
      <w:r w:rsidRPr="00C823E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823E7">
        <w:rPr>
          <w:rFonts w:ascii="Times New Roman" w:hAnsi="Times New Roman" w:cs="Times New Roman"/>
          <w:sz w:val="24"/>
          <w:szCs w:val="24"/>
        </w:rPr>
        <w:t>neuroendocrine</w:t>
      </w:r>
      <w:r w:rsidRPr="00C823E7">
        <w:rPr>
          <w:rFonts w:ascii="Times New Roman" w:hAnsi="Times New Roman" w:cs="Times New Roman" w:hint="eastAsia"/>
          <w:sz w:val="24"/>
          <w:szCs w:val="24"/>
        </w:rPr>
        <w:t>-positive group</w:t>
      </w:r>
      <w:r w:rsidRPr="00C823E7">
        <w:rPr>
          <w:rFonts w:ascii="Times New Roman" w:hAnsi="Times New Roman" w:cs="Times New Roman"/>
          <w:sz w:val="24"/>
          <w:szCs w:val="24"/>
        </w:rPr>
        <w:t>;</w:t>
      </w:r>
      <w:r w:rsidRPr="00C823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823E7">
        <w:rPr>
          <w:rFonts w:ascii="Times New Roman" w:hAnsi="Times New Roman" w:cs="Times New Roman"/>
          <w:sz w:val="24"/>
          <w:szCs w:val="24"/>
        </w:rPr>
        <w:t>IQR, interquartile range; ESD, endoscopic submucosal dissection, WHO, world health organization, NETG1, neuroendocrine tumor grade 1</w:t>
      </w:r>
    </w:p>
    <w:sectPr w:rsidR="00E44B06" w:rsidRPr="00C304E7" w:rsidSect="00C823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6A82A" w14:textId="77777777" w:rsidR="00323156" w:rsidRDefault="00323156" w:rsidP="00191F8E">
      <w:r>
        <w:separator/>
      </w:r>
    </w:p>
  </w:endnote>
  <w:endnote w:type="continuationSeparator" w:id="0">
    <w:p w14:paraId="267890B9" w14:textId="77777777" w:rsidR="00323156" w:rsidRDefault="00323156" w:rsidP="0019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3D50B" w14:textId="77777777" w:rsidR="00323156" w:rsidRDefault="00323156" w:rsidP="00191F8E">
      <w:r>
        <w:separator/>
      </w:r>
    </w:p>
  </w:footnote>
  <w:footnote w:type="continuationSeparator" w:id="0">
    <w:p w14:paraId="5BE0753E" w14:textId="77777777" w:rsidR="00323156" w:rsidRDefault="00323156" w:rsidP="00191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84"/>
    <w:rsid w:val="000002F9"/>
    <w:rsid w:val="000D3A26"/>
    <w:rsid w:val="00191F8E"/>
    <w:rsid w:val="002F2852"/>
    <w:rsid w:val="00323156"/>
    <w:rsid w:val="004868C9"/>
    <w:rsid w:val="00637363"/>
    <w:rsid w:val="00A009F6"/>
    <w:rsid w:val="00A30C06"/>
    <w:rsid w:val="00A31552"/>
    <w:rsid w:val="00AB46E3"/>
    <w:rsid w:val="00B54EF1"/>
    <w:rsid w:val="00C304E7"/>
    <w:rsid w:val="00C823E7"/>
    <w:rsid w:val="00CB2DC8"/>
    <w:rsid w:val="00E37006"/>
    <w:rsid w:val="00E44B06"/>
    <w:rsid w:val="00ED1584"/>
    <w:rsid w:val="00F6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A544C"/>
  <w15:chartTrackingRefBased/>
  <w15:docId w15:val="{41E581A4-B286-450B-AF6B-038C4563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84"/>
    <w:pPr>
      <w:widowControl w:val="0"/>
      <w:jc w:val="both"/>
    </w:pPr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5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5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5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5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5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5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5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5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5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5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5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584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ED15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1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5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1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58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1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584"/>
    <w:pPr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1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5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1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1F8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91F8E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1F8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91F8E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恒史</dc:creator>
  <cp:keywords/>
  <dc:description/>
  <cp:lastModifiedBy>Ananthi Shiyamala</cp:lastModifiedBy>
  <cp:revision>7</cp:revision>
  <dcterms:created xsi:type="dcterms:W3CDTF">2025-03-07T12:13:00Z</dcterms:created>
  <dcterms:modified xsi:type="dcterms:W3CDTF">2025-09-09T01:48:00Z</dcterms:modified>
</cp:coreProperties>
</file>