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2D940" w14:textId="628539F3" w:rsidR="00765364" w:rsidRPr="006917DC" w:rsidRDefault="00765364" w:rsidP="00765364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6917DC">
        <w:rPr>
          <w:rFonts w:ascii="Arial" w:hAnsi="Arial" w:cs="Arial"/>
          <w:b/>
          <w:bCs/>
          <w:sz w:val="22"/>
          <w:szCs w:val="22"/>
          <w:lang w:val="en-US"/>
        </w:rPr>
        <w:t>Supplementary Figures and Tables:</w:t>
      </w:r>
    </w:p>
    <w:p w14:paraId="53CA922D" w14:textId="77777777" w:rsidR="00765364" w:rsidRPr="006917DC" w:rsidRDefault="00765364" w:rsidP="00765364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79FC43F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  <w:lang w:eastAsia="ja-JP"/>
        </w:rPr>
      </w:pPr>
      <w:r w:rsidRPr="006917DC">
        <w:rPr>
          <w:rFonts w:ascii="Arial" w:hAnsi="Arial" w:cs="Arial"/>
          <w:color w:val="000000"/>
          <w:sz w:val="22"/>
          <w:szCs w:val="22"/>
        </w:rPr>
        <w:t>Molecular Insights into HER2/</w:t>
      </w:r>
      <w:r w:rsidRPr="006917DC">
        <w:rPr>
          <w:rFonts w:ascii="Arial" w:hAnsi="Arial" w:cs="Arial"/>
          <w:i/>
          <w:iCs/>
          <w:color w:val="000000"/>
          <w:sz w:val="22"/>
          <w:szCs w:val="22"/>
        </w:rPr>
        <w:t>ERBB2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Amplification and Carcinogenesis in Gallbladder Cancer Associated with Pancreaticobiliary Maljunction</w:t>
      </w:r>
    </w:p>
    <w:p w14:paraId="1EACDA5E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  <w:lang w:eastAsia="ja-JP"/>
        </w:rPr>
      </w:pPr>
      <w:r w:rsidRPr="006917DC">
        <w:rPr>
          <w:rFonts w:ascii="Arial" w:hAnsi="Arial" w:cs="Arial"/>
          <w:color w:val="000000"/>
          <w:sz w:val="22"/>
          <w:szCs w:val="22"/>
        </w:rPr>
        <w:t>Ming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 xml:space="preserve"> Zhu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MD*; Daisuke Douchi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MD, PhD*; 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>Keigo Murakami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  <w:lang w:eastAsia="ja-JP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†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>; Taito Itoh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MD, PhD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†,‡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>;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>Shusuke Migita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MD*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 xml:space="preserve">; </w:t>
      </w:r>
      <w:r w:rsidRPr="006917DC">
        <w:rPr>
          <w:rFonts w:ascii="Arial" w:hAnsi="Arial" w:cs="Arial"/>
          <w:color w:val="000000"/>
          <w:sz w:val="22"/>
          <w:szCs w:val="22"/>
        </w:rPr>
        <w:t>Naoki Rikiyama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MD*; 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 xml:space="preserve">Shuichiro Hayashi </w:t>
      </w:r>
      <w:r w:rsidRPr="006917DC">
        <w:rPr>
          <w:rFonts w:ascii="Arial" w:hAnsi="Arial" w:cs="Arial"/>
          <w:color w:val="000000"/>
          <w:sz w:val="22"/>
          <w:szCs w:val="22"/>
        </w:rPr>
        <w:t>MD*; Takashi Kokum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>ai</w:t>
      </w:r>
      <w:r w:rsidRPr="006917DC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>; Hideaki Sato</w:t>
      </w:r>
      <w:r w:rsidRPr="006917DC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>; Shingo Yoshimachi</w:t>
      </w:r>
      <w:r w:rsidRPr="006917DC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>; Akiko Kusaka</w:t>
      </w:r>
      <w:r w:rsidRPr="006917DC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>; Mitsuhiro Shimura</w:t>
      </w:r>
      <w:r w:rsidRPr="006917DC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*</w:t>
      </w:r>
      <w:r w:rsidRPr="006917DC">
        <w:rPr>
          <w:rFonts w:ascii="Arial" w:hAnsi="Arial" w:cs="Arial"/>
          <w:color w:val="000000" w:themeColor="text1"/>
          <w:sz w:val="22"/>
          <w:szCs w:val="22"/>
        </w:rPr>
        <w:t>; Shun Nakayama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PhD*; Shuichi Aoki MD, PhD*; Masahiro Iseki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PhD*; Takayuki Miura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PhD*; Shimpei Maeda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PhD*; Masaharu Ishida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PhD*;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Hideo Ohtsuka MD, PhD*; Masamichi Mizuma MD, PhD*; Kei Nakagawa MD, PhD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§</w:t>
      </w:r>
      <w:r w:rsidRPr="006917DC">
        <w:rPr>
          <w:rFonts w:ascii="Arial" w:hAnsi="Arial" w:cs="Arial"/>
          <w:color w:val="000000"/>
          <w:sz w:val="22"/>
          <w:szCs w:val="22"/>
        </w:rPr>
        <w:t>; Atsushi Masamune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//</w:t>
      </w:r>
      <w:r w:rsidRPr="006917DC">
        <w:rPr>
          <w:rFonts w:ascii="Arial" w:hAnsi="Arial" w:cs="Arial"/>
          <w:color w:val="000000"/>
          <w:sz w:val="22"/>
          <w:szCs w:val="22"/>
        </w:rPr>
        <w:t>; Toru Furukawa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†</w:t>
      </w:r>
      <w:r w:rsidRPr="006917DC">
        <w:rPr>
          <w:rFonts w:ascii="Arial" w:hAnsi="Arial" w:cs="Arial"/>
          <w:color w:val="000000"/>
          <w:sz w:val="22"/>
          <w:szCs w:val="22"/>
        </w:rPr>
        <w:t>; Michiaki Unno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MD, PhD*</w:t>
      </w:r>
    </w:p>
    <w:p w14:paraId="6841FFBE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</w:p>
    <w:p w14:paraId="46FD13AF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</w:rPr>
        <w:t>*</w:t>
      </w: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6917DC">
        <w:rPr>
          <w:rFonts w:ascii="Arial" w:hAnsi="Arial" w:cs="Arial"/>
          <w:color w:val="000000"/>
          <w:sz w:val="22"/>
          <w:szCs w:val="22"/>
        </w:rPr>
        <w:t>Department of Surgery, Tohoku University Graduate School of Medicine, 1-1 Seiryo-machi, Aoba-ku, Sendai, Miyagi, Japan</w:t>
      </w:r>
    </w:p>
    <w:p w14:paraId="75E8FD7B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†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Department of Investigative Pathology, Tohoku University Graduate School of Medicine, 1-1 Seiryo-machi, Aoba-ku, Sendai, Miyagi, Japan</w:t>
      </w:r>
    </w:p>
    <w:p w14:paraId="065160E2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‡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Laboratory of Molecular Diagnostics and Therapeutics, Center for Intractable Diseases and ImmunoGenomics, National Institutes of Biomedical Innovation, Health and Nutrition, 7-6-8 Saito-Asagi, Ibaraki, Osaka, Japan</w:t>
      </w:r>
    </w:p>
    <w:p w14:paraId="7AFE61B0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§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Division of Gastroenterological and Hepato-Biliary-Pancreatic Surgery, Department of Surgery, Tohoku Medical and Pharmaceutical University, 1-15-1 Fukumuro, Miyagino-ku, Sendai, Miyagi, Japan</w:t>
      </w:r>
    </w:p>
    <w:p w14:paraId="0BF6A7DC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  <w:lang w:eastAsia="ja-JP"/>
        </w:rPr>
      </w:pP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//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 xml:space="preserve"> Division of Gastroenterology, Tohoku University Graduate School of Medicine</w:t>
      </w:r>
      <w:r w:rsidRPr="006917DC">
        <w:rPr>
          <w:rFonts w:ascii="Arial" w:hAnsi="Arial" w:cs="Arial"/>
          <w:color w:val="000000"/>
          <w:sz w:val="22"/>
          <w:szCs w:val="22"/>
        </w:rPr>
        <w:t>, 1-1 Seiryo-machi, Aoba-ku, Sendai, Miyagi, Japan</w:t>
      </w:r>
    </w:p>
    <w:p w14:paraId="10924D42" w14:textId="77777777" w:rsidR="00765364" w:rsidRPr="006917DC" w:rsidRDefault="00765364" w:rsidP="00765364">
      <w:pPr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</w:p>
    <w:p w14:paraId="57AAA881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  <w:vertAlign w:val="superscript"/>
        </w:rPr>
        <w:t>*</w:t>
      </w:r>
      <w:r w:rsidRPr="006917DC">
        <w:rPr>
          <w:rFonts w:ascii="Arial" w:hAnsi="Arial" w:cs="Arial"/>
          <w:b/>
          <w:bCs/>
          <w:color w:val="000000"/>
          <w:sz w:val="22"/>
          <w:szCs w:val="22"/>
        </w:rPr>
        <w:t>Corresponding Author: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Daisuke Douchi</w:t>
      </w:r>
    </w:p>
    <w:p w14:paraId="490F3A4C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</w:rPr>
        <w:t>Department of Surgery, Tohoku University Graduate School of Medicine</w:t>
      </w:r>
    </w:p>
    <w:p w14:paraId="683C62DA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  <w:lang w:val="de-CH"/>
        </w:rPr>
      </w:pPr>
      <w:r w:rsidRPr="006917DC">
        <w:rPr>
          <w:rFonts w:ascii="Arial" w:hAnsi="Arial" w:cs="Arial"/>
          <w:color w:val="000000"/>
          <w:sz w:val="22"/>
          <w:szCs w:val="22"/>
          <w:lang w:val="de-CH"/>
        </w:rPr>
        <w:t>1</w:t>
      </w:r>
      <w:r w:rsidRPr="006917DC">
        <w:rPr>
          <w:rFonts w:ascii="Arial" w:hAnsi="Arial" w:cs="Arial"/>
          <w:color w:val="000000"/>
          <w:sz w:val="22"/>
          <w:szCs w:val="22"/>
          <w:lang w:val="de-CH"/>
        </w:rPr>
        <w:noBreakHyphen/>
        <w:t>1 Seiryo</w:t>
      </w:r>
      <w:r w:rsidRPr="006917DC">
        <w:rPr>
          <w:rFonts w:ascii="Arial" w:hAnsi="Arial" w:cs="Arial"/>
          <w:color w:val="000000"/>
          <w:sz w:val="22"/>
          <w:szCs w:val="22"/>
          <w:lang w:val="de-CH"/>
        </w:rPr>
        <w:noBreakHyphen/>
        <w:t>machi, Aoba</w:t>
      </w:r>
      <w:r w:rsidRPr="006917DC">
        <w:rPr>
          <w:rFonts w:ascii="Arial" w:hAnsi="Arial" w:cs="Arial"/>
          <w:color w:val="000000"/>
          <w:sz w:val="22"/>
          <w:szCs w:val="22"/>
          <w:lang w:val="de-CH"/>
        </w:rPr>
        <w:noBreakHyphen/>
        <w:t>ku, Sendai, Miyagi 980</w:t>
      </w:r>
      <w:r w:rsidRPr="006917DC">
        <w:rPr>
          <w:rFonts w:ascii="Arial" w:hAnsi="Arial" w:cs="Arial"/>
          <w:color w:val="000000"/>
          <w:sz w:val="22"/>
          <w:szCs w:val="22"/>
          <w:lang w:val="de-CH"/>
        </w:rPr>
        <w:noBreakHyphen/>
        <w:t>8574, Japan</w:t>
      </w:r>
    </w:p>
    <w:p w14:paraId="6FA93EF4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</w:rPr>
        <w:t>Tel</w:t>
      </w:r>
      <w:r w:rsidRPr="006917DC">
        <w:rPr>
          <w:rFonts w:ascii="Arial" w:hAnsi="Arial" w:cs="Arial"/>
          <w:color w:val="000000"/>
          <w:sz w:val="22"/>
          <w:szCs w:val="22"/>
          <w:lang w:eastAsia="ja-JP"/>
        </w:rPr>
        <w:t>:</w:t>
      </w:r>
      <w:r w:rsidRPr="006917DC">
        <w:rPr>
          <w:rFonts w:ascii="Arial" w:hAnsi="Arial" w:cs="Arial"/>
          <w:color w:val="000000"/>
          <w:sz w:val="22"/>
          <w:szCs w:val="22"/>
        </w:rPr>
        <w:t xml:space="preserve"> +81-22-717-7201</w:t>
      </w:r>
    </w:p>
    <w:p w14:paraId="4AE0F6D9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</w:rPr>
        <w:t>FAX: +81-22-717-7209</w:t>
      </w:r>
    </w:p>
    <w:p w14:paraId="336AC55D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</w:rPr>
        <w:t xml:space="preserve">E-mail: </w:t>
      </w:r>
      <w:hyperlink r:id="rId7" w:history="1">
        <w:r w:rsidRPr="006917DC">
          <w:rPr>
            <w:rStyle w:val="Hyperlink"/>
            <w:rFonts w:ascii="Arial" w:hAnsi="Arial" w:cs="Arial"/>
            <w:sz w:val="22"/>
            <w:szCs w:val="22"/>
          </w:rPr>
          <w:t>daisuke.douchi.e6@tohoku.ac.jp</w:t>
        </w:r>
      </w:hyperlink>
      <w:r w:rsidRPr="006917D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2225528" w14:textId="77777777" w:rsidR="00765364" w:rsidRPr="006917DC" w:rsidRDefault="00765364" w:rsidP="00765364">
      <w:pPr>
        <w:spacing w:line="480" w:lineRule="auto"/>
        <w:jc w:val="both"/>
        <w:outlineLvl w:val="2"/>
        <w:rPr>
          <w:rFonts w:ascii="Arial" w:hAnsi="Arial" w:cs="Arial"/>
          <w:color w:val="000000"/>
          <w:sz w:val="22"/>
          <w:szCs w:val="22"/>
        </w:rPr>
      </w:pPr>
      <w:r w:rsidRPr="006917DC">
        <w:rPr>
          <w:rFonts w:ascii="Arial" w:hAnsi="Arial" w:cs="Arial"/>
          <w:color w:val="000000"/>
          <w:sz w:val="22"/>
          <w:szCs w:val="22"/>
        </w:rPr>
        <w:t>ORCiD: 0000-0003-4582-6589</w:t>
      </w:r>
    </w:p>
    <w:p w14:paraId="4DC1BB24" w14:textId="77777777" w:rsidR="00765364" w:rsidRPr="006917DC" w:rsidRDefault="00765364" w:rsidP="00FA083B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6917DC">
        <w:rPr>
          <w:rFonts w:ascii="Arial" w:hAnsi="Arial" w:cs="Arial"/>
          <w:b/>
          <w:bCs/>
          <w:sz w:val="22"/>
          <w:szCs w:val="22"/>
          <w:lang w:val="en-US"/>
        </w:rPr>
        <w:br w:type="page"/>
      </w:r>
    </w:p>
    <w:p w14:paraId="1FCC5053" w14:textId="7ACDE239" w:rsidR="00427357" w:rsidRPr="006917DC" w:rsidRDefault="00427357" w:rsidP="00B87628">
      <w:pPr>
        <w:spacing w:line="480" w:lineRule="auto"/>
        <w:jc w:val="both"/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t xml:space="preserve">Supplementary Table </w:t>
      </w:r>
      <w:r w:rsidR="00055290" w:rsidRPr="006917DC">
        <w:rPr>
          <w:rFonts w:ascii="Arial" w:hAnsi="Arial" w:cs="Arial"/>
          <w:b/>
          <w:bCs/>
        </w:rPr>
        <w:t>S</w:t>
      </w:r>
      <w:r w:rsidRPr="006917DC">
        <w:rPr>
          <w:rFonts w:ascii="Arial" w:hAnsi="Arial" w:cs="Arial"/>
          <w:b/>
          <w:bCs/>
        </w:rPr>
        <w:t>1:</w:t>
      </w:r>
    </w:p>
    <w:p w14:paraId="7C3240AA" w14:textId="77777777" w:rsidR="00427357" w:rsidRPr="006917DC" w:rsidRDefault="00427357" w:rsidP="00B87628">
      <w:pPr>
        <w:spacing w:line="480" w:lineRule="auto"/>
        <w:jc w:val="center"/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t>HercepTest scoring results of four groups</w:t>
      </w: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2206"/>
        <w:gridCol w:w="2046"/>
        <w:gridCol w:w="1777"/>
        <w:gridCol w:w="2070"/>
        <w:gridCol w:w="1777"/>
      </w:tblGrid>
      <w:tr w:rsidR="008E24CF" w:rsidRPr="006917DC" w14:paraId="57BAC9F0" w14:textId="77777777" w:rsidTr="00B876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E7A2A9" w14:textId="77777777" w:rsidR="00427357" w:rsidRPr="006917DC" w:rsidRDefault="00427357" w:rsidP="00427357">
            <w:pPr>
              <w:jc w:val="center"/>
              <w:rPr>
                <w:rFonts w:ascii="Arial" w:eastAsia="DengXian" w:hAnsi="Arial" w:cs="Arial"/>
                <w:noProof/>
                <w:szCs w:val="22"/>
              </w:rPr>
            </w:pP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57EC43" w14:textId="77777777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A</w:t>
            </w:r>
          </w:p>
          <w:p w14:paraId="530F8906" w14:textId="77777777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Normal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89E59" w14:textId="77777777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B</w:t>
            </w:r>
          </w:p>
          <w:p w14:paraId="63AF76C6" w14:textId="77777777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PBM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C7DD8" w14:textId="77777777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C</w:t>
            </w:r>
          </w:p>
          <w:p w14:paraId="2624A13C" w14:textId="1E0DCCC3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GBC with</w:t>
            </w:r>
            <w:r w:rsidR="006C0331" w:rsidRPr="006917DC">
              <w:rPr>
                <w:rFonts w:ascii="Arial" w:eastAsia="DengXian" w:hAnsi="Arial" w:cs="Arial"/>
                <w:szCs w:val="22"/>
              </w:rPr>
              <w:t>out</w:t>
            </w:r>
            <w:r w:rsidRPr="006917DC">
              <w:rPr>
                <w:rFonts w:ascii="Arial" w:eastAsia="DengXian" w:hAnsi="Arial" w:cs="Arial"/>
                <w:szCs w:val="22"/>
              </w:rPr>
              <w:t xml:space="preserve"> PBM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A4580" w14:textId="77777777" w:rsidR="00427357" w:rsidRPr="006917DC" w:rsidRDefault="00427357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D</w:t>
            </w:r>
          </w:p>
          <w:p w14:paraId="4A591D03" w14:textId="23CCD541" w:rsidR="00427357" w:rsidRPr="006917DC" w:rsidRDefault="008E24CF" w:rsidP="00427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GBC with PBM</w:t>
            </w:r>
          </w:p>
        </w:tc>
      </w:tr>
      <w:tr w:rsidR="008E24CF" w:rsidRPr="006917DC" w14:paraId="6A9413A5" w14:textId="77777777" w:rsidTr="00B8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E1F1D3" w14:textId="77777777" w:rsidR="00427357" w:rsidRPr="006917DC" w:rsidRDefault="00427357" w:rsidP="00427357">
            <w:pPr>
              <w:jc w:val="center"/>
              <w:rPr>
                <w:rFonts w:ascii="Arial" w:eastAsia="DengXian" w:hAnsi="Arial" w:cs="Arial"/>
                <w:color w:val="000000"/>
                <w:szCs w:val="22"/>
              </w:rPr>
            </w:pPr>
            <w:r w:rsidRPr="006917DC">
              <w:rPr>
                <w:rFonts w:ascii="Arial" w:eastAsia="DengXian" w:hAnsi="Arial" w:cs="Arial"/>
                <w:color w:val="000000"/>
                <w:szCs w:val="22"/>
              </w:rPr>
              <w:t>Negative (0 or 1+)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070C3B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color w:val="000000"/>
                <w:szCs w:val="22"/>
              </w:rPr>
            </w:pPr>
            <w:r w:rsidRPr="006917DC">
              <w:rPr>
                <w:rFonts w:ascii="Arial" w:eastAsia="DengXian" w:hAnsi="Arial" w:cs="Arial"/>
                <w:color w:val="000000"/>
                <w:szCs w:val="22"/>
              </w:rPr>
              <w:t>33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6D38CE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color w:val="000000"/>
                <w:szCs w:val="22"/>
              </w:rPr>
            </w:pPr>
            <w:r w:rsidRPr="006917DC">
              <w:rPr>
                <w:rFonts w:ascii="Arial" w:eastAsia="DengXian" w:hAnsi="Arial" w:cs="Arial"/>
                <w:color w:val="000000"/>
                <w:szCs w:val="22"/>
              </w:rPr>
              <w:t>33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291CF6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color w:val="000000"/>
                <w:szCs w:val="22"/>
              </w:rPr>
            </w:pPr>
            <w:r w:rsidRPr="006917DC">
              <w:rPr>
                <w:rFonts w:ascii="Arial" w:eastAsia="DengXian" w:hAnsi="Arial" w:cs="Arial"/>
                <w:color w:val="000000"/>
                <w:szCs w:val="22"/>
              </w:rPr>
              <w:t>38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48F962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color w:val="000000"/>
                <w:szCs w:val="22"/>
              </w:rPr>
            </w:pPr>
            <w:r w:rsidRPr="006917DC">
              <w:rPr>
                <w:rFonts w:ascii="Arial" w:eastAsia="DengXian" w:hAnsi="Arial" w:cs="Arial"/>
                <w:color w:val="000000"/>
                <w:szCs w:val="22"/>
              </w:rPr>
              <w:t>8</w:t>
            </w:r>
          </w:p>
        </w:tc>
      </w:tr>
      <w:tr w:rsidR="008E24CF" w:rsidRPr="006917DC" w14:paraId="1FA81CFF" w14:textId="77777777" w:rsidTr="00B8762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4DC2821F" w14:textId="77777777" w:rsidR="00427357" w:rsidRPr="006917DC" w:rsidRDefault="00427357" w:rsidP="00427357">
            <w:pPr>
              <w:jc w:val="center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2+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A06CFA8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32592531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0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20F49561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2</w:t>
            </w:r>
          </w:p>
        </w:tc>
        <w:tc>
          <w:tcPr>
            <w:tcW w:w="0" w:type="pct"/>
            <w:tcBorders>
              <w:top w:val="nil"/>
              <w:left w:val="nil"/>
              <w:bottom w:val="nil"/>
              <w:right w:val="nil"/>
            </w:tcBorders>
          </w:tcPr>
          <w:p w14:paraId="62137624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4</w:t>
            </w:r>
          </w:p>
        </w:tc>
      </w:tr>
      <w:tr w:rsidR="008E24CF" w:rsidRPr="006917DC" w14:paraId="1FE88B5A" w14:textId="77777777" w:rsidTr="00B8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6D14EB" w14:textId="77777777" w:rsidR="00427357" w:rsidRPr="006917DC" w:rsidRDefault="00427357" w:rsidP="00427357">
            <w:pPr>
              <w:jc w:val="center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3+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C82A46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0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0AB465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0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B74EEC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5</w:t>
            </w:r>
          </w:p>
        </w:tc>
        <w:tc>
          <w:tcPr>
            <w:tcW w:w="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5B9178" w14:textId="77777777" w:rsidR="00427357" w:rsidRPr="006917DC" w:rsidRDefault="00427357" w:rsidP="004273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4</w:t>
            </w:r>
          </w:p>
        </w:tc>
      </w:tr>
      <w:tr w:rsidR="008E24CF" w:rsidRPr="006917DC" w14:paraId="21D24778" w14:textId="77777777" w:rsidTr="00B8762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6BE9B" w14:textId="77777777" w:rsidR="00427357" w:rsidRPr="006917DC" w:rsidRDefault="00427357" w:rsidP="00427357">
            <w:pPr>
              <w:jc w:val="center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Total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B2204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33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94C7E5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33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5913B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45</w:t>
            </w:r>
          </w:p>
        </w:tc>
        <w:tc>
          <w:tcPr>
            <w:tcW w:w="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153A2" w14:textId="77777777" w:rsidR="00427357" w:rsidRPr="006917DC" w:rsidRDefault="00427357" w:rsidP="004273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DengXian" w:hAnsi="Arial" w:cs="Arial"/>
                <w:szCs w:val="22"/>
              </w:rPr>
            </w:pPr>
            <w:r w:rsidRPr="006917DC">
              <w:rPr>
                <w:rFonts w:ascii="Arial" w:eastAsia="DengXian" w:hAnsi="Arial" w:cs="Arial"/>
                <w:szCs w:val="22"/>
              </w:rPr>
              <w:t>16</w:t>
            </w:r>
          </w:p>
        </w:tc>
      </w:tr>
    </w:tbl>
    <w:p w14:paraId="1B0C835D" w14:textId="77777777" w:rsidR="00427357" w:rsidRPr="006917DC" w:rsidRDefault="00427357" w:rsidP="00B87628">
      <w:pPr>
        <w:spacing w:line="480" w:lineRule="auto"/>
        <w:jc w:val="both"/>
        <w:rPr>
          <w:rFonts w:ascii="Arial" w:hAnsi="Arial" w:cs="Arial"/>
        </w:rPr>
      </w:pPr>
      <w:r w:rsidRPr="006917DC">
        <w:rPr>
          <w:rFonts w:ascii="Arial" w:hAnsi="Arial" w:cs="Arial"/>
        </w:rPr>
        <w:t>Normal means Control group (chronic cholecystis); PBM: pancreaticobiliary maljunction; GBC: Gallbladder Cancer; The distribution of patients with different HercepTest scores across the four groups.</w:t>
      </w:r>
    </w:p>
    <w:p w14:paraId="37072496" w14:textId="77777777" w:rsidR="00055290" w:rsidRPr="006917DC" w:rsidRDefault="00055290" w:rsidP="00427357">
      <w:pPr>
        <w:jc w:val="both"/>
        <w:rPr>
          <w:rFonts w:ascii="Arial" w:eastAsia="DengXian" w:hAnsi="Arial" w:cs="Arial"/>
          <w:sz w:val="22"/>
          <w:szCs w:val="22"/>
          <w:lang w:val="en-US" w:eastAsia="zh-CN"/>
        </w:rPr>
      </w:pPr>
    </w:p>
    <w:p w14:paraId="20322262" w14:textId="77777777" w:rsidR="00D93BF7" w:rsidRPr="006917DC" w:rsidRDefault="00D93BF7" w:rsidP="00427357">
      <w:pPr>
        <w:jc w:val="both"/>
        <w:rPr>
          <w:rFonts w:ascii="Arial" w:eastAsia="DengXian" w:hAnsi="Arial" w:cs="Arial"/>
          <w:sz w:val="22"/>
          <w:szCs w:val="22"/>
          <w:lang w:val="en-US" w:eastAsia="zh-CN"/>
        </w:rPr>
      </w:pPr>
    </w:p>
    <w:p w14:paraId="2FC65BEF" w14:textId="77777777" w:rsidR="00D93BF7" w:rsidRPr="006917DC" w:rsidRDefault="00D93BF7" w:rsidP="00B87628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210ABF22" w14:textId="77777777" w:rsidR="007A550F" w:rsidRPr="006917DC" w:rsidRDefault="007A550F">
      <w:pPr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br w:type="page"/>
      </w:r>
    </w:p>
    <w:p w14:paraId="38C9CC7A" w14:textId="67BB8C85" w:rsidR="00B00B8D" w:rsidRPr="006917DC" w:rsidRDefault="00B00B8D" w:rsidP="00B87628">
      <w:pPr>
        <w:spacing w:line="480" w:lineRule="auto"/>
        <w:jc w:val="both"/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t>Supplementary Table S2:</w:t>
      </w:r>
    </w:p>
    <w:p w14:paraId="5BB1EE99" w14:textId="3CC23BEA" w:rsidR="00B00B8D" w:rsidRPr="006917DC" w:rsidRDefault="00B00B8D" w:rsidP="00B87628">
      <w:pPr>
        <w:spacing w:line="480" w:lineRule="auto"/>
        <w:jc w:val="center"/>
        <w:rPr>
          <w:rFonts w:ascii="Arial" w:eastAsia="DengXian" w:hAnsi="Arial" w:cs="Arial"/>
          <w:sz w:val="22"/>
          <w:szCs w:val="22"/>
          <w:lang w:val="en-US" w:eastAsia="zh-CN"/>
        </w:rPr>
      </w:pPr>
      <w:r w:rsidRPr="006917DC">
        <w:rPr>
          <w:rFonts w:ascii="Arial" w:hAnsi="Arial" w:cs="Arial"/>
          <w:b/>
          <w:bCs/>
        </w:rPr>
        <w:t xml:space="preserve">Clinicopathological &amp; molecular characteristics of </w:t>
      </w:r>
      <w:r w:rsidR="008E24CF" w:rsidRPr="006917DC">
        <w:rPr>
          <w:rFonts w:ascii="Arial" w:hAnsi="Arial" w:cs="Arial"/>
          <w:b/>
          <w:bCs/>
        </w:rPr>
        <w:t>GBC with PBM</w:t>
      </w:r>
      <w:r w:rsidRPr="006917DC">
        <w:rPr>
          <w:rFonts w:ascii="Arial" w:hAnsi="Arial" w:cs="Arial"/>
          <w:b/>
          <w:bCs/>
        </w:rPr>
        <w:t xml:space="preserve"> patients</w:t>
      </w:r>
      <w:r w:rsidR="00A026DA" w:rsidRPr="006917DC">
        <w:rPr>
          <w:rFonts w:ascii="Arial" w:hAnsi="Arial" w:cs="Arial"/>
          <w:b/>
          <w:bCs/>
        </w:rPr>
        <w:t xml:space="preserve"> </w:t>
      </w:r>
      <w:r w:rsidR="00AD68A2" w:rsidRPr="006917DC">
        <w:rPr>
          <w:rFonts w:ascii="Arial" w:hAnsi="Arial" w:cs="Arial"/>
          <w:b/>
          <w:bCs/>
        </w:rPr>
        <w:t xml:space="preserve"> </w:t>
      </w:r>
      <w:r w:rsidR="00AD68A2" w:rsidRPr="006917DC">
        <w:rPr>
          <w:noProof/>
          <w:lang w:val="en-IN" w:eastAsia="en-IN"/>
        </w:rPr>
        <w:drawing>
          <wp:inline distT="0" distB="0" distL="0" distR="0" wp14:anchorId="0B96610C" wp14:editId="1C31D1F1">
            <wp:extent cx="6271260" cy="3127375"/>
            <wp:effectExtent l="0" t="0" r="2540" b="0"/>
            <wp:docPr id="1347155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58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B4C42" w14:textId="7979EA5E" w:rsidR="00B00B8D" w:rsidRPr="006917DC" w:rsidRDefault="00B00B8D" w:rsidP="00B87628">
      <w:pPr>
        <w:spacing w:line="480" w:lineRule="auto"/>
        <w:jc w:val="both"/>
        <w:rPr>
          <w:rFonts w:ascii="Arial" w:hAnsi="Arial" w:cs="Arial"/>
        </w:rPr>
      </w:pPr>
      <w:r w:rsidRPr="006917DC">
        <w:rPr>
          <w:rFonts w:ascii="Arial" w:hAnsi="Arial" w:cs="Arial"/>
        </w:rPr>
        <w:t xml:space="preserve">This table summarizes detailed clinicopathological data and molecular test results for the 16 patients classified as Group D in the present study. Variables include patient demographics, histological subtypes, TNM staging, and the results of HER2 immunohistochemistry (HercepTest), fluorescence in situ hybridization (FISH), and </w:t>
      </w:r>
      <w:r w:rsidRPr="006917DC">
        <w:rPr>
          <w:rFonts w:ascii="Arial" w:hAnsi="Arial" w:cs="Arial"/>
          <w:i/>
          <w:iCs/>
        </w:rPr>
        <w:t>ERBB2</w:t>
      </w:r>
      <w:r w:rsidRPr="006917DC">
        <w:rPr>
          <w:rFonts w:ascii="Arial" w:hAnsi="Arial" w:cs="Arial"/>
        </w:rPr>
        <w:t xml:space="preserve"> copy number alterations obtained by whole-exome sequencing (WES)</w:t>
      </w:r>
      <w:r w:rsidR="00F35B7F" w:rsidRPr="006917DC">
        <w:rPr>
          <w:rFonts w:ascii="Arial" w:hAnsi="Arial" w:cs="Arial"/>
        </w:rPr>
        <w:t>,</w:t>
      </w:r>
      <w:r w:rsidR="00E74256" w:rsidRPr="006917DC">
        <w:rPr>
          <w:rFonts w:ascii="Arial" w:hAnsi="Arial" w:cs="Arial"/>
        </w:rPr>
        <w:t xml:space="preserve"> </w:t>
      </w:r>
      <w:r w:rsidR="00E74256" w:rsidRPr="006917DC">
        <w:rPr>
          <w:rFonts w:ascii="Arial" w:hAnsi="Arial" w:cs="Arial"/>
          <w:vertAlign w:val="superscript"/>
        </w:rPr>
        <w:t>a</w:t>
      </w:r>
      <w:r w:rsidR="00E74256" w:rsidRPr="006917DC">
        <w:rPr>
          <w:rFonts w:ascii="Arial" w:hAnsi="Arial" w:cs="Arial"/>
        </w:rPr>
        <w:t xml:space="preserve">: </w:t>
      </w:r>
      <w:r w:rsidR="00F35B7F" w:rsidRPr="006917DC">
        <w:rPr>
          <w:rFonts w:ascii="Arial" w:hAnsi="Arial" w:cs="Arial"/>
        </w:rPr>
        <w:t xml:space="preserve">Fisher’s exact test, </w:t>
      </w:r>
      <w:r w:rsidR="00F35B7F" w:rsidRPr="006917DC">
        <w:rPr>
          <w:rFonts w:ascii="Arial" w:hAnsi="Arial" w:cs="Arial"/>
          <w:vertAlign w:val="superscript"/>
        </w:rPr>
        <w:t>b</w:t>
      </w:r>
      <w:r w:rsidR="00F35B7F" w:rsidRPr="006917DC">
        <w:rPr>
          <w:rFonts w:ascii="Arial" w:hAnsi="Arial" w:cs="Arial"/>
        </w:rPr>
        <w:t>: Kruskal–Wallis H test.</w:t>
      </w:r>
    </w:p>
    <w:p w14:paraId="3649504D" w14:textId="77777777" w:rsidR="00B00B8D" w:rsidRPr="006917DC" w:rsidRDefault="00B00B8D" w:rsidP="00B00B8D">
      <w:pPr>
        <w:jc w:val="both"/>
        <w:rPr>
          <w:rFonts w:ascii="Arial" w:eastAsia="DengXian" w:hAnsi="Arial" w:cs="Arial"/>
          <w:sz w:val="22"/>
          <w:szCs w:val="22"/>
          <w:lang w:val="en-US"/>
        </w:rPr>
      </w:pPr>
    </w:p>
    <w:p w14:paraId="4C813D23" w14:textId="77777777" w:rsidR="00055290" w:rsidRPr="006917DC" w:rsidRDefault="00055290" w:rsidP="00427357">
      <w:pPr>
        <w:jc w:val="both"/>
        <w:rPr>
          <w:rFonts w:ascii="Arial" w:eastAsia="DengXian" w:hAnsi="Arial" w:cs="Arial"/>
          <w:sz w:val="22"/>
          <w:szCs w:val="22"/>
          <w:lang w:val="en-US" w:eastAsia="zh-CN"/>
        </w:rPr>
      </w:pPr>
    </w:p>
    <w:p w14:paraId="1C8D8FDE" w14:textId="77777777" w:rsidR="00055290" w:rsidRPr="006917DC" w:rsidRDefault="00055290" w:rsidP="00427357">
      <w:pPr>
        <w:jc w:val="both"/>
        <w:rPr>
          <w:rFonts w:ascii="Arial" w:eastAsia="DengXian" w:hAnsi="Arial" w:cs="Arial"/>
          <w:sz w:val="22"/>
          <w:szCs w:val="22"/>
          <w:lang w:val="en-US"/>
        </w:rPr>
      </w:pPr>
    </w:p>
    <w:p w14:paraId="6DC86B39" w14:textId="77777777" w:rsidR="00055290" w:rsidRPr="006917DC" w:rsidRDefault="00055290" w:rsidP="00427357">
      <w:pPr>
        <w:jc w:val="both"/>
        <w:rPr>
          <w:rFonts w:ascii="Arial" w:eastAsia="DengXian" w:hAnsi="Arial" w:cs="Arial"/>
          <w:sz w:val="22"/>
          <w:szCs w:val="22"/>
          <w:lang w:val="en-US"/>
        </w:rPr>
      </w:pPr>
    </w:p>
    <w:p w14:paraId="21C02E11" w14:textId="77777777" w:rsidR="00055290" w:rsidRPr="006917DC" w:rsidRDefault="00055290" w:rsidP="00427357">
      <w:pPr>
        <w:jc w:val="both"/>
        <w:rPr>
          <w:rFonts w:ascii="Arial" w:eastAsia="DengXian" w:hAnsi="Arial" w:cs="Arial"/>
          <w:sz w:val="22"/>
          <w:szCs w:val="22"/>
          <w:lang w:val="en-US"/>
        </w:rPr>
      </w:pPr>
    </w:p>
    <w:p w14:paraId="6AE60B2B" w14:textId="039942C4" w:rsidR="00DA453D" w:rsidRPr="006917DC" w:rsidRDefault="00DA453D" w:rsidP="00427357">
      <w:pPr>
        <w:jc w:val="both"/>
        <w:rPr>
          <w:rFonts w:ascii="Arial" w:eastAsia="DengXian" w:hAnsi="Arial" w:cs="Arial"/>
          <w:sz w:val="22"/>
          <w:szCs w:val="22"/>
          <w:lang w:val="en-US"/>
        </w:rPr>
      </w:pPr>
      <w:r w:rsidRPr="006917DC">
        <w:rPr>
          <w:rFonts w:ascii="Arial" w:eastAsia="DengXian" w:hAnsi="Arial" w:cs="Arial"/>
          <w:sz w:val="22"/>
          <w:szCs w:val="22"/>
          <w:lang w:val="en-US"/>
        </w:rPr>
        <w:br w:type="page"/>
      </w:r>
    </w:p>
    <w:p w14:paraId="29A306C3" w14:textId="6A6BF5E8" w:rsidR="00055290" w:rsidRPr="006917DC" w:rsidRDefault="00DA453D" w:rsidP="00B87628">
      <w:pPr>
        <w:spacing w:line="480" w:lineRule="auto"/>
        <w:jc w:val="both"/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t>Supplementary Figure S1:</w:t>
      </w:r>
    </w:p>
    <w:p w14:paraId="64DE02A7" w14:textId="509D0C16" w:rsidR="00055290" w:rsidRPr="006917DC" w:rsidRDefault="00DA453D" w:rsidP="00427357">
      <w:pPr>
        <w:jc w:val="both"/>
        <w:rPr>
          <w:rFonts w:ascii="Arial" w:eastAsia="DengXian" w:hAnsi="Arial" w:cs="Arial"/>
          <w:sz w:val="22"/>
          <w:szCs w:val="22"/>
          <w:lang w:val="en-US"/>
        </w:rPr>
      </w:pPr>
      <w:r w:rsidRPr="006917DC">
        <w:rPr>
          <w:rFonts w:ascii="Arial" w:eastAsia="DengXian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33E596BD" wp14:editId="7E2188DA">
            <wp:extent cx="5930900" cy="6400800"/>
            <wp:effectExtent l="0" t="0" r="0" b="0"/>
            <wp:docPr id="184821933" name="图片 1" descr="图表, 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21933" name="图片 1" descr="图表, 图示, 示意图&#10;&#10;AI 生成的内容可能不正确。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27" b="23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640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E679C" w14:textId="17EF0000" w:rsidR="006C0331" w:rsidRPr="006917DC" w:rsidRDefault="006C0331" w:rsidP="006C0331">
      <w:pPr>
        <w:spacing w:line="480" w:lineRule="auto"/>
        <w:jc w:val="both"/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t xml:space="preserve">Figure S1: Comparison of somatic mutation enrichment and focal copynumber alterations in </w:t>
      </w:r>
      <w:r w:rsidR="008E24CF" w:rsidRPr="006917DC">
        <w:rPr>
          <w:rFonts w:ascii="Arial" w:hAnsi="Arial" w:cs="Arial"/>
          <w:b/>
          <w:bCs/>
        </w:rPr>
        <w:t>GBC with PBM</w:t>
      </w:r>
      <w:r w:rsidRPr="006917DC">
        <w:rPr>
          <w:rFonts w:ascii="Arial" w:hAnsi="Arial" w:cs="Arial"/>
          <w:b/>
          <w:bCs/>
        </w:rPr>
        <w:t xml:space="preserve"> versus a reference MSK cohort.</w:t>
      </w:r>
    </w:p>
    <w:p w14:paraId="6419AB81" w14:textId="69FE7D75" w:rsidR="006C0331" w:rsidRPr="006917DC" w:rsidRDefault="006C0331" w:rsidP="006C0331">
      <w:pPr>
        <w:spacing w:line="480" w:lineRule="auto"/>
        <w:jc w:val="both"/>
        <w:rPr>
          <w:rFonts w:ascii="Arial" w:hAnsi="Arial" w:cs="Arial"/>
        </w:rPr>
      </w:pPr>
      <w:r w:rsidRPr="006917DC">
        <w:rPr>
          <w:rFonts w:ascii="Arial" w:hAnsi="Arial" w:cs="Arial"/>
        </w:rPr>
        <w:t xml:space="preserve">(a) Forest plot of gene level mutation frequencies. For each gene, the mutation count in the MSK gallbladder cancer cohort (n = 237) and the </w:t>
      </w:r>
      <w:r w:rsidR="008E24CF" w:rsidRPr="006917DC">
        <w:rPr>
          <w:rFonts w:ascii="Arial" w:hAnsi="Arial" w:cs="Arial"/>
        </w:rPr>
        <w:t>GBC with PBM</w:t>
      </w:r>
      <w:r w:rsidRPr="006917DC">
        <w:rPr>
          <w:rFonts w:ascii="Arial" w:hAnsi="Arial" w:cs="Arial"/>
        </w:rPr>
        <w:t xml:space="preserve"> cohort (n = 16) is shown alongside the odds ratio (OR) with 95% confidence interval and associated P-value. Confidence intervals that extend beyond the x-axis are indicated by arrows; “Inf” denotes an infinite OR arising from zero events in the reference cohort. “NS” indicates a non significant P-value and “***” indicates P &lt; 0.001.</w:t>
      </w:r>
    </w:p>
    <w:p w14:paraId="5EE74EFB" w14:textId="0B1C2679" w:rsidR="006C0331" w:rsidRPr="006917DC" w:rsidRDefault="006C0331" w:rsidP="006C0331">
      <w:pPr>
        <w:spacing w:line="480" w:lineRule="auto"/>
        <w:jc w:val="both"/>
        <w:rPr>
          <w:rFonts w:ascii="Arial" w:hAnsi="Arial" w:cs="Arial"/>
          <w:lang w:eastAsia="ja-JP"/>
        </w:rPr>
      </w:pPr>
      <w:r w:rsidRPr="006917DC">
        <w:rPr>
          <w:rFonts w:ascii="Arial" w:hAnsi="Arial" w:cs="Arial"/>
        </w:rPr>
        <w:t xml:space="preserve">(b) Genome-wide GISTIC2.0 G-score plots of focal somatic copy-number alterations. The left panel displays G-scores for recurrent amplifications in </w:t>
      </w:r>
      <w:r w:rsidR="008E24CF" w:rsidRPr="006917DC">
        <w:rPr>
          <w:rFonts w:ascii="Arial" w:hAnsi="Arial" w:cs="Arial"/>
        </w:rPr>
        <w:t>GBC with PBM</w:t>
      </w:r>
      <w:r w:rsidRPr="006917DC">
        <w:rPr>
          <w:rFonts w:ascii="Arial" w:hAnsi="Arial" w:cs="Arial"/>
        </w:rPr>
        <w:t xml:space="preserve"> cohort (left side) compared with the MSK cohort (right side); the right panel shows recurrent deletions in </w:t>
      </w:r>
      <w:r w:rsidR="008E24CF" w:rsidRPr="006917DC">
        <w:rPr>
          <w:rFonts w:ascii="Arial" w:hAnsi="Arial" w:cs="Arial"/>
        </w:rPr>
        <w:t>GBC with PBM</w:t>
      </w:r>
      <w:r w:rsidRPr="006917DC">
        <w:rPr>
          <w:rFonts w:ascii="Arial" w:hAnsi="Arial" w:cs="Arial"/>
        </w:rPr>
        <w:t xml:space="preserve"> (left side) versus MSK (right side). Prominent peaks are annotated by cytogenetic band.</w:t>
      </w:r>
    </w:p>
    <w:p w14:paraId="6ACDDF61" w14:textId="77777777" w:rsidR="006C0331" w:rsidRPr="006917DC" w:rsidRDefault="006C0331" w:rsidP="006C0331">
      <w:pPr>
        <w:spacing w:line="480" w:lineRule="auto"/>
        <w:jc w:val="both"/>
        <w:rPr>
          <w:rFonts w:ascii="Arial" w:hAnsi="Arial" w:cs="Arial"/>
        </w:rPr>
      </w:pPr>
      <w:r w:rsidRPr="006917DC">
        <w:rPr>
          <w:rFonts w:ascii="Arial" w:hAnsi="Arial" w:cs="Arial"/>
        </w:rPr>
        <w:t>All panels were generated using the maftools package.</w:t>
      </w:r>
    </w:p>
    <w:p w14:paraId="0E6E259A" w14:textId="77777777" w:rsidR="006917DC" w:rsidRPr="006917DC" w:rsidRDefault="006917DC" w:rsidP="006917DC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6917DC">
        <w:rPr>
          <w:rFonts w:ascii="Arial" w:hAnsi="Arial" w:cs="Arial"/>
          <w:color w:val="000000" w:themeColor="text1"/>
        </w:rPr>
        <w:t xml:space="preserve">GBC: gallbladder cancer; PBM: pancreaticobiliary maljunction; MSK, </w:t>
      </w:r>
      <w:r w:rsidRPr="006917DC">
        <w:rPr>
          <w:rFonts w:ascii="Arial" w:hAnsi="Arial" w:cs="Arial"/>
          <w:color w:val="000000" w:themeColor="text1"/>
          <w:lang w:eastAsia="ja-JP"/>
        </w:rPr>
        <w:t>Memorial Sloan Kettering</w:t>
      </w:r>
    </w:p>
    <w:p w14:paraId="35878660" w14:textId="77777777" w:rsidR="006C0331" w:rsidRPr="006917DC" w:rsidRDefault="006C0331" w:rsidP="006C0331">
      <w:pPr>
        <w:spacing w:line="480" w:lineRule="auto"/>
        <w:jc w:val="both"/>
        <w:rPr>
          <w:rFonts w:ascii="Arial" w:hAnsi="Arial" w:cs="Arial"/>
        </w:rPr>
      </w:pPr>
    </w:p>
    <w:p w14:paraId="2318D7D1" w14:textId="77777777" w:rsidR="00CF7F58" w:rsidRPr="006917DC" w:rsidRDefault="00CF7F58">
      <w:pPr>
        <w:rPr>
          <w:rFonts w:ascii="Arial" w:hAnsi="Arial" w:cs="Arial"/>
          <w:b/>
          <w:bCs/>
        </w:rPr>
      </w:pPr>
      <w:r w:rsidRPr="006917DC">
        <w:rPr>
          <w:rFonts w:ascii="Arial" w:hAnsi="Arial" w:cs="Arial"/>
          <w:b/>
          <w:bCs/>
        </w:rPr>
        <w:br w:type="page"/>
      </w:r>
    </w:p>
    <w:p w14:paraId="510FE8F5" w14:textId="19B3D5AC" w:rsidR="006E3FCE" w:rsidRPr="006917DC" w:rsidRDefault="0052061E" w:rsidP="00B87628">
      <w:pPr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6917DC">
        <w:rPr>
          <w:rFonts w:ascii="Arial" w:hAnsi="Arial" w:cs="Arial"/>
          <w:b/>
          <w:bCs/>
        </w:rPr>
        <w:t xml:space="preserve">Supplementary Figure </w:t>
      </w:r>
      <w:r w:rsidR="00055290" w:rsidRPr="006917DC">
        <w:rPr>
          <w:rFonts w:ascii="Arial" w:hAnsi="Arial" w:cs="Arial"/>
          <w:b/>
          <w:bCs/>
        </w:rPr>
        <w:t>S</w:t>
      </w:r>
      <w:r w:rsidR="00DA453D" w:rsidRPr="006917DC">
        <w:rPr>
          <w:rFonts w:ascii="Arial" w:hAnsi="Arial" w:cs="Arial"/>
          <w:b/>
          <w:bCs/>
        </w:rPr>
        <w:t>2</w:t>
      </w:r>
      <w:r w:rsidRPr="006917DC">
        <w:rPr>
          <w:rFonts w:ascii="Arial" w:hAnsi="Arial" w:cs="Arial"/>
          <w:b/>
          <w:bCs/>
        </w:rPr>
        <w:t xml:space="preserve">: </w:t>
      </w:r>
      <w:r w:rsidR="00211C0F" w:rsidRPr="006917DC">
        <w:rPr>
          <w:rFonts w:ascii="Arial" w:hAnsi="Arial" w:cs="Arial"/>
          <w:b/>
          <w:bCs/>
          <w:noProof/>
          <w:sz w:val="22"/>
          <w:szCs w:val="22"/>
          <w:lang w:val="en-IN" w:eastAsia="en-IN"/>
        </w:rPr>
        <w:drawing>
          <wp:inline distT="0" distB="0" distL="0" distR="0" wp14:anchorId="7F2088DA" wp14:editId="3F674592">
            <wp:extent cx="6268085" cy="2725255"/>
            <wp:effectExtent l="0" t="0" r="0" b="5715"/>
            <wp:docPr id="15114625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462510" name="图片 15114625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2199" cy="276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15BCE" w14:textId="4C2CEF17" w:rsidR="006C0331" w:rsidRPr="006917DC" w:rsidRDefault="006C0331" w:rsidP="006C0331">
      <w:pPr>
        <w:spacing w:line="480" w:lineRule="auto"/>
        <w:jc w:val="both"/>
        <w:rPr>
          <w:rFonts w:ascii="Arial" w:hAnsi="Arial" w:cs="Arial"/>
        </w:rPr>
      </w:pPr>
      <w:r w:rsidRPr="006917DC">
        <w:rPr>
          <w:rFonts w:ascii="Arial" w:hAnsi="Arial" w:cs="Arial"/>
          <w:b/>
          <w:bCs/>
        </w:rPr>
        <w:t xml:space="preserve">Figure S2: Representative HER2 fluorescence in situ hybridization (FISH) assay images of tissues in the </w:t>
      </w:r>
      <w:r w:rsidR="008E24CF" w:rsidRPr="006917DC">
        <w:rPr>
          <w:rFonts w:ascii="Arial" w:hAnsi="Arial" w:cs="Arial"/>
          <w:b/>
          <w:bCs/>
        </w:rPr>
        <w:t>GBC with PBM</w:t>
      </w:r>
      <w:r w:rsidRPr="006917DC">
        <w:rPr>
          <w:rFonts w:ascii="Arial" w:hAnsi="Arial" w:cs="Arial"/>
          <w:b/>
          <w:bCs/>
        </w:rPr>
        <w:t xml:space="preserve"> group.</w:t>
      </w:r>
      <w:r w:rsidRPr="006917DC">
        <w:rPr>
          <w:rFonts w:ascii="Arial" w:hAnsi="Arial" w:cs="Arial"/>
        </w:rPr>
        <w:t xml:space="preserve"> Red signals represent the HER2 gene (</w:t>
      </w:r>
      <w:r w:rsidRPr="006917DC">
        <w:rPr>
          <w:rFonts w:ascii="Arial" w:hAnsi="Arial" w:cs="Arial"/>
          <w:i/>
          <w:iCs/>
        </w:rPr>
        <w:t>ERBB2</w:t>
      </w:r>
      <w:r w:rsidRPr="006917DC">
        <w:rPr>
          <w:rFonts w:ascii="Arial" w:hAnsi="Arial" w:cs="Arial"/>
        </w:rPr>
        <w:t>) locus. Green signals represent the centromere of chromosome 17 (CEP17), which serves as a reference control. Blue background represents the DAPI-stained nuclei.</w:t>
      </w:r>
    </w:p>
    <w:p w14:paraId="2773F48A" w14:textId="77777777" w:rsidR="006917DC" w:rsidRPr="00E5070A" w:rsidRDefault="006917DC" w:rsidP="006917DC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6917DC">
        <w:rPr>
          <w:rFonts w:ascii="Arial" w:hAnsi="Arial" w:cs="Arial"/>
          <w:color w:val="000000" w:themeColor="text1"/>
        </w:rPr>
        <w:t>GBC: gallbladder cancer; PBM: pancreaticobiliary maljunction; HER2: human epidermal growth factor receptor 2;</w:t>
      </w:r>
      <w:r w:rsidRPr="006917DC">
        <w:rPr>
          <w:rFonts w:ascii="Arial" w:hAnsi="Arial" w:cs="Arial"/>
          <w:i/>
          <w:iCs/>
          <w:color w:val="000000" w:themeColor="text1"/>
        </w:rPr>
        <w:t xml:space="preserve"> ERBB2</w:t>
      </w:r>
      <w:r w:rsidRPr="006917DC">
        <w:rPr>
          <w:rFonts w:ascii="Arial" w:hAnsi="Arial" w:cs="Arial"/>
          <w:color w:val="000000" w:themeColor="text1"/>
        </w:rPr>
        <w:t>: erb-b2 receptor tyrosine kinase 2; DAPI, 4′,6-diamidino-2-phenylindole</w:t>
      </w:r>
      <w:bookmarkStart w:id="0" w:name="_GoBack"/>
      <w:bookmarkEnd w:id="0"/>
    </w:p>
    <w:p w14:paraId="7A8A51E0" w14:textId="77777777" w:rsidR="006917DC" w:rsidRPr="003F71FA" w:rsidRDefault="006917DC" w:rsidP="006C0331">
      <w:pPr>
        <w:spacing w:line="480" w:lineRule="auto"/>
        <w:jc w:val="both"/>
        <w:rPr>
          <w:rFonts w:ascii="Arial" w:hAnsi="Arial" w:cs="Arial"/>
        </w:rPr>
      </w:pPr>
    </w:p>
    <w:p w14:paraId="25EAAC67" w14:textId="4E786016" w:rsidR="0052061E" w:rsidRPr="00A9439C" w:rsidRDefault="0052061E" w:rsidP="006E3FCE">
      <w:pPr>
        <w:rPr>
          <w:rFonts w:ascii="Arial" w:hAnsi="Arial" w:cs="Arial"/>
          <w:sz w:val="22"/>
          <w:szCs w:val="22"/>
          <w:lang w:val="en-US"/>
        </w:rPr>
      </w:pPr>
    </w:p>
    <w:sectPr w:rsidR="0052061E" w:rsidRPr="00A9439C" w:rsidSect="006917DC">
      <w:footerReference w:type="even" r:id="rId11"/>
      <w:footerReference w:type="default" r:id="rId12"/>
      <w:pgSz w:w="11906" w:h="16838"/>
      <w:pgMar w:top="1440" w:right="1015" w:bottom="1440" w:left="101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9E9C8" w14:textId="77777777" w:rsidR="00F11048" w:rsidRDefault="00F11048" w:rsidP="0073633C">
      <w:r>
        <w:separator/>
      </w:r>
    </w:p>
  </w:endnote>
  <w:endnote w:type="continuationSeparator" w:id="0">
    <w:p w14:paraId="77ACDEF3" w14:textId="77777777" w:rsidR="00F11048" w:rsidRDefault="00F11048" w:rsidP="0073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2902677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B3C511" w14:textId="6B5A6662" w:rsidR="0049724B" w:rsidRDefault="0049724B" w:rsidP="00B20B3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51E464" w14:textId="77777777" w:rsidR="0049724B" w:rsidRDefault="0049724B" w:rsidP="0073633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4451887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9E22EA" w14:textId="0760A78C" w:rsidR="0049724B" w:rsidRDefault="0049724B" w:rsidP="00B20B3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58D2"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7192DFBC" w14:textId="77777777" w:rsidR="0049724B" w:rsidRDefault="0049724B" w:rsidP="0073633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87E45" w14:textId="77777777" w:rsidR="00F11048" w:rsidRDefault="00F11048" w:rsidP="0073633C">
      <w:r>
        <w:separator/>
      </w:r>
    </w:p>
  </w:footnote>
  <w:footnote w:type="continuationSeparator" w:id="0">
    <w:p w14:paraId="6E63E25D" w14:textId="77777777" w:rsidR="00F11048" w:rsidRDefault="00F11048" w:rsidP="00736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67315"/>
    <w:multiLevelType w:val="hybridMultilevel"/>
    <w:tmpl w:val="116EE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33A59"/>
    <w:multiLevelType w:val="hybridMultilevel"/>
    <w:tmpl w:val="4D0665DA"/>
    <w:lvl w:ilvl="0" w:tplc="6204C6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720"/>
  <w:hyphenationZone w:val="28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70"/>
    <w:rsid w:val="00003608"/>
    <w:rsid w:val="00014489"/>
    <w:rsid w:val="000458C0"/>
    <w:rsid w:val="00055290"/>
    <w:rsid w:val="00083A4A"/>
    <w:rsid w:val="00097D47"/>
    <w:rsid w:val="000A20E9"/>
    <w:rsid w:val="000D3849"/>
    <w:rsid w:val="00106F29"/>
    <w:rsid w:val="0012077C"/>
    <w:rsid w:val="001331C0"/>
    <w:rsid w:val="0014342B"/>
    <w:rsid w:val="00150A72"/>
    <w:rsid w:val="00151172"/>
    <w:rsid w:val="00166F29"/>
    <w:rsid w:val="00172010"/>
    <w:rsid w:val="00180DDE"/>
    <w:rsid w:val="00181783"/>
    <w:rsid w:val="00197B74"/>
    <w:rsid w:val="001C1B66"/>
    <w:rsid w:val="001F47C8"/>
    <w:rsid w:val="00211C0F"/>
    <w:rsid w:val="002177E0"/>
    <w:rsid w:val="00220515"/>
    <w:rsid w:val="00226591"/>
    <w:rsid w:val="00226BA6"/>
    <w:rsid w:val="00230B86"/>
    <w:rsid w:val="00262812"/>
    <w:rsid w:val="002746B0"/>
    <w:rsid w:val="0027752A"/>
    <w:rsid w:val="002837F7"/>
    <w:rsid w:val="002B57D2"/>
    <w:rsid w:val="002B58D2"/>
    <w:rsid w:val="002C2B1D"/>
    <w:rsid w:val="002C6388"/>
    <w:rsid w:val="002D6814"/>
    <w:rsid w:val="002F5710"/>
    <w:rsid w:val="00333333"/>
    <w:rsid w:val="0033381E"/>
    <w:rsid w:val="003765BC"/>
    <w:rsid w:val="003855F9"/>
    <w:rsid w:val="00396788"/>
    <w:rsid w:val="003B40DC"/>
    <w:rsid w:val="003C45EF"/>
    <w:rsid w:val="003D5299"/>
    <w:rsid w:val="003D7562"/>
    <w:rsid w:val="003E03E3"/>
    <w:rsid w:val="003F0AB8"/>
    <w:rsid w:val="003F59DC"/>
    <w:rsid w:val="00410092"/>
    <w:rsid w:val="0041782B"/>
    <w:rsid w:val="00421612"/>
    <w:rsid w:val="0042322F"/>
    <w:rsid w:val="00427357"/>
    <w:rsid w:val="00451A39"/>
    <w:rsid w:val="00455904"/>
    <w:rsid w:val="00462F61"/>
    <w:rsid w:val="00463BA4"/>
    <w:rsid w:val="0046713F"/>
    <w:rsid w:val="0047488A"/>
    <w:rsid w:val="0048489D"/>
    <w:rsid w:val="0049724B"/>
    <w:rsid w:val="004D0A54"/>
    <w:rsid w:val="004E0C60"/>
    <w:rsid w:val="004E4876"/>
    <w:rsid w:val="005006D5"/>
    <w:rsid w:val="0052061E"/>
    <w:rsid w:val="0052202A"/>
    <w:rsid w:val="00525501"/>
    <w:rsid w:val="00536261"/>
    <w:rsid w:val="005460AE"/>
    <w:rsid w:val="005471CA"/>
    <w:rsid w:val="005532CF"/>
    <w:rsid w:val="00562A28"/>
    <w:rsid w:val="00567131"/>
    <w:rsid w:val="005B0639"/>
    <w:rsid w:val="005B48E2"/>
    <w:rsid w:val="005E335C"/>
    <w:rsid w:val="005F63E1"/>
    <w:rsid w:val="006407ED"/>
    <w:rsid w:val="00661FF7"/>
    <w:rsid w:val="00675020"/>
    <w:rsid w:val="006758E8"/>
    <w:rsid w:val="00677EDA"/>
    <w:rsid w:val="006917DC"/>
    <w:rsid w:val="006932FE"/>
    <w:rsid w:val="006975F5"/>
    <w:rsid w:val="006A1F9F"/>
    <w:rsid w:val="006A4ADA"/>
    <w:rsid w:val="006A69CC"/>
    <w:rsid w:val="006C0331"/>
    <w:rsid w:val="006E3FCE"/>
    <w:rsid w:val="006F4EA4"/>
    <w:rsid w:val="006F55AB"/>
    <w:rsid w:val="00700193"/>
    <w:rsid w:val="00715470"/>
    <w:rsid w:val="007173D9"/>
    <w:rsid w:val="00722B4C"/>
    <w:rsid w:val="007357B8"/>
    <w:rsid w:val="0073633C"/>
    <w:rsid w:val="0074022E"/>
    <w:rsid w:val="0076101F"/>
    <w:rsid w:val="00763FA8"/>
    <w:rsid w:val="00764AB0"/>
    <w:rsid w:val="00765364"/>
    <w:rsid w:val="007677E1"/>
    <w:rsid w:val="00772374"/>
    <w:rsid w:val="00784907"/>
    <w:rsid w:val="007A0EAC"/>
    <w:rsid w:val="007A550F"/>
    <w:rsid w:val="007D5290"/>
    <w:rsid w:val="007D6929"/>
    <w:rsid w:val="008101FE"/>
    <w:rsid w:val="00811DFE"/>
    <w:rsid w:val="00820F78"/>
    <w:rsid w:val="008404CF"/>
    <w:rsid w:val="008518FA"/>
    <w:rsid w:val="008615B6"/>
    <w:rsid w:val="00862305"/>
    <w:rsid w:val="00866636"/>
    <w:rsid w:val="0087497B"/>
    <w:rsid w:val="0088216A"/>
    <w:rsid w:val="008856AE"/>
    <w:rsid w:val="00890636"/>
    <w:rsid w:val="008A26E1"/>
    <w:rsid w:val="008A4307"/>
    <w:rsid w:val="008A784A"/>
    <w:rsid w:val="008D0A98"/>
    <w:rsid w:val="008D76F8"/>
    <w:rsid w:val="008E24CF"/>
    <w:rsid w:val="008E47A5"/>
    <w:rsid w:val="008E6BBE"/>
    <w:rsid w:val="008E6C5A"/>
    <w:rsid w:val="009455F0"/>
    <w:rsid w:val="009564DE"/>
    <w:rsid w:val="00960ECB"/>
    <w:rsid w:val="00965B4D"/>
    <w:rsid w:val="00971FD0"/>
    <w:rsid w:val="009804EA"/>
    <w:rsid w:val="009824A8"/>
    <w:rsid w:val="00990A47"/>
    <w:rsid w:val="009D42A7"/>
    <w:rsid w:val="00A026DA"/>
    <w:rsid w:val="00A04F3A"/>
    <w:rsid w:val="00A050C3"/>
    <w:rsid w:val="00A079E0"/>
    <w:rsid w:val="00A105FD"/>
    <w:rsid w:val="00A10F92"/>
    <w:rsid w:val="00A26C58"/>
    <w:rsid w:val="00A42E2F"/>
    <w:rsid w:val="00A50934"/>
    <w:rsid w:val="00A52EDE"/>
    <w:rsid w:val="00A65B53"/>
    <w:rsid w:val="00A870C7"/>
    <w:rsid w:val="00A90676"/>
    <w:rsid w:val="00A9439C"/>
    <w:rsid w:val="00AA260D"/>
    <w:rsid w:val="00AC4975"/>
    <w:rsid w:val="00AD50B4"/>
    <w:rsid w:val="00AD68A2"/>
    <w:rsid w:val="00AE2C56"/>
    <w:rsid w:val="00AE7397"/>
    <w:rsid w:val="00B00B8D"/>
    <w:rsid w:val="00B0258C"/>
    <w:rsid w:val="00B07CF2"/>
    <w:rsid w:val="00B10387"/>
    <w:rsid w:val="00B11347"/>
    <w:rsid w:val="00B12ADF"/>
    <w:rsid w:val="00B20B36"/>
    <w:rsid w:val="00B2478A"/>
    <w:rsid w:val="00B24A5D"/>
    <w:rsid w:val="00B27529"/>
    <w:rsid w:val="00B31308"/>
    <w:rsid w:val="00B50508"/>
    <w:rsid w:val="00B52062"/>
    <w:rsid w:val="00B64D09"/>
    <w:rsid w:val="00B74171"/>
    <w:rsid w:val="00B81F51"/>
    <w:rsid w:val="00B84732"/>
    <w:rsid w:val="00B87628"/>
    <w:rsid w:val="00B978BD"/>
    <w:rsid w:val="00BA555E"/>
    <w:rsid w:val="00BA5610"/>
    <w:rsid w:val="00BA67BD"/>
    <w:rsid w:val="00BB3547"/>
    <w:rsid w:val="00BC1C35"/>
    <w:rsid w:val="00BE2AA5"/>
    <w:rsid w:val="00BE5B33"/>
    <w:rsid w:val="00BE61B6"/>
    <w:rsid w:val="00BF22E9"/>
    <w:rsid w:val="00C00960"/>
    <w:rsid w:val="00C153D2"/>
    <w:rsid w:val="00C1679A"/>
    <w:rsid w:val="00C31116"/>
    <w:rsid w:val="00C37C3E"/>
    <w:rsid w:val="00C833A3"/>
    <w:rsid w:val="00C927A3"/>
    <w:rsid w:val="00C97ABC"/>
    <w:rsid w:val="00CC7F5A"/>
    <w:rsid w:val="00CF5916"/>
    <w:rsid w:val="00CF7F58"/>
    <w:rsid w:val="00D05C84"/>
    <w:rsid w:val="00D21C9B"/>
    <w:rsid w:val="00D2496A"/>
    <w:rsid w:val="00D31C0D"/>
    <w:rsid w:val="00D40CFD"/>
    <w:rsid w:val="00D53AED"/>
    <w:rsid w:val="00D556E6"/>
    <w:rsid w:val="00D70EFF"/>
    <w:rsid w:val="00D774EE"/>
    <w:rsid w:val="00D93BF7"/>
    <w:rsid w:val="00D94ABE"/>
    <w:rsid w:val="00DA453D"/>
    <w:rsid w:val="00E01251"/>
    <w:rsid w:val="00E34550"/>
    <w:rsid w:val="00E566DB"/>
    <w:rsid w:val="00E568DA"/>
    <w:rsid w:val="00E7177E"/>
    <w:rsid w:val="00E7411C"/>
    <w:rsid w:val="00E74256"/>
    <w:rsid w:val="00E74699"/>
    <w:rsid w:val="00E81DC4"/>
    <w:rsid w:val="00E93849"/>
    <w:rsid w:val="00EA535F"/>
    <w:rsid w:val="00EA68D9"/>
    <w:rsid w:val="00EA6A84"/>
    <w:rsid w:val="00EB647D"/>
    <w:rsid w:val="00EB6DCD"/>
    <w:rsid w:val="00EC7F89"/>
    <w:rsid w:val="00ED3D71"/>
    <w:rsid w:val="00EF1CBB"/>
    <w:rsid w:val="00EF1EAB"/>
    <w:rsid w:val="00EF7150"/>
    <w:rsid w:val="00F01C29"/>
    <w:rsid w:val="00F0403A"/>
    <w:rsid w:val="00F11048"/>
    <w:rsid w:val="00F15C84"/>
    <w:rsid w:val="00F35B7F"/>
    <w:rsid w:val="00F51A6D"/>
    <w:rsid w:val="00F57E4B"/>
    <w:rsid w:val="00F87A59"/>
    <w:rsid w:val="00FA083B"/>
    <w:rsid w:val="00FA2403"/>
    <w:rsid w:val="00FA4A5E"/>
    <w:rsid w:val="00FA6FF5"/>
    <w:rsid w:val="00FC095D"/>
    <w:rsid w:val="00FD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E9E01"/>
  <w15:chartTrackingRefBased/>
  <w15:docId w15:val="{AA829D26-7A3F-5540-83A5-A4F92554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6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33C"/>
  </w:style>
  <w:style w:type="character" w:styleId="PageNumber">
    <w:name w:val="page number"/>
    <w:basedOn w:val="DefaultParagraphFont"/>
    <w:uiPriority w:val="99"/>
    <w:semiHidden/>
    <w:unhideWhenUsed/>
    <w:rsid w:val="0073633C"/>
  </w:style>
  <w:style w:type="paragraph" w:styleId="ListParagraph">
    <w:name w:val="List Paragraph"/>
    <w:basedOn w:val="Normal"/>
    <w:uiPriority w:val="34"/>
    <w:qFormat/>
    <w:rsid w:val="00396788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3967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5B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07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7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07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7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7ED"/>
    <w:rPr>
      <w:b/>
      <w:bCs/>
      <w:sz w:val="20"/>
      <w:szCs w:val="20"/>
    </w:rPr>
  </w:style>
  <w:style w:type="paragraph" w:styleId="NoSpacing">
    <w:name w:val="No Spacing"/>
    <w:uiPriority w:val="1"/>
    <w:qFormat/>
    <w:rsid w:val="00722B4C"/>
  </w:style>
  <w:style w:type="table" w:styleId="GridTable3">
    <w:name w:val="Grid Table 3"/>
    <w:basedOn w:val="TableNormal"/>
    <w:uiPriority w:val="48"/>
    <w:rsid w:val="008404C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">
    <w:name w:val="Grid Table 7 Colorful"/>
    <w:basedOn w:val="TableNormal"/>
    <w:uiPriority w:val="52"/>
    <w:rsid w:val="003F59D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2">
    <w:name w:val="Plain Table 2"/>
    <w:basedOn w:val="TableNormal"/>
    <w:uiPriority w:val="42"/>
    <w:rsid w:val="001F47C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837F7"/>
    <w:rPr>
      <w:color w:val="0563C1" w:themeColor="hyperlink"/>
      <w:u w:val="single"/>
    </w:rPr>
  </w:style>
  <w:style w:type="table" w:styleId="GridTable5Dark-Accent3">
    <w:name w:val="Grid Table 5 Dark Accent 3"/>
    <w:basedOn w:val="TableNormal"/>
    <w:uiPriority w:val="50"/>
    <w:rsid w:val="002837F7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apple-converted-space">
    <w:name w:val="apple-converted-space"/>
    <w:basedOn w:val="DefaultParagraphFont"/>
    <w:rsid w:val="002837F7"/>
  </w:style>
  <w:style w:type="paragraph" w:styleId="BalloonText">
    <w:name w:val="Balloon Text"/>
    <w:basedOn w:val="Normal"/>
    <w:link w:val="BalloonTextChar"/>
    <w:uiPriority w:val="99"/>
    <w:semiHidden/>
    <w:unhideWhenUsed/>
    <w:rsid w:val="00E746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4EA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4EA4"/>
  </w:style>
  <w:style w:type="table" w:styleId="GridTable2">
    <w:name w:val="Grid Table 2"/>
    <w:basedOn w:val="TableNormal"/>
    <w:uiPriority w:val="47"/>
    <w:rsid w:val="00150A72"/>
    <w:rPr>
      <w:kern w:val="2"/>
      <w:sz w:val="22"/>
      <w:lang w:val="en-US" w:eastAsia="zh-CN"/>
      <w14:ligatures w14:val="standardContextual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">
    <w:name w:val="网格表 21"/>
    <w:basedOn w:val="TableNormal"/>
    <w:next w:val="GridTable2"/>
    <w:uiPriority w:val="47"/>
    <w:rsid w:val="008A4307"/>
    <w:rPr>
      <w:kern w:val="2"/>
      <w:sz w:val="22"/>
      <w:lang w:val="en-US" w:eastAsia="zh-CN"/>
      <w14:ligatures w14:val="standardContextu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Revision">
    <w:name w:val="Revision"/>
    <w:hidden/>
    <w:uiPriority w:val="99"/>
    <w:semiHidden/>
    <w:rsid w:val="00B00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isuke.douchi.e6@tohoku.ac.jp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Lorenzon</dc:creator>
  <cp:keywords/>
  <dc:description/>
  <cp:lastModifiedBy>Swetha Pandiyan</cp:lastModifiedBy>
  <cp:revision>17</cp:revision>
  <cp:lastPrinted>2025-08-10T12:11:00Z</cp:lastPrinted>
  <dcterms:created xsi:type="dcterms:W3CDTF">2025-08-10T12:11:00Z</dcterms:created>
  <dcterms:modified xsi:type="dcterms:W3CDTF">2025-09-30T03:51:00Z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2022-06-27T13:25:36Z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1f9d2863-bbf9-4942-adae-e903809cef95</vt:lpwstr>
  </property>
  <property fmtid="{D5CDD505-2E9C-101B-9397-08002B2CF9AE}" pid="8" name="MSIP_Label_be5cb09a-2992-49d6-8ac9-5f63e7b1ad2f_ContentBits">
    <vt:lpwstr>0</vt:lpwstr>
  </property>
</Properties>
</file>