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25718" w14:textId="182418E0" w:rsidR="00AF6424" w:rsidRPr="00A70C96" w:rsidRDefault="00AF6424" w:rsidP="00AF6424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A70C96">
        <w:rPr>
          <w:rFonts w:ascii="Times New Roman" w:hAnsi="Times New Roman" w:cs="Times New Roman"/>
          <w:b/>
          <w:bCs/>
          <w:sz w:val="24"/>
        </w:rPr>
        <w:t>Supplementary Table 1. Incidence rates of newly developed BE ≥1 cm and BE ≥2 cm according to follow-up duration.</w:t>
      </w:r>
    </w:p>
    <w:tbl>
      <w:tblPr>
        <w:tblW w:w="1202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24"/>
        <w:gridCol w:w="2166"/>
        <w:gridCol w:w="1510"/>
        <w:gridCol w:w="1510"/>
        <w:gridCol w:w="1339"/>
        <w:gridCol w:w="2166"/>
        <w:gridCol w:w="1510"/>
      </w:tblGrid>
      <w:tr w:rsidR="00A70C96" w:rsidRPr="00A70C96" w14:paraId="1C460562" w14:textId="77777777" w:rsidTr="00AF6424">
        <w:trPr>
          <w:trHeight w:val="525"/>
        </w:trPr>
        <w:tc>
          <w:tcPr>
            <w:tcW w:w="18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434A25" w14:textId="77777777" w:rsidR="00AF6424" w:rsidRPr="00A70C96" w:rsidRDefault="00AF6424" w:rsidP="00AF6424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Outcome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805A51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Follow-up duration (years)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1585FB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i/>
                <w:i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i/>
                <w:iCs/>
                <w:kern w:val="0"/>
                <w:sz w:val="24"/>
                <w14:ligatures w14:val="none"/>
              </w:rPr>
              <w:t>n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C1BCA3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Events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6E7381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PY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E1ECDB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Incidence</w:t>
            </w:r>
          </w:p>
          <w:p w14:paraId="11522835" w14:textId="6BFCD0C4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(per 1000 PY)</w:t>
            </w:r>
            <w:bookmarkStart w:id="0" w:name="_GoBack"/>
            <w:bookmarkEnd w:id="0"/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DD34F9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i/>
                <w:iCs/>
                <w:kern w:val="0"/>
                <w:sz w:val="24"/>
                <w14:ligatures w14:val="none"/>
              </w:rPr>
              <w:t>p</w:t>
            </w: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-value</w:t>
            </w:r>
          </w:p>
        </w:tc>
      </w:tr>
      <w:tr w:rsidR="00A70C96" w:rsidRPr="00A70C96" w14:paraId="2B671048" w14:textId="77777777" w:rsidTr="00AF6424">
        <w:trPr>
          <w:trHeight w:val="342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93AAC" w14:textId="77777777" w:rsidR="00AF6424" w:rsidRPr="00A70C96" w:rsidRDefault="00AF6424" w:rsidP="00AF6424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BE ≥1 cm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CA98F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&lt;5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19AF4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1971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271D5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86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5E77F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5803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EDB4A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14.8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F6BCB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A70C96" w:rsidRPr="00A70C96" w14:paraId="46DC7D97" w14:textId="77777777" w:rsidTr="00AF6424">
        <w:trPr>
          <w:trHeight w:val="342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86336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2EC48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5–&lt;10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F3B94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4698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D8A28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238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A283B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37819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6111C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6.29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B496C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5865AADA" w14:textId="77777777" w:rsidTr="00AF6424">
        <w:trPr>
          <w:trHeight w:val="342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ADD07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E20D8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≥10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EED5D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2303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4DC08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113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9F12E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24131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6361E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4.68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716E2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3199AEEA" w14:textId="77777777" w:rsidTr="00AF6424">
        <w:trPr>
          <w:trHeight w:val="342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8435D" w14:textId="77777777" w:rsidR="00AF6424" w:rsidRPr="00A70C96" w:rsidRDefault="00AF6424" w:rsidP="00AF6424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BE ≥2 cm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D1C48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&lt;5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2B34C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2119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54CD7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1B2F6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6243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B85EB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1.92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D808F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A70C96" w:rsidRPr="00A70C96" w14:paraId="7B7A187D" w14:textId="77777777" w:rsidTr="00AF6424">
        <w:trPr>
          <w:trHeight w:val="342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80CFD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738C6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5–&lt;10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9EF4D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5010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E41FA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53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5E7F7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40410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0C7E6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1.31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17BE0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2CCEC3D2" w14:textId="77777777" w:rsidTr="00AF6424">
        <w:trPr>
          <w:trHeight w:val="342"/>
        </w:trPr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0A64A1" w14:textId="77777777" w:rsidR="00AF6424" w:rsidRPr="00A70C96" w:rsidRDefault="00AF6424" w:rsidP="00AF6424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C339A6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≥10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8761E3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2539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C2E700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24EB48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26589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62DB6F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0.53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890698" w14:textId="77777777" w:rsidR="00AF6424" w:rsidRPr="00A70C96" w:rsidRDefault="00AF6424" w:rsidP="00AF6424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　</w:t>
            </w:r>
          </w:p>
        </w:tc>
      </w:tr>
    </w:tbl>
    <w:p w14:paraId="6DA76AAE" w14:textId="43996EBD" w:rsidR="00AF6424" w:rsidRPr="00A70C96" w:rsidRDefault="00AF6424" w:rsidP="00AF6424">
      <w:pPr>
        <w:widowControl/>
        <w:spacing w:line="480" w:lineRule="auto"/>
        <w:rPr>
          <w:rFonts w:ascii="Times New Roman" w:hAnsi="Times New Roman" w:cs="Times New Roman"/>
          <w:sz w:val="24"/>
        </w:rPr>
      </w:pPr>
      <w:r w:rsidRPr="00A70C96">
        <w:rPr>
          <w:rFonts w:ascii="Times New Roman" w:hAnsi="Times New Roman" w:cs="Times New Roman" w:hint="eastAsia"/>
          <w:sz w:val="24"/>
        </w:rPr>
        <w:t>BE, Barrett</w:t>
      </w:r>
      <w:r w:rsidRPr="00A70C96">
        <w:rPr>
          <w:rFonts w:ascii="Times New Roman" w:hAnsi="Times New Roman" w:cs="Times New Roman"/>
          <w:sz w:val="24"/>
        </w:rPr>
        <w:t>’</w:t>
      </w:r>
      <w:r w:rsidRPr="00A70C96">
        <w:rPr>
          <w:rFonts w:ascii="Times New Roman" w:hAnsi="Times New Roman" w:cs="Times New Roman" w:hint="eastAsia"/>
          <w:sz w:val="24"/>
        </w:rPr>
        <w:t>s esophagus; PY, person-years.</w:t>
      </w:r>
    </w:p>
    <w:p w14:paraId="1C1CBDDB" w14:textId="0B4EEB59" w:rsidR="00AF6424" w:rsidRPr="00A70C96" w:rsidRDefault="00AF6424" w:rsidP="00AF6424">
      <w:pPr>
        <w:widowControl/>
        <w:spacing w:line="480" w:lineRule="auto"/>
        <w:rPr>
          <w:rFonts w:ascii="Times New Roman" w:hAnsi="Times New Roman" w:cs="Times New Roman"/>
          <w:sz w:val="24"/>
        </w:rPr>
      </w:pPr>
      <w:r w:rsidRPr="00A70C96">
        <w:rPr>
          <w:rFonts w:ascii="Times New Roman" w:hAnsi="Times New Roman" w:cs="Times New Roman"/>
          <w:sz w:val="24"/>
        </w:rPr>
        <w:br w:type="page"/>
      </w:r>
    </w:p>
    <w:p w14:paraId="1C6E68BB" w14:textId="3A66133E" w:rsidR="00F44CB4" w:rsidRPr="00A70C96" w:rsidRDefault="0059673F" w:rsidP="0059673F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A70C96"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</w:t>
      </w:r>
      <w:r w:rsidR="00AF3BCF" w:rsidRPr="00A70C96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AF6424" w:rsidRPr="00A70C96">
        <w:rPr>
          <w:rFonts w:ascii="Times New Roman" w:hAnsi="Times New Roman" w:cs="Times New Roman" w:hint="eastAsia"/>
          <w:b/>
          <w:bCs/>
          <w:sz w:val="24"/>
        </w:rPr>
        <w:t>2</w:t>
      </w:r>
      <w:r w:rsidR="00AF3BCF" w:rsidRPr="00A70C96">
        <w:rPr>
          <w:rFonts w:ascii="Times New Roman" w:hAnsi="Times New Roman" w:cs="Times New Roman"/>
          <w:b/>
          <w:bCs/>
          <w:sz w:val="24"/>
        </w:rPr>
        <w:t xml:space="preserve">. Univariable and multivariable logistic regression analyses of factors associated with progression of BE from absent or USSBE </w:t>
      </w:r>
      <w:r w:rsidRPr="00A70C96">
        <w:rPr>
          <w:rFonts w:ascii="Times New Roman" w:hAnsi="Times New Roman" w:cs="Times New Roman" w:hint="eastAsia"/>
          <w:b/>
          <w:bCs/>
          <w:sz w:val="24"/>
        </w:rPr>
        <w:t>or SSBE</w:t>
      </w:r>
      <w:r w:rsidRPr="00A70C96">
        <w:rPr>
          <w:rFonts w:ascii="Times New Roman" w:hAnsi="Times New Roman" w:cs="Times New Roman" w:hint="eastAsia"/>
          <w:b/>
          <w:bCs/>
          <w:sz w:val="24"/>
          <w:vertAlign w:val="superscript"/>
        </w:rPr>
        <w:t>-</w:t>
      </w:r>
      <w:r w:rsidRPr="00A70C96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AF3BCF" w:rsidRPr="00A70C96">
        <w:rPr>
          <w:rFonts w:ascii="Times New Roman" w:hAnsi="Times New Roman" w:cs="Times New Roman"/>
          <w:b/>
          <w:bCs/>
          <w:sz w:val="24"/>
        </w:rPr>
        <w:t>to SSBE</w:t>
      </w:r>
      <w:r w:rsidRPr="00A70C96">
        <w:rPr>
          <w:rFonts w:ascii="Times New Roman" w:hAnsi="Times New Roman" w:cs="Times New Roman" w:hint="eastAsia"/>
          <w:b/>
          <w:bCs/>
          <w:sz w:val="24"/>
          <w:vertAlign w:val="superscript"/>
        </w:rPr>
        <w:t>+</w:t>
      </w:r>
      <w:r w:rsidR="00AF3BCF" w:rsidRPr="00A70C96">
        <w:rPr>
          <w:rFonts w:ascii="Times New Roman" w:hAnsi="Times New Roman" w:cs="Times New Roman"/>
          <w:b/>
          <w:bCs/>
          <w:sz w:val="24"/>
        </w:rPr>
        <w:t xml:space="preserve"> or LSBE.</w:t>
      </w:r>
    </w:p>
    <w:tbl>
      <w:tblPr>
        <w:tblW w:w="1072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20"/>
        <w:gridCol w:w="1352"/>
        <w:gridCol w:w="1449"/>
        <w:gridCol w:w="1099"/>
        <w:gridCol w:w="204"/>
        <w:gridCol w:w="1660"/>
        <w:gridCol w:w="1274"/>
        <w:gridCol w:w="966"/>
      </w:tblGrid>
      <w:tr w:rsidR="00A70C96" w:rsidRPr="00A70C96" w14:paraId="07A4BA70" w14:textId="77777777" w:rsidTr="00847630">
        <w:trPr>
          <w:trHeight w:val="360"/>
        </w:trPr>
        <w:tc>
          <w:tcPr>
            <w:tcW w:w="27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81117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4936C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Univariable</w:t>
            </w: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857A6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744BC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Multivariable (Firth's penalized)</w:t>
            </w:r>
          </w:p>
        </w:tc>
      </w:tr>
      <w:tr w:rsidR="00A70C96" w:rsidRPr="00A70C96" w14:paraId="1A889B90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9121DE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CD30EB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OR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DA7718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95% CI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17B7BF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i/>
                <w:iCs/>
                <w:kern w:val="0"/>
                <w:sz w:val="24"/>
                <w14:ligatures w14:val="none"/>
              </w:rPr>
              <w:t>p</w:t>
            </w: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-value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10708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A7A648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Adjusted OR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A2F30C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95% CI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52D380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i/>
                <w:iCs/>
                <w:kern w:val="0"/>
                <w:sz w:val="24"/>
                <w14:ligatures w14:val="none"/>
              </w:rPr>
              <w:t>p</w:t>
            </w: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-value</w:t>
            </w:r>
          </w:p>
        </w:tc>
      </w:tr>
      <w:tr w:rsidR="00A70C96" w:rsidRPr="00A70C96" w14:paraId="3949BCA6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4906C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Age group (years)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5400C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6EAC5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95C50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72D3F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FAEF7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814D7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47783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32EDE3CB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700E6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&lt;50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A542B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BBC95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E5422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E5213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F85CE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D270B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FD0E6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78BEAA5B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8AD39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50–59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A52AD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29124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0.46–1.33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6C0D6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0.362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09269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D7041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84A9A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0.44–1.26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2B962" w14:textId="2536A0D1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0.27</w:t>
            </w:r>
            <w:r w:rsidR="0084763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6</w:t>
            </w:r>
          </w:p>
        </w:tc>
      </w:tr>
      <w:tr w:rsidR="00A70C96" w:rsidRPr="00A70C96" w14:paraId="1CF4B45D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A6962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60–69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9A60C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0.68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40536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0.37–1.25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89CD7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0.216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5D51A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CF6A0" w14:textId="4BA2CB52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0.6</w:t>
            </w:r>
            <w:r w:rsidR="0084763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E2A18" w14:textId="15C29882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0.3</w:t>
            </w:r>
            <w:r w:rsidR="0084763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4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–1.2</w:t>
            </w:r>
            <w:r w:rsidR="0084763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1CFFC" w14:textId="04433FC3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0.1</w:t>
            </w:r>
            <w:r w:rsidR="0084763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78</w:t>
            </w:r>
          </w:p>
        </w:tc>
      </w:tr>
      <w:tr w:rsidR="00A70C96" w:rsidRPr="00A70C96" w14:paraId="0EDBE35F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82800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70+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38E80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1.11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E79C6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0.49–2.54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28064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0.805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43F89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66859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E08A8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0.46–2.59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EE534" w14:textId="7684569D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0.8</w:t>
            </w:r>
            <w:r w:rsidR="0084763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48</w:t>
            </w:r>
          </w:p>
        </w:tc>
      </w:tr>
      <w:tr w:rsidR="00A70C96" w:rsidRPr="00A70C96" w14:paraId="12E91783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E6112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Sex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EB3CC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48528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52687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3B819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A739E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25AC1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0563D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427EA527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7BCA8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Female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D381F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ED4DB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895FF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F3992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05907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423DB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058E2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635BC930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294D9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Male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50DD8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1.63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0D61D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1.01–2.62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2C451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0.045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23098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EF08A" w14:textId="66E9DF53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1.5</w:t>
            </w:r>
            <w:r w:rsidR="0084763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EB640" w14:textId="0FFF3578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0.82–2.8</w:t>
            </w:r>
            <w:r w:rsidR="0084763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2971B" w14:textId="40CE91DF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0.1</w:t>
            </w:r>
            <w:r w:rsidR="0084763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85</w:t>
            </w:r>
          </w:p>
        </w:tc>
      </w:tr>
      <w:tr w:rsidR="00A70C96" w:rsidRPr="00A70C96" w14:paraId="6471DB4B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2233C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 at index endoscopy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E84BF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765F4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F484A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50219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E29F0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BA027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BA1FA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3915C09A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6C687" w14:textId="77777777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Absent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B13AA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E4CE0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831B4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7717A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919CE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FE56B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112A9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1D6E2446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A9A4E" w14:textId="0CBDEEA6" w:rsidR="0059673F" w:rsidRPr="00A70C96" w:rsidRDefault="0059673F" w:rsidP="0059673F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</w:t>
            </w:r>
            <w:r w:rsidR="0084763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LA grade A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E6B50" w14:textId="7078D3A2" w:rsidR="0059673F" w:rsidRPr="00A70C96" w:rsidRDefault="00847630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2.98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7D91E" w14:textId="2B6C50FD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</w:t>
            </w:r>
            <w:r w:rsidR="0084763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60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–5.</w:t>
            </w:r>
            <w:r w:rsidR="0084763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57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133CE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D52DB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08069" w14:textId="1C84E249" w:rsidR="0059673F" w:rsidRPr="00A70C96" w:rsidRDefault="00847630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3.00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B28B8" w14:textId="4A6A240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</w:t>
            </w:r>
            <w:r w:rsidR="0084763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6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0–5.</w:t>
            </w:r>
            <w:r w:rsidR="0084763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60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5D5F7" w14:textId="77777777" w:rsidR="0059673F" w:rsidRPr="00A70C96" w:rsidRDefault="0059673F" w:rsidP="0059673F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A70C96" w:rsidRPr="00A70C96" w14:paraId="7E75E3DE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E8845" w14:textId="6B40995F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LA grade B+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E9D1A" w14:textId="09C26055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3.97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DC6B6" w14:textId="3DABE889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1.70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–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9.27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1D0CE8" w14:textId="33635D76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0.001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85037D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398C4" w14:textId="40355E3F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4.22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68868C" w14:textId="2ED11C5D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1.84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–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9.67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FE7FB4" w14:textId="6FFFE3CD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&lt;0.001</w:t>
            </w:r>
          </w:p>
        </w:tc>
      </w:tr>
      <w:tr w:rsidR="00A70C96" w:rsidRPr="00A70C96" w14:paraId="77823718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2461B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Gastric mucosal atrophy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847E3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A8D47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AD760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55E02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44E4A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C4560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E3B34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7B95FBFD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881A3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None or closed-type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23609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FDFB8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677A1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81089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F48B1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45796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0F28F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16BB16F7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100E9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Open-type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CC8FC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1.01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712F5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0.63–1.61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F2FAC" w14:textId="0FE82CDC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79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4BE31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11612" w14:textId="2D04469A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1.2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89A31" w14:textId="415B8A6A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3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–2.0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0019F" w14:textId="25CA028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0.4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38</w:t>
            </w:r>
          </w:p>
        </w:tc>
      </w:tr>
      <w:tr w:rsidR="00A70C96" w:rsidRPr="00A70C96" w14:paraId="24899C30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CD248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Follow-up duration (years)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BD1BF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A7210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6BC4F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2FD23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60AC5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8065A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87BFF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556A0F54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999E7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&lt;5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2232A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BB97B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77881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6B804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E5269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C61A3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A5560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477312C7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ADFFB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5–&lt;10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F918D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1.88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FA13F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1.00–3.52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9AB41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0.050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BAD63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78CED" w14:textId="2C1287D8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1.8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63164" w14:textId="2FE445BB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3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–3.4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1CC9A" w14:textId="22D9152D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0.04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0</w:t>
            </w:r>
          </w:p>
        </w:tc>
      </w:tr>
      <w:tr w:rsidR="00A70C96" w:rsidRPr="00A70C96" w14:paraId="31844CF2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4262D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</w:t>
            </w:r>
            <w:r w:rsidRPr="00A70C96">
              <w:rPr>
                <w:rFonts w:ascii="Times New Roman" w:eastAsia="Yu Gothic Light" w:hAnsi="Times New Roman" w:cs="Times New Roman"/>
                <w:kern w:val="0"/>
                <w:sz w:val="24"/>
                <w14:ligatures w14:val="none"/>
              </w:rPr>
              <w:t>≥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94392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0.97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20CDC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0.45–2.11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41F13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0.946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8FCDD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95F6A" w14:textId="396298BB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.98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E10AA" w14:textId="581399AC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0.4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7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–2.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07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23B94" w14:textId="59410AAE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62</w:t>
            </w:r>
          </w:p>
        </w:tc>
      </w:tr>
      <w:tr w:rsidR="00A70C96" w:rsidRPr="00A70C96" w14:paraId="30C12E08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8B1E3" w14:textId="7BF673B9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Body mass index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 xml:space="preserve"> (kg/m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:vertAlign w:val="superscript"/>
                <w14:ligatures w14:val="none"/>
              </w:rPr>
              <w:t>2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)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D205E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F73E4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DBF15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84685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63780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C2BE0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C0C4F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0E3B08AE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FC224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&lt;25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7EC18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928DE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17F72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33E76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00D0F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1CA45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9A065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39EA05E5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8A15A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≥25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2BEA0" w14:textId="384B67F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08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80486" w14:textId="26DD78C9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57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–2.0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26105" w14:textId="3FF6F98E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8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0DC93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AD27C" w14:textId="7567B39E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</w:t>
            </w:r>
            <w:r w:rsidR="00C5210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9CC38" w14:textId="7965949E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</w:t>
            </w:r>
            <w:r w:rsidR="00C5210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48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–2.1</w:t>
            </w:r>
            <w:r w:rsidR="00C5210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C4CC5" w14:textId="249A0DBA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</w:t>
            </w:r>
            <w:r w:rsidR="00C5210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6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9</w:t>
            </w:r>
          </w:p>
        </w:tc>
      </w:tr>
      <w:tr w:rsidR="00A70C96" w:rsidRPr="00A70C96" w14:paraId="63189175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1046C" w14:textId="370A32E0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Central obesity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:vertAlign w:val="superscript"/>
                <w14:ligatures w14:val="none"/>
              </w:rPr>
              <w:t>a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38217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2AAEA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37E8B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A626E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ED7D2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A8688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7D0F7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12706CE4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12DC4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No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58023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18094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E7AA4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3CD5B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9E590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8A66C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5404C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3E403E37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E3307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Yes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88956" w14:textId="7A5E01FA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94A0A" w14:textId="59263094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0.6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0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–2.1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A1209" w14:textId="1009E9F6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685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2E125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3F2A0" w14:textId="217A01BA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</w:t>
            </w:r>
            <w:r w:rsidR="00C5210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89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FC816" w14:textId="0CF644B0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0.4</w:t>
            </w:r>
            <w:r w:rsidR="00C5210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0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–</w:t>
            </w:r>
            <w:r w:rsidR="00C5210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1.99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BA405" w14:textId="43D3DD59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</w:t>
            </w:r>
            <w:r w:rsidR="00C5210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776</w:t>
            </w:r>
          </w:p>
        </w:tc>
      </w:tr>
      <w:tr w:rsidR="00A70C96" w:rsidRPr="00A70C96" w14:paraId="3F87E4C6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F9B1F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Alcohol drinking status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ED79E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29CB2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21967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55BDC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1DFCA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30C31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79C66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653BC350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0532C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Never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3B79F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8132C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4529A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1D30F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ABCB1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5AEC3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E4E3A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0F83FEA9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0AF66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Ever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5C601" w14:textId="2FF28609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1.1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9E80F" w14:textId="6B086433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0.5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7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–2.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45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85D2C" w14:textId="4A6AC36F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653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B0CAA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1D1FD" w14:textId="3092E8FF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</w:t>
            </w:r>
            <w:r w:rsidR="00C5210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91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1B6E5" w14:textId="7AB97BE0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0.4</w:t>
            </w:r>
            <w:r w:rsidR="00C5210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2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–1.</w:t>
            </w:r>
            <w:r w:rsidR="00C5210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99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23CD1" w14:textId="765DDECE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</w:t>
            </w:r>
            <w:r w:rsidR="00C5210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820</w:t>
            </w:r>
          </w:p>
        </w:tc>
      </w:tr>
      <w:tr w:rsidR="00A70C96" w:rsidRPr="00A70C96" w14:paraId="347110EA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D600D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Smoking status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AB794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16EF9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B27DE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52838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4CB80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FE191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D3903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7A69BB13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2BF57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Never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360BF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347D7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7F5C0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B76C8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89AB1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34F71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B8568" w14:textId="77777777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1D10D55A" w14:textId="77777777" w:rsidTr="00847630">
        <w:trPr>
          <w:trHeight w:val="360"/>
        </w:trPr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3AAF01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Ever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5890CD" w14:textId="401B7F55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1.1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B807B4" w14:textId="2C7BA71B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0.5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7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–2.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29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0C4859" w14:textId="72972D98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02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4074DF" w14:textId="77777777" w:rsidR="00847630" w:rsidRPr="00A70C96" w:rsidRDefault="00847630" w:rsidP="0084763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D05047" w14:textId="7F470E0A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</w:t>
            </w:r>
            <w:r w:rsidR="00C5210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A46F4A" w14:textId="6A1013ED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0.4</w:t>
            </w:r>
            <w:r w:rsidR="00C5210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4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–1.9</w:t>
            </w:r>
            <w:r w:rsidR="00C5210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4E25E7" w14:textId="0E4FA2EC" w:rsidR="00847630" w:rsidRPr="00A70C96" w:rsidRDefault="00847630" w:rsidP="0084763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</w:t>
            </w:r>
            <w:r w:rsidR="00C52100" w:rsidRPr="00A70C96">
              <w:rPr>
                <w:rFonts w:ascii="Times New Roman" w:eastAsia="Yu Gothic" w:hAnsi="Times New Roman" w:cs="Times New Roman" w:hint="eastAsia"/>
                <w:kern w:val="0"/>
                <w:sz w:val="24"/>
                <w14:ligatures w14:val="none"/>
              </w:rPr>
              <w:t>833</w:t>
            </w:r>
          </w:p>
        </w:tc>
      </w:tr>
    </w:tbl>
    <w:p w14:paraId="3FE2BBDA" w14:textId="784D6C8A" w:rsidR="00384FC7" w:rsidRPr="00A70C96" w:rsidRDefault="00384FC7" w:rsidP="0059673F">
      <w:pPr>
        <w:spacing w:line="480" w:lineRule="auto"/>
        <w:rPr>
          <w:rFonts w:ascii="Times New Roman" w:hAnsi="Times New Roman" w:cs="Times New Roman"/>
          <w:sz w:val="24"/>
        </w:rPr>
      </w:pPr>
      <w:r w:rsidRPr="00A70C96">
        <w:rPr>
          <w:rFonts w:ascii="Times New Roman" w:hAnsi="Times New Roman" w:cs="Times New Roman"/>
          <w:sz w:val="24"/>
          <w:vertAlign w:val="superscript"/>
        </w:rPr>
        <w:t>a</w:t>
      </w:r>
      <w:r w:rsidRPr="00A70C96">
        <w:rPr>
          <w:rFonts w:ascii="Times New Roman" w:hAnsi="Times New Roman" w:cs="Times New Roman"/>
          <w:sz w:val="24"/>
        </w:rPr>
        <w:t xml:space="preserve"> Waist circumference of ≥85 cm for men and ≥90 cm for women.</w:t>
      </w:r>
    </w:p>
    <w:p w14:paraId="42578211" w14:textId="05A7FDF2" w:rsidR="00C52100" w:rsidRPr="00A70C96" w:rsidRDefault="00384FC7" w:rsidP="0059673F">
      <w:pPr>
        <w:spacing w:line="480" w:lineRule="auto"/>
        <w:rPr>
          <w:rFonts w:ascii="Times New Roman" w:hAnsi="Times New Roman" w:cs="Times New Roman"/>
          <w:sz w:val="24"/>
        </w:rPr>
      </w:pPr>
      <w:r w:rsidRPr="00A70C96">
        <w:rPr>
          <w:rFonts w:ascii="Times New Roman" w:hAnsi="Times New Roman" w:cs="Times New Roman"/>
          <w:sz w:val="24"/>
        </w:rPr>
        <w:t xml:space="preserve">BE, Barrett’s esophagus; CI, confidence interval; </w:t>
      </w:r>
      <w:r w:rsidR="00C52100" w:rsidRPr="00A70C96">
        <w:rPr>
          <w:rFonts w:ascii="Times New Roman" w:hAnsi="Times New Roman" w:cs="Times New Roman" w:hint="eastAsia"/>
          <w:sz w:val="24"/>
        </w:rPr>
        <w:t xml:space="preserve">LA, Los Angeles; </w:t>
      </w:r>
      <w:r w:rsidRPr="00A70C96">
        <w:rPr>
          <w:rFonts w:ascii="Times New Roman" w:hAnsi="Times New Roman" w:cs="Times New Roman"/>
          <w:sz w:val="24"/>
        </w:rPr>
        <w:t xml:space="preserve">LSBE, long-segment Barrett’s esophagus; OR, odds ratio; RE, reflux esophagitis; SSBE, short-segment Barrett’s esophagus; </w:t>
      </w:r>
      <w:r w:rsidR="0059673F" w:rsidRPr="00A70C96">
        <w:rPr>
          <w:rFonts w:ascii="Times New Roman" w:hAnsi="Times New Roman" w:cs="Times New Roman" w:hint="eastAsia"/>
          <w:sz w:val="24"/>
        </w:rPr>
        <w:t>SSBE</w:t>
      </w:r>
      <w:r w:rsidR="0059673F" w:rsidRPr="00A70C96">
        <w:rPr>
          <w:rFonts w:ascii="Times New Roman" w:hAnsi="Times New Roman" w:cs="Times New Roman" w:hint="eastAsia"/>
          <w:sz w:val="24"/>
          <w:vertAlign w:val="superscript"/>
        </w:rPr>
        <w:t>-</w:t>
      </w:r>
      <w:r w:rsidR="0059673F" w:rsidRPr="00A70C96">
        <w:rPr>
          <w:rFonts w:ascii="Times New Roman" w:hAnsi="Times New Roman" w:cs="Times New Roman" w:hint="eastAsia"/>
          <w:sz w:val="24"/>
        </w:rPr>
        <w:t>, SSBE with a maximal extent of 1 to &lt;2 cm; SSBE</w:t>
      </w:r>
      <w:r w:rsidR="0059673F" w:rsidRPr="00A70C96">
        <w:rPr>
          <w:rFonts w:ascii="Times New Roman" w:hAnsi="Times New Roman" w:cs="Times New Roman" w:hint="eastAsia"/>
          <w:sz w:val="24"/>
          <w:vertAlign w:val="superscript"/>
        </w:rPr>
        <w:t>+</w:t>
      </w:r>
      <w:r w:rsidR="0059673F" w:rsidRPr="00A70C96">
        <w:rPr>
          <w:rFonts w:ascii="Times New Roman" w:hAnsi="Times New Roman" w:cs="Times New Roman" w:hint="eastAsia"/>
          <w:sz w:val="24"/>
        </w:rPr>
        <w:t xml:space="preserve">, SSBE with a maximal extent of 2 to &lt;3 cm; </w:t>
      </w:r>
      <w:r w:rsidRPr="00A70C96">
        <w:rPr>
          <w:rFonts w:ascii="Times New Roman" w:hAnsi="Times New Roman" w:cs="Times New Roman"/>
          <w:sz w:val="24"/>
        </w:rPr>
        <w:t>USSBE, ultra-short-segment Barrett’s esophagus.</w:t>
      </w:r>
    </w:p>
    <w:p w14:paraId="18C5D467" w14:textId="77777777" w:rsidR="00C52100" w:rsidRPr="00A70C96" w:rsidRDefault="00C52100">
      <w:pPr>
        <w:widowControl/>
        <w:rPr>
          <w:rFonts w:ascii="Times New Roman" w:hAnsi="Times New Roman" w:cs="Times New Roman"/>
          <w:sz w:val="24"/>
        </w:rPr>
      </w:pPr>
      <w:r w:rsidRPr="00A70C96">
        <w:rPr>
          <w:rFonts w:ascii="Times New Roman" w:hAnsi="Times New Roman" w:cs="Times New Roman"/>
          <w:sz w:val="24"/>
        </w:rPr>
        <w:br w:type="page"/>
      </w:r>
    </w:p>
    <w:p w14:paraId="1C22FF47" w14:textId="35BC2D1F" w:rsidR="00AF3BCF" w:rsidRPr="00A70C96" w:rsidRDefault="00960410" w:rsidP="0059673F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A70C96">
        <w:rPr>
          <w:rFonts w:ascii="Times New Roman" w:hAnsi="Times New Roman" w:cs="Times New Roman" w:hint="eastAsia"/>
          <w:b/>
          <w:bCs/>
          <w:sz w:val="24"/>
        </w:rPr>
        <w:t xml:space="preserve">Supplementary Table 3. </w:t>
      </w:r>
      <w:r w:rsidRPr="00A70C96">
        <w:rPr>
          <w:rFonts w:ascii="Times New Roman" w:hAnsi="Times New Roman" w:cs="Times New Roman"/>
          <w:b/>
          <w:bCs/>
          <w:sz w:val="24"/>
        </w:rPr>
        <w:t>Univariable and multivariable analyses of changes in reflux esophagitis status associated with progression of BE from absent or USSBE to SSBE or LSBE</w:t>
      </w:r>
      <w:r w:rsidRPr="00A70C96">
        <w:rPr>
          <w:rFonts w:ascii="Times New Roman" w:hAnsi="Times New Roman" w:cs="Times New Roman" w:hint="eastAsia"/>
          <w:b/>
          <w:bCs/>
          <w:sz w:val="24"/>
        </w:rPr>
        <w:t>.</w:t>
      </w:r>
    </w:p>
    <w:tbl>
      <w:tblPr>
        <w:tblW w:w="1286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37"/>
        <w:gridCol w:w="1669"/>
        <w:gridCol w:w="1789"/>
        <w:gridCol w:w="1322"/>
        <w:gridCol w:w="269"/>
        <w:gridCol w:w="2046"/>
        <w:gridCol w:w="1572"/>
        <w:gridCol w:w="1162"/>
      </w:tblGrid>
      <w:tr w:rsidR="00A70C96" w:rsidRPr="00A70C96" w14:paraId="2CA33F0D" w14:textId="77777777" w:rsidTr="00960410">
        <w:trPr>
          <w:trHeight w:val="359"/>
        </w:trPr>
        <w:tc>
          <w:tcPr>
            <w:tcW w:w="30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4A39C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4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57EC6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Univariable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D495E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47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49A60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Multivariable (Firth's penalized)</w:t>
            </w:r>
          </w:p>
        </w:tc>
      </w:tr>
      <w:tr w:rsidR="00A70C96" w:rsidRPr="00A70C96" w14:paraId="30D1EBBF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B697F6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F081B9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OR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AD6961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95% CI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B0798B" w14:textId="22A26769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i/>
                <w:iCs/>
                <w:kern w:val="0"/>
                <w:sz w:val="24"/>
                <w14:ligatures w14:val="none"/>
              </w:rPr>
              <w:t>p</w:t>
            </w:r>
            <w:r w:rsidRPr="00A70C96">
              <w:rPr>
                <w:rFonts w:ascii="Times New Roman" w:eastAsia="Yu Gothic" w:hAnsi="Times New Roman" w:cs="Times New Roman" w:hint="eastAsia"/>
                <w:b/>
                <w:bCs/>
                <w:kern w:val="0"/>
                <w:sz w:val="24"/>
                <w14:ligatures w14:val="none"/>
              </w:rPr>
              <w:t>-</w:t>
            </w: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value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39206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75E9CB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Adjusted OR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96BCA7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95% CI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D03D71" w14:textId="5402A722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i/>
                <w:iCs/>
                <w:kern w:val="0"/>
                <w:sz w:val="24"/>
                <w14:ligatures w14:val="none"/>
              </w:rPr>
              <w:t>p</w:t>
            </w:r>
            <w:r w:rsidRPr="00A70C96">
              <w:rPr>
                <w:rFonts w:ascii="Times New Roman" w:eastAsia="Yu Gothic" w:hAnsi="Times New Roman" w:cs="Times New Roman" w:hint="eastAsia"/>
                <w:b/>
                <w:bCs/>
                <w:kern w:val="0"/>
                <w:sz w:val="24"/>
                <w14:ligatures w14:val="none"/>
              </w:rPr>
              <w:t>-</w:t>
            </w: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value</w:t>
            </w:r>
          </w:p>
        </w:tc>
      </w:tr>
      <w:tr w:rsidR="00A70C96" w:rsidRPr="00A70C96" w14:paraId="1057800F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DD41C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Age group (years)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EE1DB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B646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897F7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ACDEC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AC5DB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52459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0303E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0E0A8941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88882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&lt;50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99A87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9E278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1DCA1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9C776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5AB78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FFDDF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B47B4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42FA9DF4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03351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50–59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D86D0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1.00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9B1F9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0.79–1.26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DAA8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0.982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497E7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420A1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0.96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4A4AC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0.76–1.23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E13CE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0.761</w:t>
            </w:r>
          </w:p>
        </w:tc>
      </w:tr>
      <w:tr w:rsidR="00A70C96" w:rsidRPr="00A70C96" w14:paraId="1BBCA537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A647F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60–69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E2139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1.00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D4D50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0.77–1.29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BEC74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0.992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AD151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CEC97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0.97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D205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0.73–1.29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F82E0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0.848</w:t>
            </w:r>
          </w:p>
        </w:tc>
      </w:tr>
      <w:tr w:rsidR="00A70C96" w:rsidRPr="00A70C96" w14:paraId="7174D6C7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B00A7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70+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4E00F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1.22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46DAE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0.84–1.79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0519A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0.296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74CE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EF19E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1.22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82C37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0.81–1.85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51072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0.341</w:t>
            </w:r>
          </w:p>
        </w:tc>
      </w:tr>
      <w:tr w:rsidR="00A70C96" w:rsidRPr="00A70C96" w14:paraId="7B05AE27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089AE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Sex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E9594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D1F89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FC3A0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0D0E0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A160A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C506E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65AC8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22FD19BD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705FB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Female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D32BE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08494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B0EA3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D5A21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798C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DD122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CC4F8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11D65C1A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1319D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Male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93898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2.07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CC98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1.67–2.56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D181E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2EDF8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03058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1.52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B5889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1.16–1.97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0854B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0.002</w:t>
            </w:r>
          </w:p>
        </w:tc>
      </w:tr>
      <w:tr w:rsidR="00A70C96" w:rsidRPr="00A70C96" w14:paraId="419B92ED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7FA5B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 change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C55A4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E5396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9879E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4A86A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DD9A0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2B747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DE4B4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33EBD28E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05728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Never RE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C50D3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5B0C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C95F1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126D9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C4D0B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45C49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54CB1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533F06B6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96A86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Incident RE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887D3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4.40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F67EC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3.30–5.87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27A0A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0990B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BF271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4.18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0C2C7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3.12–5.59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D0B14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A70C96" w:rsidRPr="00A70C96" w14:paraId="3CF1773C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1451E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Resolved RE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550F0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4.60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ED423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3.05–6.95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D3176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F412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435DC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4.44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322F2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2.91–6.78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078A7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A70C96" w:rsidRPr="00A70C96" w14:paraId="6F10C838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8071A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Persistent RE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51CCE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2.80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ED2B1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2.05–3.84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5B18F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98BF3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AAA50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2.77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4B260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2.00–3.83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BFB9F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</w:tr>
      <w:tr w:rsidR="00A70C96" w:rsidRPr="00A70C96" w14:paraId="6484978A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DF4CB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Gastric mucosal atrophy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4F1AD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86346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53DC9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01B31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FF21B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7BE56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DE2DA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1C947488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67AE0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None or closed-type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4B2DF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F0A80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2A326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9A9B1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FD0A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573D6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99D4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11F87E31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74BEB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Open-type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826EC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1.25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A208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1.01–1.53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F7B97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0.038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53CC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A625C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1.38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C2DC0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1.09–1.75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3FFC7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0.007</w:t>
            </w:r>
          </w:p>
        </w:tc>
      </w:tr>
      <w:tr w:rsidR="00A70C96" w:rsidRPr="00A70C96" w14:paraId="745F7622" w14:textId="77777777" w:rsidTr="00960410">
        <w:trPr>
          <w:trHeight w:val="359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DCBE3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Follow-up duration (years)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36BC6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A807F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03B77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607F7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C705E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F6D44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7CB8F5BA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3EB8B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&lt;5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FEA46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B2A70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7EE92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82663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58B85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621D8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D1B9B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07E8E820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7E5DE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5–&lt;10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A54E2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1.17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736C5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0.91–1.51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D0726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0.224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7FFA4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71150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1.14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028F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0.88–1.48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16692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0.308</w:t>
            </w:r>
          </w:p>
        </w:tc>
      </w:tr>
      <w:tr w:rsidR="00A70C96" w:rsidRPr="00A70C96" w14:paraId="0E8114CA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DDB7C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</w:t>
            </w:r>
            <w:r w:rsidRPr="00A70C96">
              <w:rPr>
                <w:rFonts w:ascii="Times New Roman" w:eastAsia="Yu Gothic Light" w:hAnsi="Times New Roman" w:cs="Times New Roman"/>
                <w:kern w:val="0"/>
                <w:sz w:val="24"/>
                <w14:ligatures w14:val="none"/>
              </w:rPr>
              <w:t>≥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9DEF1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1.13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A948C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0.85–1.51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1A643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0.401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4254B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776A1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1.13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EC3C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0.84–1.52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A43A0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0.407</w:t>
            </w:r>
          </w:p>
        </w:tc>
      </w:tr>
      <w:tr w:rsidR="00A70C96" w:rsidRPr="00A70C96" w14:paraId="0F6B8A90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73DB0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Body mass index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6342B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C4E68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8BE21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2C35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DBCA5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AFB6E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C7D9C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4DBAF97A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F7554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&lt;25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4E824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A71A3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65BC5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B816F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17C9A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614C2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73722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77AC2416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1AD57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≥25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3AB49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0.98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EF0B4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0.76–1.27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4F37E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0.898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E1B44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8C828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0.76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3992B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0.55–1.05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80386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0.096</w:t>
            </w:r>
          </w:p>
        </w:tc>
      </w:tr>
      <w:tr w:rsidR="00A70C96" w:rsidRPr="00A70C96" w14:paraId="7A483A6E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15C3A" w14:textId="6C637B96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Central obesity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:vertAlign w:val="superscript"/>
                <w14:ligatures w14:val="none"/>
              </w:rPr>
              <w:t>a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BD6D7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DD1AC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1659C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3FF5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88FFE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8CAC2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732E5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2FCB8068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68A7E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No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BD96A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0A8F3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E4C6B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66C0E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C1DF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76900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3E2AB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3E6145FD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9D7CB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Yes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8618F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1.32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38A7B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1.06–1.65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4814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0.013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1411C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BBCB8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1.15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3A7BF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0.86–1.54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7407A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0.335</w:t>
            </w:r>
          </w:p>
        </w:tc>
      </w:tr>
      <w:tr w:rsidR="00A70C96" w:rsidRPr="00A70C96" w14:paraId="30E8B1D5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6C132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Alcohol drinking status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E5D2D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9622A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79E6E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5AC23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9B42C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1E6C1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E7419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66A154EB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B0E8B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Never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9E65A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6EE32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CFCC3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97D6A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D044E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AF209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42AF8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3BA02188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399A1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Ever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9A2A8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1.48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1F9D2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1.10–2.00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9D19F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0.009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B7C8F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62B7A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1.06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EC3A1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0.76–1.47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3EF4C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0.745</w:t>
            </w:r>
          </w:p>
        </w:tc>
      </w:tr>
      <w:tr w:rsidR="00A70C96" w:rsidRPr="00A70C96" w14:paraId="4E2B6C5F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33FF7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Smoking status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9AD3E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7D413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FD1B8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D3A36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F1690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1705A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FDE99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4064B6D1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95BB7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Never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06833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A5BF2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630A7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5330F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4AFB9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62DEB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C3E73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489BF145" w14:textId="77777777" w:rsidTr="00960410">
        <w:trPr>
          <w:trHeight w:val="359"/>
        </w:trPr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C63F1F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Ever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70883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1.49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276F4B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1.19–1.87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E54FA3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2CED50" w14:textId="77777777" w:rsidR="00960410" w:rsidRPr="00A70C96" w:rsidRDefault="00960410" w:rsidP="00960410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9912BD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1.19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70E674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0.93–1.53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45CB7B" w14:textId="77777777" w:rsidR="00960410" w:rsidRPr="00A70C96" w:rsidRDefault="00960410" w:rsidP="00960410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0.163</w:t>
            </w:r>
          </w:p>
        </w:tc>
      </w:tr>
    </w:tbl>
    <w:p w14:paraId="6ECBA7BD" w14:textId="77777777" w:rsidR="00960410" w:rsidRPr="00A70C96" w:rsidRDefault="00960410" w:rsidP="00960410">
      <w:pPr>
        <w:spacing w:line="480" w:lineRule="auto"/>
        <w:rPr>
          <w:rFonts w:ascii="Times New Roman" w:hAnsi="Times New Roman" w:cs="Times New Roman"/>
          <w:sz w:val="24"/>
        </w:rPr>
      </w:pPr>
      <w:r w:rsidRPr="00A70C96">
        <w:rPr>
          <w:rFonts w:ascii="Times New Roman" w:hAnsi="Times New Roman" w:cs="Times New Roman"/>
          <w:sz w:val="24"/>
          <w:vertAlign w:val="superscript"/>
        </w:rPr>
        <w:t>a</w:t>
      </w:r>
      <w:r w:rsidRPr="00A70C96">
        <w:rPr>
          <w:rFonts w:ascii="Times New Roman" w:hAnsi="Times New Roman" w:cs="Times New Roman"/>
          <w:sz w:val="24"/>
        </w:rPr>
        <w:t xml:space="preserve"> Waist circumference of ≥85 cm for men and ≥90 cm for women.</w:t>
      </w:r>
    </w:p>
    <w:p w14:paraId="377C4986" w14:textId="5973CDED" w:rsidR="00960410" w:rsidRPr="00A70C96" w:rsidRDefault="00960410" w:rsidP="00960410">
      <w:pPr>
        <w:spacing w:line="480" w:lineRule="auto"/>
        <w:rPr>
          <w:rFonts w:ascii="Times New Roman" w:hAnsi="Times New Roman" w:cs="Times New Roman"/>
          <w:sz w:val="24"/>
        </w:rPr>
      </w:pPr>
      <w:r w:rsidRPr="00A70C96">
        <w:rPr>
          <w:rFonts w:ascii="Times New Roman" w:hAnsi="Times New Roman" w:cs="Times New Roman"/>
          <w:sz w:val="24"/>
        </w:rPr>
        <w:t>Never RE, no reflux esophagitis at either examination; Incident RE, newly developed reflux esophagitis at the final examination; Resolved RE, reflux esophagitis present at the index examination but absent at the final examination; Persistent RE, reflux esophagitis present at both examinations.</w:t>
      </w:r>
    </w:p>
    <w:p w14:paraId="5B1DBF57" w14:textId="20F44763" w:rsidR="00960410" w:rsidRPr="00A70C96" w:rsidRDefault="00960410" w:rsidP="00960410">
      <w:pPr>
        <w:spacing w:line="480" w:lineRule="auto"/>
        <w:rPr>
          <w:rFonts w:ascii="Times New Roman" w:hAnsi="Times New Roman" w:cs="Times New Roman"/>
          <w:sz w:val="24"/>
        </w:rPr>
      </w:pPr>
      <w:r w:rsidRPr="00A70C96">
        <w:rPr>
          <w:rFonts w:ascii="Times New Roman" w:hAnsi="Times New Roman" w:cs="Times New Roman"/>
          <w:sz w:val="24"/>
        </w:rPr>
        <w:t>BE, Barrett’s esophagus; CI, confidence interval; LSBE, long-segment Barrett’s esophagus; OR, odds ratio; RE, reflux esophagitis; SSBE, short-segment Barrett’s esophagus;</w:t>
      </w:r>
      <w:r w:rsidRPr="00A70C96">
        <w:rPr>
          <w:rFonts w:ascii="Times New Roman" w:hAnsi="Times New Roman" w:cs="Times New Roman" w:hint="eastAsia"/>
          <w:sz w:val="24"/>
        </w:rPr>
        <w:t xml:space="preserve"> </w:t>
      </w:r>
      <w:r w:rsidRPr="00A70C96">
        <w:rPr>
          <w:rFonts w:ascii="Times New Roman" w:hAnsi="Times New Roman" w:cs="Times New Roman"/>
          <w:sz w:val="24"/>
        </w:rPr>
        <w:t>USSBE, ultra-short-segment Barrett’s esophagus.</w:t>
      </w:r>
    </w:p>
    <w:p w14:paraId="5663697F" w14:textId="77777777" w:rsidR="00960410" w:rsidRPr="00A70C96" w:rsidRDefault="00960410">
      <w:pPr>
        <w:widowControl/>
        <w:rPr>
          <w:rFonts w:ascii="Times New Roman" w:hAnsi="Times New Roman" w:cs="Times New Roman"/>
          <w:sz w:val="24"/>
        </w:rPr>
      </w:pPr>
      <w:r w:rsidRPr="00A70C96">
        <w:rPr>
          <w:rFonts w:ascii="Times New Roman" w:hAnsi="Times New Roman" w:cs="Times New Roman"/>
          <w:sz w:val="24"/>
        </w:rPr>
        <w:br w:type="page"/>
      </w:r>
    </w:p>
    <w:p w14:paraId="5A1CE118" w14:textId="0F32CD14" w:rsidR="00960410" w:rsidRPr="00A70C96" w:rsidRDefault="00960410" w:rsidP="004A7A75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A70C96">
        <w:rPr>
          <w:rFonts w:ascii="Times New Roman" w:hAnsi="Times New Roman" w:cs="Times New Roman" w:hint="eastAsia"/>
          <w:b/>
          <w:bCs/>
          <w:sz w:val="24"/>
        </w:rPr>
        <w:t xml:space="preserve">Supplementary Table 4. </w:t>
      </w:r>
      <w:r w:rsidRPr="00A70C96">
        <w:rPr>
          <w:rFonts w:ascii="Times New Roman" w:hAnsi="Times New Roman" w:cs="Times New Roman"/>
          <w:b/>
          <w:bCs/>
          <w:sz w:val="24"/>
        </w:rPr>
        <w:t>Univariable and multivariable analyses of factors associated with regression of BE from SSBE</w:t>
      </w:r>
      <w:r w:rsidRPr="00A70C96">
        <w:rPr>
          <w:rFonts w:ascii="Times New Roman" w:hAnsi="Times New Roman" w:cs="Times New Roman"/>
          <w:b/>
          <w:bCs/>
          <w:sz w:val="24"/>
          <w:vertAlign w:val="superscript"/>
        </w:rPr>
        <w:t>-</w:t>
      </w:r>
      <w:r w:rsidRPr="00A70C96">
        <w:rPr>
          <w:rFonts w:ascii="Times New Roman" w:hAnsi="Times New Roman" w:cs="Times New Roman"/>
          <w:b/>
          <w:bCs/>
          <w:sz w:val="24"/>
        </w:rPr>
        <w:t xml:space="preserve"> to absent BE or USSBE</w:t>
      </w:r>
      <w:r w:rsidRPr="00A70C96">
        <w:rPr>
          <w:rFonts w:ascii="Times New Roman" w:hAnsi="Times New Roman" w:cs="Times New Roman" w:hint="eastAsia"/>
          <w:b/>
          <w:bCs/>
          <w:sz w:val="24"/>
        </w:rPr>
        <w:t>.</w:t>
      </w:r>
    </w:p>
    <w:tbl>
      <w:tblPr>
        <w:tblW w:w="1315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04"/>
        <w:gridCol w:w="1706"/>
        <w:gridCol w:w="1828"/>
        <w:gridCol w:w="1352"/>
        <w:gridCol w:w="275"/>
        <w:gridCol w:w="2092"/>
        <w:gridCol w:w="1607"/>
        <w:gridCol w:w="1187"/>
      </w:tblGrid>
      <w:tr w:rsidR="00A70C96" w:rsidRPr="00A70C96" w14:paraId="365D195D" w14:textId="77777777" w:rsidTr="004A7A75">
        <w:trPr>
          <w:trHeight w:val="359"/>
        </w:trPr>
        <w:tc>
          <w:tcPr>
            <w:tcW w:w="31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4D46B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48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60D4D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Univariable</w:t>
            </w:r>
          </w:p>
        </w:tc>
        <w:tc>
          <w:tcPr>
            <w:tcW w:w="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90356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48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1D534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Multivariable (Firth's penalized)</w:t>
            </w:r>
          </w:p>
        </w:tc>
      </w:tr>
      <w:tr w:rsidR="00A70C96" w:rsidRPr="00A70C96" w14:paraId="4A279E81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A2C6B9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AE7B0C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OR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B3856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95% CI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10A431" w14:textId="154B42D8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i/>
                <w:iCs/>
                <w:kern w:val="0"/>
                <w:sz w:val="24"/>
                <w14:ligatures w14:val="none"/>
              </w:rPr>
              <w:t>p</w:t>
            </w:r>
            <w:r w:rsidRPr="00A70C96">
              <w:rPr>
                <w:rFonts w:ascii="Times New Roman" w:eastAsia="Yu Gothic" w:hAnsi="Times New Roman" w:cs="Times New Roman" w:hint="eastAsia"/>
                <w:b/>
                <w:bCs/>
                <w:kern w:val="0"/>
                <w:sz w:val="24"/>
                <w14:ligatures w14:val="none"/>
              </w:rPr>
              <w:t>-</w:t>
            </w: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value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7D06D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83E3A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Adjusted OR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C05F0C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95% CI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0B14BE" w14:textId="341E9BC9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b/>
                <w:bCs/>
                <w:i/>
                <w:iCs/>
                <w:kern w:val="0"/>
                <w:sz w:val="24"/>
                <w14:ligatures w14:val="none"/>
              </w:rPr>
              <w:t>p</w:t>
            </w:r>
            <w:r w:rsidRPr="00A70C96">
              <w:rPr>
                <w:rFonts w:ascii="Times New Roman" w:eastAsia="Yu Gothic" w:hAnsi="Times New Roman" w:cs="Times New Roman" w:hint="eastAsia"/>
                <w:b/>
                <w:bCs/>
                <w:kern w:val="0"/>
                <w:sz w:val="24"/>
                <w14:ligatures w14:val="none"/>
              </w:rPr>
              <w:t>-</w:t>
            </w:r>
            <w:r w:rsidRPr="00A70C96">
              <w:rPr>
                <w:rFonts w:ascii="Times New Roman" w:eastAsia="Yu Gothic" w:hAnsi="Times New Roman" w:cs="Times New Roman"/>
                <w:b/>
                <w:bCs/>
                <w:kern w:val="0"/>
                <w:sz w:val="24"/>
                <w14:ligatures w14:val="none"/>
              </w:rPr>
              <w:t>value</w:t>
            </w:r>
          </w:p>
        </w:tc>
      </w:tr>
      <w:tr w:rsidR="00A70C96" w:rsidRPr="00A70C96" w14:paraId="7FED6F3B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8A0C3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Age group (years)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C5A3E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5ECAAD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213A2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7FDF4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633CA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D7E0F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9EFB3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63704288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11608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&lt;50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70474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29DEC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14107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8584D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042A3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937B1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A37EC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05606FB8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54787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50–59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5E401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1.08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8CBA9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0.72–1.63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9EF4E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0.713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E662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2498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A9115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0.68–1.61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CCDD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0.822</w:t>
            </w:r>
          </w:p>
        </w:tc>
      </w:tr>
      <w:tr w:rsidR="00A70C96" w:rsidRPr="00A70C96" w14:paraId="56464831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AA070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60–69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9C42D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1.82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7C3DE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1.20–2.77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20D76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0.005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B64B2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2F22F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1.73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1AFA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1.09–2.76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D0E9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0.021</w:t>
            </w:r>
          </w:p>
        </w:tc>
      </w:tr>
      <w:tr w:rsidR="00A70C96" w:rsidRPr="00A70C96" w14:paraId="616197A6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C719D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70+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F90DE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3.06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55FA8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1.64–5.73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35CB1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7AFAA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B03E6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3.04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13AD6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1.54–6.00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B0AFE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0.001</w:t>
            </w:r>
          </w:p>
        </w:tc>
      </w:tr>
      <w:tr w:rsidR="00A70C96" w:rsidRPr="00A70C96" w14:paraId="433DB834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3B24A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Sex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BABCE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ADF78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BCC12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0A156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A2F11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C7C5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9DA7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5D0056F6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0819A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Female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8BB33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26D98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3206F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00F59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9BF0C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2F08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305C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619F3AB5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50EC1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Male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3F7D3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1.26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74146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0.90–1.77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022A6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0.173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E1CD5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5121E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4AA3E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0.69–1.58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3DFD7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0.846</w:t>
            </w:r>
          </w:p>
        </w:tc>
      </w:tr>
      <w:tr w:rsidR="00A70C96" w:rsidRPr="00A70C96" w14:paraId="7C38B43E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C187B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 at index endoscopy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401A5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0046A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61872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4A142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B44A2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4C4A7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937A5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61F2E110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79FAB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Absent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52162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EAAA1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4D069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C119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C2966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CE97A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5A25F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3CF09987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118C0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LA grade A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F53D8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0.77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053FE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0.45–1.30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31EE6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0.327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53F68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E8187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BDE8D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0.53–1.61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59E25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0.776</w:t>
            </w:r>
          </w:p>
        </w:tc>
      </w:tr>
      <w:tr w:rsidR="00A70C96" w:rsidRPr="00A70C96" w14:paraId="6D85AA0E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EB0B3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LA grade B+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DA902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0.67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96D73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0.36–1.24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87F56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0.202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9F22C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C5A1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9624D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0.38–1.35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CE90E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0.301</w:t>
            </w:r>
          </w:p>
        </w:tc>
      </w:tr>
      <w:tr w:rsidR="00A70C96" w:rsidRPr="00A70C96" w14:paraId="1E448686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9D179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Gastric mucosal atrophy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5E87F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52C4C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1497C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CE6C6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E13C6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93E3C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5838D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7CCFE517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99567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None or closed-type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55847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856B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26EF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6AE3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6B405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5128F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5E3C5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3DC7AC7C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48C1B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Open-type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FBF4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1.76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8D31D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1.26–2.45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7E9B5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&lt;0.001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DAD5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0456A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1.43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3C6AE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0.97–2.09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9CC84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0.068</w:t>
            </w:r>
          </w:p>
        </w:tc>
      </w:tr>
      <w:tr w:rsidR="00A70C96" w:rsidRPr="00A70C96" w14:paraId="6591CD89" w14:textId="77777777" w:rsidTr="004A7A75">
        <w:trPr>
          <w:trHeight w:val="359"/>
        </w:trPr>
        <w:tc>
          <w:tcPr>
            <w:tcW w:w="48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0E44B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Follow-up duration (years)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2E384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F29B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09831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B5E8C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71D64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F5AF9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688FFC54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6DAC3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&lt;5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32416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C3123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6010D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33AC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36D5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581A9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C03F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30613D15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0232A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5–&lt;10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1FDBE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0.79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022AF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0.53–1.17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F8A6A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0.240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DBB21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0CACA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0.83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06D23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0.55–1.25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7DC09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0.378</w:t>
            </w:r>
          </w:p>
        </w:tc>
      </w:tr>
      <w:tr w:rsidR="00A70C96" w:rsidRPr="00A70C96" w14:paraId="66A6A383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1131E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</w:t>
            </w:r>
            <w:r w:rsidRPr="00A70C96">
              <w:rPr>
                <w:rFonts w:ascii="Times New Roman" w:eastAsia="Yu Gothic Light" w:hAnsi="Times New Roman" w:cs="Times New Roman"/>
                <w:kern w:val="0"/>
                <w:sz w:val="24"/>
                <w14:ligatures w14:val="none"/>
              </w:rPr>
              <w:t>≥</w:t>
            </w: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71A2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1.02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20841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0.67–1.54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37C28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0.939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EDC8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E0FC4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1.14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F8FF2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0.74–1.76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2042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0.542</w:t>
            </w:r>
          </w:p>
        </w:tc>
      </w:tr>
      <w:tr w:rsidR="00A70C96" w:rsidRPr="00A70C96" w14:paraId="2888F41E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BB3C8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Body mass index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CB54F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44D46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54B67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A6124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DA128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C57C4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FEB0C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6563AA97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9E4B0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&lt;25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6F9D8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BBF5D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94233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DA28E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1D729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814DD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53B6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2CF9D9E7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43F18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≥25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54633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1.33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2DB23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0.95–1.87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D8191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0.095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065D3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F3ACC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1.58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F9A92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0.99–2.54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9B38C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0.057</w:t>
            </w:r>
          </w:p>
        </w:tc>
      </w:tr>
      <w:tr w:rsidR="00A70C96" w:rsidRPr="00A70C96" w14:paraId="222D2190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936CF" w14:textId="13EC47AD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Central obesity</w:t>
            </w:r>
            <w:r w:rsidRPr="00A70C96">
              <w:rPr>
                <w:rFonts w:ascii="Times New Roman" w:eastAsia="Yu Gothic" w:hAnsi="Times New Roman" w:cs="Times New Roman" w:hint="eastAsia"/>
                <w:kern w:val="0"/>
                <w:sz w:val="24"/>
                <w:vertAlign w:val="superscript"/>
                <w14:ligatures w14:val="none"/>
              </w:rPr>
              <w:t>a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8460B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3D93C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17FFA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787F6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7E905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33A03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54CB9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7615A7F5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D4850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No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BE4FA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C2256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E1D14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E47F4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B449E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4273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1E75D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33CC3761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965A7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Yes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D970E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1.20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8B054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0.87–1.66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161D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0.258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3D225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1A922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0.87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2796E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0.55–1.38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9696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0.560</w:t>
            </w:r>
          </w:p>
        </w:tc>
      </w:tr>
      <w:tr w:rsidR="00A70C96" w:rsidRPr="00A70C96" w14:paraId="3410E97B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56439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Alcohol drinking status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2AC54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A199C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562B1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80529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A95BE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F5512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F579C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1B1F4771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9E1C3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Never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6B3A8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70841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45F62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C0E2A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839C0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C4215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FF678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09E16869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4789E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Ever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41293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1.14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96EB1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0.71–1.83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8353F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0.601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F8D87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52D23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1.10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18149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0.65–1.84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9CB1A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0.730</w:t>
            </w:r>
          </w:p>
        </w:tc>
      </w:tr>
      <w:tr w:rsidR="00A70C96" w:rsidRPr="00A70C96" w14:paraId="6902F2DE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F2DF5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Smoking status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2D11D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D3FD1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61F8D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529F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86025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D3CBD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FFB92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0CDAF897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C1EE4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Never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9EE6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C2D55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3BAA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D1314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1C1C1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reference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2DAA4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A6AAA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A70C96" w:rsidRPr="00A70C96" w14:paraId="31F6C0AF" w14:textId="77777777" w:rsidTr="004A7A75">
        <w:trPr>
          <w:trHeight w:val="359"/>
        </w:trPr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7F83DC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  Ever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F261F2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1.35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A43E48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0.94–1.95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F620EF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0.100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5A33F7" w14:textId="77777777" w:rsidR="004A7A75" w:rsidRPr="00A70C96" w:rsidRDefault="004A7A75" w:rsidP="004A7A75">
            <w:pPr>
              <w:widowControl/>
              <w:spacing w:line="480" w:lineRule="auto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 xml:space="preserve">　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88349E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1.57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57597A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1.05–2.36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10937B" w14:textId="77777777" w:rsidR="004A7A75" w:rsidRPr="00A70C96" w:rsidRDefault="004A7A75" w:rsidP="004A7A75">
            <w:pPr>
              <w:widowControl/>
              <w:spacing w:line="480" w:lineRule="auto"/>
              <w:jc w:val="center"/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</w:pPr>
            <w:r w:rsidRPr="00A70C96">
              <w:rPr>
                <w:rFonts w:ascii="Times New Roman" w:eastAsia="Yu Gothic" w:hAnsi="Times New Roman" w:cs="Times New Roman"/>
                <w:kern w:val="0"/>
                <w:sz w:val="24"/>
                <w14:ligatures w14:val="none"/>
              </w:rPr>
              <w:t>0.029</w:t>
            </w:r>
          </w:p>
        </w:tc>
      </w:tr>
    </w:tbl>
    <w:p w14:paraId="7C9581BF" w14:textId="77777777" w:rsidR="004A7A75" w:rsidRPr="00A70C96" w:rsidRDefault="004A7A75" w:rsidP="004A7A75">
      <w:pPr>
        <w:spacing w:line="480" w:lineRule="auto"/>
        <w:rPr>
          <w:rFonts w:ascii="Times New Roman" w:hAnsi="Times New Roman" w:cs="Times New Roman"/>
          <w:sz w:val="24"/>
        </w:rPr>
      </w:pPr>
      <w:r w:rsidRPr="00A70C96">
        <w:rPr>
          <w:rFonts w:ascii="Times New Roman" w:hAnsi="Times New Roman" w:cs="Times New Roman"/>
          <w:sz w:val="24"/>
          <w:vertAlign w:val="superscript"/>
        </w:rPr>
        <w:t>a</w:t>
      </w:r>
      <w:r w:rsidRPr="00A70C96">
        <w:rPr>
          <w:rFonts w:ascii="Times New Roman" w:hAnsi="Times New Roman" w:cs="Times New Roman"/>
          <w:sz w:val="24"/>
        </w:rPr>
        <w:t xml:space="preserve"> Waist circumference of ≥85 cm for men and ≥90 cm for women.</w:t>
      </w:r>
    </w:p>
    <w:p w14:paraId="7A3FA0D2" w14:textId="6A867AD5" w:rsidR="004A7A75" w:rsidRPr="00A70C96" w:rsidRDefault="004A7A75" w:rsidP="004A7A75">
      <w:pPr>
        <w:spacing w:line="480" w:lineRule="auto"/>
        <w:rPr>
          <w:rFonts w:ascii="Times New Roman" w:hAnsi="Times New Roman" w:cs="Times New Roman"/>
          <w:sz w:val="24"/>
        </w:rPr>
      </w:pPr>
      <w:r w:rsidRPr="00A70C96">
        <w:rPr>
          <w:rFonts w:ascii="Times New Roman" w:hAnsi="Times New Roman" w:cs="Times New Roman"/>
          <w:sz w:val="24"/>
        </w:rPr>
        <w:t xml:space="preserve">BE, Barrett’s esophagus; CI, confidence interval; </w:t>
      </w:r>
      <w:r w:rsidRPr="00A70C96">
        <w:rPr>
          <w:rFonts w:ascii="Times New Roman" w:hAnsi="Times New Roman" w:cs="Times New Roman" w:hint="eastAsia"/>
          <w:sz w:val="24"/>
        </w:rPr>
        <w:t xml:space="preserve">LA, Los Angeles; </w:t>
      </w:r>
      <w:r w:rsidRPr="00A70C96">
        <w:rPr>
          <w:rFonts w:ascii="Times New Roman" w:hAnsi="Times New Roman" w:cs="Times New Roman"/>
          <w:sz w:val="24"/>
        </w:rPr>
        <w:t xml:space="preserve">LSBE, long-segment Barrett’s esophagus; OR, odds ratio; RE, reflux esophagitis; SSBE, short-segment Barrett’s esophagus; </w:t>
      </w:r>
      <w:r w:rsidRPr="00A70C96">
        <w:rPr>
          <w:rFonts w:ascii="Times New Roman" w:hAnsi="Times New Roman" w:cs="Times New Roman" w:hint="eastAsia"/>
          <w:sz w:val="24"/>
        </w:rPr>
        <w:t>SSBE</w:t>
      </w:r>
      <w:r w:rsidRPr="00A70C96">
        <w:rPr>
          <w:rFonts w:ascii="Times New Roman" w:hAnsi="Times New Roman" w:cs="Times New Roman" w:hint="eastAsia"/>
          <w:sz w:val="24"/>
          <w:vertAlign w:val="superscript"/>
        </w:rPr>
        <w:t>-</w:t>
      </w:r>
      <w:r w:rsidRPr="00A70C96">
        <w:rPr>
          <w:rFonts w:ascii="Times New Roman" w:hAnsi="Times New Roman" w:cs="Times New Roman" w:hint="eastAsia"/>
          <w:sz w:val="24"/>
        </w:rPr>
        <w:t xml:space="preserve">, SSBE with a maximal extent of 1 to &lt;2 cm; </w:t>
      </w:r>
      <w:r w:rsidRPr="00A70C96">
        <w:rPr>
          <w:rFonts w:ascii="Times New Roman" w:hAnsi="Times New Roman" w:cs="Times New Roman"/>
          <w:sz w:val="24"/>
        </w:rPr>
        <w:t>USSBE, ultra-short-segment Barrett’s esophagus.</w:t>
      </w:r>
    </w:p>
    <w:sectPr w:rsidR="004A7A75" w:rsidRPr="00A70C96" w:rsidSect="00A70C96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4980EE" w14:textId="77777777" w:rsidR="0046773D" w:rsidRDefault="0046773D" w:rsidP="00092A2D">
      <w:r>
        <w:separator/>
      </w:r>
    </w:p>
  </w:endnote>
  <w:endnote w:type="continuationSeparator" w:id="0">
    <w:p w14:paraId="10F89EF7" w14:textId="77777777" w:rsidR="0046773D" w:rsidRDefault="0046773D" w:rsidP="00092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353034" w14:textId="77777777" w:rsidR="0046773D" w:rsidRDefault="0046773D" w:rsidP="00092A2D">
      <w:r>
        <w:separator/>
      </w:r>
    </w:p>
  </w:footnote>
  <w:footnote w:type="continuationSeparator" w:id="0">
    <w:p w14:paraId="6BF740D9" w14:textId="77777777" w:rsidR="0046773D" w:rsidRDefault="0046773D" w:rsidP="00092A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B4"/>
    <w:rsid w:val="00092A2D"/>
    <w:rsid w:val="00172DDA"/>
    <w:rsid w:val="001B2A1E"/>
    <w:rsid w:val="00384FC7"/>
    <w:rsid w:val="0046773D"/>
    <w:rsid w:val="004A7A75"/>
    <w:rsid w:val="0059673F"/>
    <w:rsid w:val="00847630"/>
    <w:rsid w:val="00875FD2"/>
    <w:rsid w:val="00945BB6"/>
    <w:rsid w:val="00960410"/>
    <w:rsid w:val="00A70C96"/>
    <w:rsid w:val="00A87794"/>
    <w:rsid w:val="00AF3BCF"/>
    <w:rsid w:val="00AF6424"/>
    <w:rsid w:val="00C52100"/>
    <w:rsid w:val="00F4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41D1AF"/>
  <w15:chartTrackingRefBased/>
  <w15:docId w15:val="{99B7ED0E-BBE9-4B7D-BE23-74E32DCA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F44CB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C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CB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CB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CB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CB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CB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CB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CB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CB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CB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C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C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C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C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CB4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CB4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F44CB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4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CB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4C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4C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4C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C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4C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C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C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2A2D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92A2D"/>
  </w:style>
  <w:style w:type="paragraph" w:styleId="Footer">
    <w:name w:val="footer"/>
    <w:basedOn w:val="Normal"/>
    <w:link w:val="FooterChar"/>
    <w:uiPriority w:val="99"/>
    <w:unhideWhenUsed/>
    <w:rsid w:val="00092A2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92A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13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渡邊　健太</dc:creator>
  <cp:keywords/>
  <dc:description/>
  <cp:lastModifiedBy>Mohamed Ibrahim Mohamed Ansari</cp:lastModifiedBy>
  <cp:revision>8</cp:revision>
  <dcterms:created xsi:type="dcterms:W3CDTF">2026-04-28T10:52:00Z</dcterms:created>
  <dcterms:modified xsi:type="dcterms:W3CDTF">2026-07-31T06:29:00Z</dcterms:modified>
</cp:coreProperties>
</file>