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3"/>
        <w:gridCol w:w="2155"/>
        <w:gridCol w:w="2687"/>
        <w:gridCol w:w="1896"/>
        <w:gridCol w:w="1172"/>
        <w:gridCol w:w="2401"/>
        <w:gridCol w:w="918"/>
      </w:tblGrid>
      <w:tr>
        <w:trPr>
          <w:trHeight w:val="278" w:hRule="atLeast"/>
        </w:trPr>
        <w:tc>
          <w:tcPr>
            <w:tcW w:w="5000" w:type="pct"/>
            <w:gridSpan w:val="7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 xml:space="preserve">Supplementary 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file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 xml:space="preserve"> 3. Incidence of relative changes of SmtO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 xml:space="preserve"> at flanks and their association with AKI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92" w:type="pct"/>
            <w:vMerge w:val="restart"/>
            <w:tcBorders>
              <w:top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231F20"/>
                <w:kern w:val="0"/>
                <w:szCs w:val="21"/>
              </w:rPr>
              <w:t xml:space="preserve">Thresholds </w:t>
            </w:r>
            <w:r>
              <w:rPr>
                <w:rFonts w:ascii="Times New Roman" w:hAnsi="Times New Roman" w:eastAsia="等线" w:cs="Times New Roman"/>
                <w:b/>
                <w:bCs/>
                <w:color w:val="231F2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94" w:type="pct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Exceeding Threshold</w:t>
            </w:r>
          </w:p>
        </w:tc>
        <w:tc>
          <w:tcPr>
            <w:tcW w:w="989" w:type="pct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Not Exceeding Threshold</w:t>
            </w:r>
          </w:p>
        </w:tc>
        <w:tc>
          <w:tcPr>
            <w:tcW w:w="1100" w:type="pct"/>
            <w:gridSpan w:val="2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Univariate logistic regression</w:t>
            </w:r>
          </w:p>
        </w:tc>
        <w:tc>
          <w:tcPr>
            <w:tcW w:w="1225" w:type="pct"/>
            <w:gridSpan w:val="2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 xml:space="preserve">Multivariable logistic regression 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92" w:type="pct"/>
            <w:vMerge w:val="continue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b/>
                <w:bCs/>
                <w:color w:val="231F20"/>
                <w:kern w:val="0"/>
                <w:szCs w:val="21"/>
              </w:rPr>
            </w:pPr>
          </w:p>
        </w:tc>
        <w:tc>
          <w:tcPr>
            <w:tcW w:w="1783" w:type="pct"/>
            <w:gridSpan w:val="2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 xml:space="preserve">AKI/Total patient No. (%) 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666" w:type="pct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 xml:space="preserve">OR (95% CI) </w:t>
            </w:r>
          </w:p>
        </w:tc>
        <w:tc>
          <w:tcPr>
            <w:tcW w:w="434" w:type="pct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i/>
                <w:iCs/>
                <w:color w:val="000000"/>
                <w:kern w:val="0"/>
                <w:szCs w:val="21"/>
              </w:rPr>
              <w:t xml:space="preserve">P 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value</w:t>
            </w:r>
          </w:p>
        </w:tc>
        <w:tc>
          <w:tcPr>
            <w:tcW w:w="884" w:type="pct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b/>
                <w:bCs/>
                <w:color w:val="231F2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231F20"/>
                <w:kern w:val="0"/>
                <w:szCs w:val="21"/>
              </w:rPr>
              <w:t xml:space="preserve">OR (95% CI) </w:t>
            </w:r>
          </w:p>
        </w:tc>
        <w:tc>
          <w:tcPr>
            <w:tcW w:w="341" w:type="pct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b/>
                <w:bCs/>
                <w:color w:val="231F2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i/>
                <w:iCs/>
                <w:color w:val="231F20"/>
                <w:kern w:val="0"/>
                <w:szCs w:val="21"/>
              </w:rPr>
              <w:t>P</w:t>
            </w:r>
            <w:r>
              <w:rPr>
                <w:rFonts w:ascii="Times New Roman" w:hAnsi="Times New Roman" w:eastAsia="等线" w:cs="Times New Roman"/>
                <w:b/>
                <w:bCs/>
                <w:color w:val="231F20"/>
                <w:kern w:val="0"/>
                <w:szCs w:val="21"/>
              </w:rPr>
              <w:t xml:space="preserve"> 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5000" w:type="pct"/>
            <w:gridSpan w:val="7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Cs w:val="21"/>
              </w:rPr>
              <w:t>Left flank SmtO</w:t>
            </w:r>
            <w:r>
              <w:rPr>
                <w:rFonts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Cs w:val="21"/>
                <w:vertAlign w:val="subscript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892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  <w:t xml:space="preserve">&lt; 90% baseline </w:t>
            </w:r>
          </w:p>
        </w:tc>
        <w:tc>
          <w:tcPr>
            <w:tcW w:w="794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  <w:t>9</w:t>
            </w:r>
            <w:r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  <w:t>/16 (56.3)</w:t>
            </w:r>
          </w:p>
        </w:tc>
        <w:tc>
          <w:tcPr>
            <w:tcW w:w="989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  <w:t>5/220 (16.2)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6</w:t>
            </w:r>
            <w:r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.65 (2.32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19.04)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  <w:t>&lt;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  <w:t>.001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  <w:t>6</w:t>
            </w:r>
            <w:r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  <w:t>.38 (1.78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  <w:t>-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  <w:t>22.89)</w:t>
            </w:r>
          </w:p>
        </w:tc>
        <w:tc>
          <w:tcPr>
            <w:tcW w:w="341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.004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892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  <w:t>&lt; 95% baseline</w:t>
            </w:r>
          </w:p>
        </w:tc>
        <w:tc>
          <w:tcPr>
            <w:tcW w:w="794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  <w:t>11/45 (24.4)</w:t>
            </w:r>
          </w:p>
        </w:tc>
        <w:tc>
          <w:tcPr>
            <w:tcW w:w="989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  <w:t>33/187 (17.6)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1.51 (0.69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3.28)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  <w:t>0.299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  <w:t>1.10 (0.44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  <w:t>-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  <w:t>2.71)</w:t>
            </w:r>
          </w:p>
        </w:tc>
        <w:tc>
          <w:tcPr>
            <w:tcW w:w="341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  <w:t>0.401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892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&gt; 105% baseline </w:t>
            </w:r>
          </w:p>
        </w:tc>
        <w:tc>
          <w:tcPr>
            <w:tcW w:w="794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1/140 (22.1)</w:t>
            </w:r>
          </w:p>
        </w:tc>
        <w:tc>
          <w:tcPr>
            <w:tcW w:w="989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3/96 (19.7)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1</w:t>
            </w:r>
            <w:r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.27 (0.78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2.76)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  <w:t>.136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  <w:t>2</w:t>
            </w:r>
            <w:r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  <w:t xml:space="preserve">.19 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  <w:t>(</w:t>
            </w:r>
            <w:r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  <w:t>0.92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  <w:t>-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  <w:t>5.19)</w:t>
            </w:r>
          </w:p>
        </w:tc>
        <w:tc>
          <w:tcPr>
            <w:tcW w:w="341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  <w:t>.076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892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  <w:t>&gt; 110% baseline</w:t>
            </w:r>
          </w:p>
        </w:tc>
        <w:tc>
          <w:tcPr>
            <w:tcW w:w="794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  <w:t>9</w:t>
            </w:r>
            <w:r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  <w:t>/32 (28.1)</w:t>
            </w:r>
          </w:p>
        </w:tc>
        <w:tc>
          <w:tcPr>
            <w:tcW w:w="989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  <w:t>5/200 (17.5)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1</w:t>
            </w:r>
            <w:r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.85 (0.79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4.33)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  <w:t>.159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  <w:t>1</w:t>
            </w:r>
            <w:r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  <w:t>.79 (0.67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  <w:t>-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  <w:t>4.79)</w:t>
            </w:r>
          </w:p>
        </w:tc>
        <w:tc>
          <w:tcPr>
            <w:tcW w:w="341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  <w:t>.245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892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i w:val="0"/>
                <w:iCs w:val="0"/>
                <w:color w:val="231F20"/>
                <w:kern w:val="0"/>
                <w:szCs w:val="21"/>
              </w:rPr>
              <w:t>Right flank SmtO</w:t>
            </w:r>
            <w:r>
              <w:rPr>
                <w:rFonts w:ascii="Times New Roman" w:hAnsi="Times New Roman" w:eastAsia="等线" w:cs="Times New Roman"/>
                <w:b/>
                <w:bCs/>
                <w:i w:val="0"/>
                <w:iCs w:val="0"/>
                <w:color w:val="231F2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794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</w:pPr>
          </w:p>
        </w:tc>
        <w:tc>
          <w:tcPr>
            <w:tcW w:w="989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</w:pPr>
          </w:p>
        </w:tc>
        <w:tc>
          <w:tcPr>
            <w:tcW w:w="884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</w:pPr>
          </w:p>
        </w:tc>
        <w:tc>
          <w:tcPr>
            <w:tcW w:w="341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892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  <w:t xml:space="preserve">&lt; 90% baseline </w:t>
            </w:r>
          </w:p>
        </w:tc>
        <w:tc>
          <w:tcPr>
            <w:tcW w:w="794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  <w:t>/9 (66.7)</w:t>
            </w:r>
          </w:p>
        </w:tc>
        <w:tc>
          <w:tcPr>
            <w:tcW w:w="989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  <w:t xml:space="preserve">7/224 (16.5) 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1</w:t>
            </w:r>
            <w:r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0.11 (2.42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42.24)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  <w:t>.002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  <w:t>8.90 (1.42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  <w:t>-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  <w:t>45.63)</w:t>
            </w:r>
          </w:p>
        </w:tc>
        <w:tc>
          <w:tcPr>
            <w:tcW w:w="341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b w:val="0"/>
                <w:bCs w:val="0"/>
                <w:i w:val="0"/>
                <w:iCs w:val="0"/>
                <w:kern w:val="0"/>
                <w:szCs w:val="21"/>
              </w:rPr>
              <w:t>.019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892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  <w:t>&lt; 95% baseline</w:t>
            </w:r>
          </w:p>
        </w:tc>
        <w:tc>
          <w:tcPr>
            <w:tcW w:w="794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  <w:t>8/26 (30.8)</w:t>
            </w:r>
          </w:p>
        </w:tc>
        <w:tc>
          <w:tcPr>
            <w:tcW w:w="989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  <w:t>35/207 (16.9)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2.20 (0.88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5.42)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0.092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1.52 (0.52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4.44)</w:t>
            </w:r>
          </w:p>
        </w:tc>
        <w:tc>
          <w:tcPr>
            <w:tcW w:w="341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0.446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892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i w:val="0"/>
                <w:i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&gt; 105% baseline </w:t>
            </w:r>
          </w:p>
        </w:tc>
        <w:tc>
          <w:tcPr>
            <w:tcW w:w="794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  <w:t>8/139 (20.1)</w:t>
            </w:r>
          </w:p>
        </w:tc>
        <w:tc>
          <w:tcPr>
            <w:tcW w:w="989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  <w:t>5/94 (16.0)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1</w:t>
            </w:r>
            <w:r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.33 (0.67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2.65)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.420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1</w:t>
            </w:r>
            <w:r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.83 (0.79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4.23)</w:t>
            </w:r>
          </w:p>
        </w:tc>
        <w:tc>
          <w:tcPr>
            <w:tcW w:w="341" w:type="pct"/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.157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892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  <w:t>&gt; 110% baseline</w:t>
            </w:r>
          </w:p>
        </w:tc>
        <w:tc>
          <w:tcPr>
            <w:tcW w:w="794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  <w:t>/24 (25.0)</w:t>
            </w:r>
          </w:p>
        </w:tc>
        <w:tc>
          <w:tcPr>
            <w:tcW w:w="989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hAnsi="Times New Roman" w:eastAsia="等线" w:cs="Times New Roman"/>
                <w:i w:val="0"/>
                <w:iCs w:val="0"/>
                <w:color w:val="000000"/>
                <w:kern w:val="0"/>
                <w:szCs w:val="21"/>
              </w:rPr>
              <w:t>7/209 (17.7)</w:t>
            </w:r>
          </w:p>
        </w:tc>
        <w:tc>
          <w:tcPr>
            <w:tcW w:w="666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1</w:t>
            </w:r>
            <w:r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.55 (0.58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4.17)</w:t>
            </w:r>
          </w:p>
        </w:tc>
        <w:tc>
          <w:tcPr>
            <w:tcW w:w="434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.386</w:t>
            </w:r>
          </w:p>
        </w:tc>
        <w:tc>
          <w:tcPr>
            <w:tcW w:w="884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1</w:t>
            </w:r>
            <w:r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.79 (0.56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5.76)</w:t>
            </w:r>
          </w:p>
        </w:tc>
        <w:tc>
          <w:tcPr>
            <w:tcW w:w="341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360" w:lineRule="auto"/>
              <w:contextualSpacing/>
              <w:jc w:val="left"/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0</w:t>
            </w:r>
            <w:r>
              <w:rPr>
                <w:rFonts w:ascii="Times New Roman" w:hAnsi="Times New Roman" w:eastAsia="等线" w:cs="Times New Roman"/>
                <w:i w:val="0"/>
                <w:iCs w:val="0"/>
                <w:kern w:val="0"/>
                <w:szCs w:val="21"/>
              </w:rPr>
              <w:t>.329</w:t>
            </w:r>
          </w:p>
        </w:tc>
      </w:tr>
    </w:tbl>
    <w:p>
      <w:pPr>
        <w:snapToGrid w:val="0"/>
        <w:spacing w:line="360" w:lineRule="exact"/>
        <w:contextualSpacing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Abbreviations: AKI, Acute kidney injury. SmtO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, muscular tissue oxygen saturation.</w:t>
      </w:r>
    </w:p>
    <w:p>
      <w:pPr>
        <w:snapToGrid w:val="0"/>
        <w:spacing w:line="360" w:lineRule="exact"/>
        <w:contextualSpacing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eastAsia="等线" w:cs="Times New Roman"/>
          <w:color w:val="000000"/>
          <w:szCs w:val="21"/>
        </w:rPr>
        <w:t xml:space="preserve">a, </w:t>
      </w:r>
      <w:r>
        <w:rPr>
          <w:rFonts w:ascii="Times New Roman" w:hAnsi="Times New Roman" w:cs="Times New Roman"/>
          <w:szCs w:val="21"/>
        </w:rPr>
        <w:t xml:space="preserve">Each threshold was adjusted with confounders in including age, ASA, coronary heart disease, surgical duration, maximum SVV, postoperative use of diuretics and ICU admission. </w:t>
      </w:r>
    </w:p>
    <w:p>
      <w:pPr>
        <w:snapToGrid w:val="0"/>
        <w:spacing w:line="360" w:lineRule="exact"/>
        <w:contextualSpacing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b, The numerator is the number of patients with AKI while the denominator is the number of patients who below or not below the threshold.</w:t>
      </w:r>
    </w:p>
    <w:p>
      <w:pPr>
        <w:snapToGrid w:val="0"/>
        <w:spacing w:line="360" w:lineRule="exact"/>
        <w:contextualSpacing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szCs w:val="21"/>
        </w:rPr>
        <w:t>c</w:t>
      </w:r>
      <w:r>
        <w:rPr>
          <w:rFonts w:ascii="Times New Roman" w:hAnsi="Times New Roman" w:cs="Times New Roman"/>
          <w:szCs w:val="21"/>
        </w:rPr>
        <w:t xml:space="preserve">, When using the minimum </w:t>
      </w:r>
      <w:r>
        <w:rPr>
          <w:rFonts w:ascii="Times New Roman" w:hAnsi="Times New Roman" w:cs="Times New Roman"/>
          <w:szCs w:val="21"/>
          <w:lang w:val="en-GB"/>
        </w:rPr>
        <w:t>SmtO</w:t>
      </w:r>
      <w:r>
        <w:rPr>
          <w:rFonts w:ascii="Times New Roman" w:hAnsi="Times New Roman" w:cs="Times New Roman"/>
          <w:szCs w:val="21"/>
          <w:vertAlign w:val="subscript"/>
          <w:lang w:val="en-GB"/>
        </w:rPr>
        <w:t xml:space="preserve">2 </w:t>
      </w:r>
      <w:r>
        <w:rPr>
          <w:rFonts w:ascii="Times New Roman" w:hAnsi="Times New Roman" w:cs="Times New Roman"/>
          <w:szCs w:val="21"/>
        </w:rPr>
        <w:t xml:space="preserve">measured </w:t>
      </w:r>
      <w:r>
        <w:rPr>
          <w:rFonts w:ascii="Times New Roman" w:hAnsi="Times New Roman" w:cs="Times New Roman"/>
          <w:szCs w:val="21"/>
          <w:lang w:val="en-GB"/>
        </w:rPr>
        <w:t xml:space="preserve">at </w:t>
      </w:r>
      <w:r>
        <w:rPr>
          <w:rStyle w:val="9"/>
          <w:rFonts w:hint="eastAsia" w:ascii="Times New Roman" w:hAnsi="Times New Roman" w:cs="Times New Roman"/>
          <w:color w:val="000000" w:themeColor="text1"/>
          <w:szCs w:val="21"/>
          <w:lang w:val="en-GB"/>
          <w14:textFill>
            <w14:solidFill>
              <w14:schemeClr w14:val="tx1"/>
            </w14:solidFill>
          </w14:textFill>
        </w:rPr>
        <w:t>left</w:t>
      </w:r>
      <w:r>
        <w:rPr>
          <w:rStyle w:val="9"/>
          <w:rFonts w:ascii="Times New Roman" w:hAnsi="Times New Roman" w:cs="Times New Roman"/>
          <w:color w:val="000000" w:themeColor="text1"/>
          <w:szCs w:val="21"/>
          <w:lang w:val="en-GB"/>
          <w14:textFill>
            <w14:solidFill>
              <w14:schemeClr w14:val="tx1"/>
            </w14:solidFill>
          </w14:textFill>
        </w:rPr>
        <w:t xml:space="preserve"> </w:t>
      </w:r>
      <w:r>
        <w:rPr>
          <w:rStyle w:val="9"/>
          <w:rFonts w:hint="eastAsia" w:ascii="Times New Roman" w:hAnsi="Times New Roman" w:cs="Times New Roman"/>
          <w:color w:val="000000" w:themeColor="text1"/>
          <w:szCs w:val="21"/>
          <w:lang w:val="en-GB"/>
          <w14:textFill>
            <w14:solidFill>
              <w14:schemeClr w14:val="tx1"/>
            </w14:solidFill>
          </w14:textFill>
        </w:rPr>
        <w:t>and</w:t>
      </w:r>
      <w:r>
        <w:rPr>
          <w:rStyle w:val="9"/>
          <w:rFonts w:ascii="Times New Roman" w:hAnsi="Times New Roman" w:cs="Times New Roman"/>
          <w:color w:val="000000" w:themeColor="text1"/>
          <w:szCs w:val="21"/>
          <w:lang w:val="en-GB"/>
          <w14:textFill>
            <w14:solidFill>
              <w14:schemeClr w14:val="tx1"/>
            </w14:solidFill>
          </w14:textFill>
        </w:rPr>
        <w:t xml:space="preserve"> </w:t>
      </w:r>
      <w:r>
        <w:rPr>
          <w:rStyle w:val="9"/>
          <w:rFonts w:hint="eastAsia" w:ascii="Times New Roman" w:hAnsi="Times New Roman" w:cs="Times New Roman"/>
          <w:color w:val="000000" w:themeColor="text1"/>
          <w:szCs w:val="21"/>
          <w:lang w:val="en-GB"/>
          <w14:textFill>
            <w14:solidFill>
              <w14:schemeClr w14:val="tx1"/>
            </w14:solidFill>
          </w14:textFill>
        </w:rPr>
        <w:t>right</w:t>
      </w:r>
      <w:r>
        <w:rPr>
          <w:rStyle w:val="9"/>
          <w:rFonts w:ascii="Times New Roman" w:hAnsi="Times New Roman" w:cs="Times New Roman"/>
          <w:color w:val="000000" w:themeColor="text1"/>
          <w:szCs w:val="21"/>
          <w:lang w:val="en-GB"/>
          <w14:textFill>
            <w14:solidFill>
              <w14:schemeClr w14:val="tx1"/>
            </w14:solidFill>
          </w14:textFill>
        </w:rPr>
        <w:t xml:space="preserve"> </w:t>
      </w:r>
      <w:r>
        <w:rPr>
          <w:rStyle w:val="9"/>
          <w:rFonts w:hint="eastAsia" w:ascii="Times New Roman" w:hAnsi="Times New Roman" w:cs="Times New Roman"/>
          <w:color w:val="000000" w:themeColor="text1"/>
          <w:szCs w:val="21"/>
          <w:lang w:val="en-GB"/>
          <w14:textFill>
            <w14:solidFill>
              <w14:schemeClr w14:val="tx1"/>
            </w14:solidFill>
          </w14:textFill>
        </w:rPr>
        <w:t>flank</w:t>
      </w:r>
      <w:r>
        <w:rPr>
          <w:rStyle w:val="9"/>
          <w:rFonts w:ascii="Times New Roman" w:hAnsi="Times New Roman" w:cs="Times New Roman"/>
          <w:color w:val="000000" w:themeColor="text1"/>
          <w:szCs w:val="21"/>
          <w:lang w:val="en-GB"/>
          <w14:textFill>
            <w14:solidFill>
              <w14:schemeClr w14:val="tx1"/>
            </w14:solidFill>
          </w14:textFill>
        </w:rPr>
        <w:t xml:space="preserve"> muscles</w:t>
      </w:r>
      <w:r>
        <w:rPr>
          <w:rFonts w:ascii="Times New Roman" w:hAnsi="Times New Roman" w:cs="Times New Roman"/>
          <w:szCs w:val="21"/>
        </w:rPr>
        <w:t xml:space="preserve"> in multivariable logistic regression,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the OR is 1.01 (95% CI, 0.92-1.09; </w:t>
      </w:r>
      <w:r>
        <w:rPr>
          <w:rFonts w:ascii="Times New Roman" w:hAnsi="Times New Roman" w:cs="Times New Roman"/>
          <w:i/>
          <w:iCs/>
          <w:color w:val="000000" w:themeColor="text1"/>
          <w:szCs w:val="21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= 0.938) and 1.02 (95% CI, 0.91-1.14; </w:t>
      </w:r>
      <w:r>
        <w:rPr>
          <w:rFonts w:ascii="Times New Roman" w:hAnsi="Times New Roman" w:cs="Times New Roman"/>
          <w:i/>
          <w:iCs/>
          <w:color w:val="000000" w:themeColor="text1"/>
          <w:szCs w:val="21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= 0.742), respectively.</w:t>
      </w:r>
    </w:p>
    <w:p>
      <w:pPr>
        <w:snapToGrid w:val="0"/>
        <w:spacing w:line="360" w:lineRule="exact"/>
        <w:contextualSpacing/>
        <w:rPr>
          <w:rFonts w:ascii="Times New Roman" w:hAnsi="Times New Roman" w:cs="Times New Roman"/>
          <w:sz w:val="24"/>
          <w:szCs w:val="24"/>
        </w:rPr>
      </w:pPr>
    </w:p>
    <w:p>
      <w:pPr>
        <w:snapToGrid w:val="0"/>
        <w:spacing w:line="360" w:lineRule="exact"/>
        <w:contextualSpacing/>
        <w:rPr>
          <w:rFonts w:ascii="Times New Roman" w:hAnsi="Times New Roman" w:cs="Times New Roman"/>
          <w:szCs w:val="21"/>
        </w:rPr>
      </w:pPr>
    </w:p>
    <w:p>
      <w:pPr>
        <w:snapToGrid w:val="0"/>
        <w:spacing w:line="360" w:lineRule="exact"/>
        <w:contextualSpacing/>
        <w:rPr>
          <w:rFonts w:ascii="Times New Roman" w:hAnsi="Times New Roman" w:cs="Times New Roman"/>
          <w:szCs w:val="21"/>
        </w:rPr>
      </w:pPr>
    </w:p>
    <w:p>
      <w:pPr>
        <w:snapToGrid w:val="0"/>
        <w:spacing w:line="360" w:lineRule="auto"/>
        <w:contextualSpacing/>
      </w:pPr>
      <w:bookmarkStart w:id="0" w:name="_GoBack"/>
      <w:bookmarkEnd w:id="0"/>
    </w:p>
    <w:sectPr>
      <w:pgSz w:w="16838" w:h="11906" w:orient="landscape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JlYmIxZjE2NTYyYWQ1MGMyOTAzMThiODYyMDRhMzAifQ=="/>
    <w:docVar w:name="KY_MEDREF_DOCUID" w:val="{9CB08E24-B0B2-4225-91C9-A0DC3CECAD95}"/>
    <w:docVar w:name="KY_MEDREF_VERSION" w:val="3"/>
  </w:docVars>
  <w:rsids>
    <w:rsidRoot w:val="000F47E4"/>
    <w:rsid w:val="00014A28"/>
    <w:rsid w:val="000527A4"/>
    <w:rsid w:val="00067E1B"/>
    <w:rsid w:val="000F47E4"/>
    <w:rsid w:val="00110834"/>
    <w:rsid w:val="00137C45"/>
    <w:rsid w:val="00150651"/>
    <w:rsid w:val="002579B8"/>
    <w:rsid w:val="0029031F"/>
    <w:rsid w:val="002947F9"/>
    <w:rsid w:val="002A417A"/>
    <w:rsid w:val="002C47C0"/>
    <w:rsid w:val="00346489"/>
    <w:rsid w:val="003512FC"/>
    <w:rsid w:val="003F1FC5"/>
    <w:rsid w:val="0043159C"/>
    <w:rsid w:val="004B0F05"/>
    <w:rsid w:val="00503333"/>
    <w:rsid w:val="00547945"/>
    <w:rsid w:val="005D4A53"/>
    <w:rsid w:val="00604636"/>
    <w:rsid w:val="00686F5B"/>
    <w:rsid w:val="006875A7"/>
    <w:rsid w:val="006C785E"/>
    <w:rsid w:val="006D3F4B"/>
    <w:rsid w:val="0075637F"/>
    <w:rsid w:val="007A3DCC"/>
    <w:rsid w:val="007B6E8B"/>
    <w:rsid w:val="008038CF"/>
    <w:rsid w:val="00837A69"/>
    <w:rsid w:val="00870977"/>
    <w:rsid w:val="00871637"/>
    <w:rsid w:val="008B5A71"/>
    <w:rsid w:val="00900A7D"/>
    <w:rsid w:val="00964AC9"/>
    <w:rsid w:val="009954E9"/>
    <w:rsid w:val="009D2D00"/>
    <w:rsid w:val="00AA1A91"/>
    <w:rsid w:val="00AA77EE"/>
    <w:rsid w:val="00AB28B0"/>
    <w:rsid w:val="00B165DD"/>
    <w:rsid w:val="00B308BA"/>
    <w:rsid w:val="00B70991"/>
    <w:rsid w:val="00B735A4"/>
    <w:rsid w:val="00BF441F"/>
    <w:rsid w:val="00CD1AC0"/>
    <w:rsid w:val="00CF7D88"/>
    <w:rsid w:val="00D30B10"/>
    <w:rsid w:val="00D81EC0"/>
    <w:rsid w:val="00DA6DBC"/>
    <w:rsid w:val="00E123B2"/>
    <w:rsid w:val="00EE327A"/>
    <w:rsid w:val="00EF5287"/>
    <w:rsid w:val="00F050F3"/>
    <w:rsid w:val="00F1182E"/>
    <w:rsid w:val="00F74D4A"/>
    <w:rsid w:val="00F77198"/>
    <w:rsid w:val="00FB5863"/>
    <w:rsid w:val="00FD1B65"/>
    <w:rsid w:val="00FF6961"/>
    <w:rsid w:val="1D823954"/>
    <w:rsid w:val="24CD11E7"/>
    <w:rsid w:val="49D42E7F"/>
    <w:rsid w:val="5961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  <w:style w:type="paragraph" w:styleId="8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9">
    <w:name w:val="high-light"/>
    <w:basedOn w:val="5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250</Words>
  <Characters>1431</Characters>
  <Lines>11</Lines>
  <Paragraphs>3</Paragraphs>
  <TotalTime>239</TotalTime>
  <ScaleCrop>false</ScaleCrop>
  <LinksUpToDate>false</LinksUpToDate>
  <CharactersWithSpaces>1678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2022-11-14T02:55:00Z</dcterms:created>
  <dc:creator>eleven87670@163.com</dc:creator>
  <cp:lastModifiedBy>灵子</cp:lastModifiedBy>
  <dcterms:modified xsi:type="dcterms:W3CDTF">2024-01-31T02:16:28Z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F0833DD459664264BFFF5D37EB99E2CC_12</vt:lpwstr>
  </property>
</Properties>
</file>