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1453F" w14:textId="6DA9BB36" w:rsidR="00D92AD0" w:rsidRDefault="00DA4C4D" w:rsidP="00151518">
      <w:pPr>
        <w:pStyle w:val="Heading1"/>
        <w:rPr>
          <w:lang w:val="en-US"/>
        </w:rPr>
      </w:pPr>
      <w:r w:rsidRPr="00627680">
        <w:rPr>
          <w:lang w:val="en-US"/>
        </w:rPr>
        <w:t>Supplementary</w:t>
      </w:r>
      <w:r w:rsidRPr="00777EF5">
        <w:rPr>
          <w:lang w:val="en-US"/>
        </w:rPr>
        <w:t xml:space="preserve"> material</w:t>
      </w:r>
    </w:p>
    <w:p w14:paraId="2371EEF2" w14:textId="0D0414DB" w:rsidR="00151518" w:rsidRDefault="00151518" w:rsidP="00151518">
      <w:pPr>
        <w:pStyle w:val="Heading2"/>
        <w:rPr>
          <w:lang w:val="en-US"/>
        </w:rPr>
      </w:pPr>
      <w:r>
        <w:rPr>
          <w:lang w:val="en-US"/>
        </w:rPr>
        <w:t>Title of the manuscript</w:t>
      </w:r>
    </w:p>
    <w:p w14:paraId="260A4907" w14:textId="16CBCC86" w:rsidR="00151518" w:rsidRPr="00A074BD" w:rsidRDefault="00151518" w:rsidP="00151518">
      <w:pPr>
        <w:pStyle w:val="NoSpacing"/>
        <w:rPr>
          <w:lang w:val="en-US"/>
        </w:rPr>
      </w:pPr>
      <w:r w:rsidRPr="00A074BD">
        <w:rPr>
          <w:lang w:val="en-US"/>
        </w:rPr>
        <w:t>Quantification of arbuscular mycorrhizal fungi root colonization in wheat, tomato and leek using absolute qPCR</w:t>
      </w:r>
    </w:p>
    <w:p w14:paraId="11AD356D" w14:textId="77777777" w:rsidR="00151518" w:rsidRPr="00A074BD" w:rsidRDefault="00151518" w:rsidP="00151518">
      <w:pPr>
        <w:pStyle w:val="Heading2"/>
        <w:rPr>
          <w:lang w:val="en-US"/>
        </w:rPr>
      </w:pPr>
      <w:r w:rsidRPr="00A074BD">
        <w:rPr>
          <w:lang w:val="en-US"/>
        </w:rPr>
        <w:t>Authors</w:t>
      </w:r>
    </w:p>
    <w:p w14:paraId="3CE73F5C" w14:textId="5ABB0E6A" w:rsidR="00151518" w:rsidRPr="00A074BD" w:rsidRDefault="00151518" w:rsidP="00151518">
      <w:pPr>
        <w:pStyle w:val="NoSpacing"/>
        <w:rPr>
          <w:lang w:val="en-US"/>
        </w:rPr>
      </w:pPr>
      <w:r w:rsidRPr="00A074BD">
        <w:rPr>
          <w:lang w:val="en-US"/>
        </w:rPr>
        <w:t>Andrea Corona Ramírez, Sarah Symanczik, Tabea Gallusser, Natacha Bodenhausen</w:t>
      </w:r>
    </w:p>
    <w:p w14:paraId="7A0553C7" w14:textId="77777777" w:rsidR="00151518" w:rsidRDefault="00151518" w:rsidP="00151518">
      <w:pPr>
        <w:pStyle w:val="NoSpacing"/>
        <w:rPr>
          <w:lang w:val="en-US"/>
        </w:rPr>
      </w:pPr>
    </w:p>
    <w:p w14:paraId="5FDC6F3A" w14:textId="76DF9288" w:rsidR="00151518" w:rsidRPr="00151518" w:rsidRDefault="00151518" w:rsidP="00151518">
      <w:pPr>
        <w:pStyle w:val="NoSpacing"/>
        <w:rPr>
          <w:lang w:val="en-US"/>
        </w:rPr>
      </w:pPr>
      <w:r w:rsidRPr="00151518">
        <w:rPr>
          <w:lang w:val="en-US"/>
        </w:rPr>
        <w:t>This file includes:</w:t>
      </w:r>
    </w:p>
    <w:p w14:paraId="0DC231A3" w14:textId="4EF54D46" w:rsidR="00151518" w:rsidRDefault="00151518" w:rsidP="00151518">
      <w:pPr>
        <w:pStyle w:val="NoSpacing"/>
        <w:rPr>
          <w:lang w:val="en-US"/>
        </w:rPr>
      </w:pPr>
      <w:r w:rsidRPr="00151518">
        <w:rPr>
          <w:lang w:val="en-US"/>
        </w:rPr>
        <w:t>Figures S1 to S</w:t>
      </w:r>
      <w:r w:rsidR="00FC6525">
        <w:rPr>
          <w:lang w:val="en-US"/>
        </w:rPr>
        <w:t>6</w:t>
      </w:r>
    </w:p>
    <w:p w14:paraId="069350C7" w14:textId="57706A7C" w:rsidR="00151518" w:rsidRDefault="00151518" w:rsidP="00151518">
      <w:pPr>
        <w:pStyle w:val="NoSpacing"/>
        <w:rPr>
          <w:lang w:val="en-US"/>
        </w:rPr>
      </w:pPr>
      <w:r>
        <w:rPr>
          <w:lang w:val="en-US"/>
        </w:rPr>
        <w:t>Tables</w:t>
      </w:r>
      <w:r w:rsidRPr="00151518">
        <w:rPr>
          <w:lang w:val="en-US"/>
        </w:rPr>
        <w:t xml:space="preserve"> S1 to S</w:t>
      </w:r>
      <w:r>
        <w:rPr>
          <w:lang w:val="en-US"/>
        </w:rPr>
        <w:t>4</w:t>
      </w:r>
    </w:p>
    <w:p w14:paraId="491A0735" w14:textId="77777777" w:rsidR="00151518" w:rsidRDefault="00151518" w:rsidP="00151518">
      <w:pPr>
        <w:pStyle w:val="NoSpacing"/>
        <w:rPr>
          <w:lang w:val="en-US"/>
        </w:rPr>
      </w:pPr>
    </w:p>
    <w:p w14:paraId="2F1F3EAB" w14:textId="77777777" w:rsidR="00151518" w:rsidRDefault="00151518">
      <w:pPr>
        <w:ind w:firstLine="360"/>
        <w:rPr>
          <w:lang w:val="en-US"/>
        </w:rPr>
      </w:pPr>
      <w:r>
        <w:rPr>
          <w:lang w:val="en-US"/>
        </w:rPr>
        <w:br w:type="page"/>
      </w:r>
    </w:p>
    <w:p w14:paraId="4495159E" w14:textId="0B8BF886" w:rsidR="00772CF9" w:rsidRPr="00772CF9" w:rsidRDefault="00772CF9" w:rsidP="00772CF9">
      <w:pPr>
        <w:pStyle w:val="Heading2"/>
        <w:rPr>
          <w:lang w:val="en-US"/>
        </w:rPr>
      </w:pPr>
      <w:r>
        <w:rPr>
          <w:lang w:val="en-US"/>
        </w:rPr>
        <w:lastRenderedPageBreak/>
        <w:t>Figures</w:t>
      </w:r>
    </w:p>
    <w:p w14:paraId="4874D2B6" w14:textId="359A17E8" w:rsidR="00303CA0" w:rsidRPr="004508D1" w:rsidRDefault="00151518" w:rsidP="00303CA0">
      <w:pPr>
        <w:jc w:val="both"/>
        <w:rPr>
          <w:b/>
          <w:bCs/>
          <w:color w:val="000000"/>
          <w:sz w:val="20"/>
          <w:szCs w:val="20"/>
        </w:rPr>
      </w:pPr>
      <w:r>
        <w:rPr>
          <w:b/>
          <w:bCs/>
          <w:noProof/>
          <w:color w:val="000000"/>
          <w:sz w:val="20"/>
          <w:szCs w:val="20"/>
        </w:rPr>
        <w:drawing>
          <wp:inline distT="0" distB="0" distL="0" distR="0" wp14:anchorId="7393FE5D" wp14:editId="0654A629">
            <wp:extent cx="5727700" cy="4258945"/>
            <wp:effectExtent l="0" t="0" r="0" b="0"/>
            <wp:docPr id="1052925811" name="Picture 1" descr="A group of images of different colored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25811" name="Picture 1" descr="A group of images of different colored object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4258945"/>
                    </a:xfrm>
                    <a:prstGeom prst="rect">
                      <a:avLst/>
                    </a:prstGeom>
                  </pic:spPr>
                </pic:pic>
              </a:graphicData>
            </a:graphic>
          </wp:inline>
        </w:drawing>
      </w:r>
    </w:p>
    <w:p w14:paraId="44C4763F" w14:textId="3B7028A0" w:rsidR="00303CA0" w:rsidRPr="00033110" w:rsidRDefault="00303CA0" w:rsidP="004508D1">
      <w:pPr>
        <w:pStyle w:val="NoSpacing"/>
        <w:rPr>
          <w:lang w:val="en-GB"/>
        </w:rPr>
      </w:pPr>
      <w:r w:rsidRPr="00033110">
        <w:rPr>
          <w:b/>
          <w:bCs/>
          <w:lang w:val="en-GB"/>
        </w:rPr>
        <w:t>Fig</w:t>
      </w:r>
      <w:r w:rsidR="005D2B8B">
        <w:rPr>
          <w:b/>
          <w:bCs/>
          <w:lang w:val="en-GB"/>
        </w:rPr>
        <w:t>.</w:t>
      </w:r>
      <w:r w:rsidRPr="00033110">
        <w:rPr>
          <w:b/>
          <w:bCs/>
          <w:lang w:val="en-GB"/>
        </w:rPr>
        <w:t xml:space="preserve"> </w:t>
      </w:r>
      <w:r w:rsidR="005D2B8B">
        <w:rPr>
          <w:b/>
          <w:bCs/>
          <w:lang w:val="en-GB"/>
        </w:rPr>
        <w:t>S</w:t>
      </w:r>
      <w:r w:rsidRPr="00033110">
        <w:rPr>
          <w:b/>
          <w:bCs/>
          <w:lang w:val="en-GB"/>
        </w:rPr>
        <w:t xml:space="preserve">1. </w:t>
      </w:r>
      <w:r w:rsidRPr="00033110">
        <w:rPr>
          <w:bCs/>
          <w:lang w:val="en-GB"/>
        </w:rPr>
        <w:t xml:space="preserve">Effect of the phosphorus (P) fertilization gradient on the shoot dry weight of the winter wheat varieties </w:t>
      </w:r>
      <w:proofErr w:type="spellStart"/>
      <w:r w:rsidRPr="00033110">
        <w:rPr>
          <w:lang w:val="en-GB"/>
        </w:rPr>
        <w:t>Colmetta</w:t>
      </w:r>
      <w:proofErr w:type="spellEnd"/>
      <w:r w:rsidRPr="00033110">
        <w:rPr>
          <w:lang w:val="en-GB"/>
        </w:rPr>
        <w:t xml:space="preserve"> (A) and </w:t>
      </w:r>
      <w:proofErr w:type="spellStart"/>
      <w:r w:rsidRPr="00033110">
        <w:rPr>
          <w:lang w:val="en-GB"/>
        </w:rPr>
        <w:t>Wiwa</w:t>
      </w:r>
      <w:proofErr w:type="spellEnd"/>
      <w:r w:rsidRPr="00033110">
        <w:rPr>
          <w:lang w:val="en-GB"/>
        </w:rPr>
        <w:t xml:space="preserve"> (B), tomato (C) and leek (D)</w:t>
      </w:r>
      <w:r w:rsidRPr="00033110">
        <w:rPr>
          <w:b/>
          <w:bCs/>
          <w:lang w:val="en-GB"/>
        </w:rPr>
        <w:t>.</w:t>
      </w:r>
      <w:r w:rsidRPr="00033110">
        <w:rPr>
          <w:lang w:val="en-GB"/>
        </w:rPr>
        <w:t xml:space="preserve"> </w:t>
      </w:r>
      <w:r w:rsidRPr="004508D1">
        <w:rPr>
          <w:lang w:val="en-GB"/>
        </w:rPr>
        <w:t>Each point represents a replicate, and the colour intensity increases with increasing P fertilization level.</w:t>
      </w:r>
      <w:r w:rsidRPr="00033110">
        <w:rPr>
          <w:lang w:val="en-GB"/>
        </w:rPr>
        <w:t xml:space="preserve"> </w:t>
      </w:r>
      <w:r w:rsidR="00BE39E4" w:rsidRPr="00BE39E4">
        <w:rPr>
          <w:shd w:val="clear" w:color="auto" w:fill="FFFFFF"/>
          <w:lang w:val="en-US"/>
        </w:rPr>
        <w:t>Treatments</w:t>
      </w:r>
      <w:r w:rsidR="00D36CE9" w:rsidRPr="004508D1">
        <w:rPr>
          <w:shd w:val="clear" w:color="auto" w:fill="FFFFFF"/>
          <w:lang w:val="en-US"/>
        </w:rPr>
        <w:t xml:space="preserve"> topped by the same letter do not differ significantly by </w:t>
      </w:r>
      <w:r w:rsidRPr="00033110">
        <w:rPr>
          <w:lang w:val="en-GB"/>
        </w:rPr>
        <w:t>Tukey’s honest</w:t>
      </w:r>
      <w:r w:rsidR="00151518">
        <w:rPr>
          <w:lang w:val="en-GB"/>
        </w:rPr>
        <w:t>ly</w:t>
      </w:r>
      <w:r w:rsidRPr="00033110">
        <w:rPr>
          <w:lang w:val="en-GB"/>
        </w:rPr>
        <w:t xml:space="preserve"> significant difference test. </w:t>
      </w:r>
    </w:p>
    <w:p w14:paraId="3FF91877" w14:textId="77777777" w:rsidR="00303CA0" w:rsidRPr="00D33538" w:rsidRDefault="00303CA0" w:rsidP="00303CA0">
      <w:pPr>
        <w:ind w:firstLine="360"/>
        <w:rPr>
          <w:rFonts w:ascii="Arial" w:hAnsi="Arial" w:cs="Arial"/>
          <w:color w:val="000000"/>
          <w:sz w:val="20"/>
          <w:szCs w:val="20"/>
          <w:lang w:val="en-GB"/>
        </w:rPr>
      </w:pPr>
      <w:r w:rsidRPr="00D33538">
        <w:rPr>
          <w:rFonts w:ascii="Arial" w:hAnsi="Arial" w:cs="Arial"/>
          <w:color w:val="000000"/>
          <w:sz w:val="20"/>
          <w:szCs w:val="20"/>
          <w:lang w:val="en-GB"/>
        </w:rPr>
        <w:br w:type="page"/>
      </w:r>
    </w:p>
    <w:p w14:paraId="401B73DE" w14:textId="7E7A6EC4" w:rsidR="00DA4C4D" w:rsidRPr="00DA4C4D" w:rsidRDefault="00151518" w:rsidP="00C51119">
      <w:pPr>
        <w:rPr>
          <w:rFonts w:ascii="Arial" w:hAnsi="Arial" w:cs="Arial"/>
          <w:b/>
          <w:bCs/>
          <w:sz w:val="20"/>
          <w:szCs w:val="20"/>
        </w:rPr>
      </w:pPr>
      <w:r>
        <w:rPr>
          <w:rFonts w:ascii="Arial" w:hAnsi="Arial" w:cs="Arial"/>
          <w:b/>
          <w:bCs/>
          <w:noProof/>
          <w:sz w:val="20"/>
          <w:szCs w:val="20"/>
        </w:rPr>
        <w:lastRenderedPageBreak/>
        <w:drawing>
          <wp:inline distT="0" distB="0" distL="0" distR="0" wp14:anchorId="39F84A18" wp14:editId="2759EF6A">
            <wp:extent cx="5727700" cy="4258945"/>
            <wp:effectExtent l="0" t="0" r="0" b="0"/>
            <wp:docPr id="1563429088" name="Picture 2" descr="A group of images of different colored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429088" name="Picture 2" descr="A group of images of different colored object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4258945"/>
                    </a:xfrm>
                    <a:prstGeom prst="rect">
                      <a:avLst/>
                    </a:prstGeom>
                  </pic:spPr>
                </pic:pic>
              </a:graphicData>
            </a:graphic>
          </wp:inline>
        </w:drawing>
      </w:r>
    </w:p>
    <w:p w14:paraId="6CFF59C2" w14:textId="3CBE83F5" w:rsidR="00D727C4" w:rsidRPr="00F24519" w:rsidRDefault="00DA4C4D" w:rsidP="004508D1">
      <w:pPr>
        <w:pStyle w:val="NoSpacing"/>
        <w:rPr>
          <w:lang w:val="en-GB"/>
        </w:rPr>
      </w:pPr>
      <w:r w:rsidRPr="00F24519">
        <w:rPr>
          <w:b/>
          <w:bCs/>
          <w:lang w:val="en-GB"/>
        </w:rPr>
        <w:t>Fig</w:t>
      </w:r>
      <w:r w:rsidR="005D2B8B">
        <w:rPr>
          <w:b/>
          <w:bCs/>
          <w:lang w:val="en-GB"/>
        </w:rPr>
        <w:t>.</w:t>
      </w:r>
      <w:r w:rsidRPr="00F24519">
        <w:rPr>
          <w:b/>
          <w:bCs/>
          <w:lang w:val="en-GB"/>
        </w:rPr>
        <w:t xml:space="preserve"> </w:t>
      </w:r>
      <w:r w:rsidR="005D2B8B">
        <w:rPr>
          <w:b/>
          <w:bCs/>
          <w:lang w:val="en-GB"/>
        </w:rPr>
        <w:t>S</w:t>
      </w:r>
      <w:r w:rsidR="00303CA0">
        <w:rPr>
          <w:b/>
          <w:bCs/>
          <w:lang w:val="en-GB"/>
        </w:rPr>
        <w:t>2</w:t>
      </w:r>
      <w:r w:rsidRPr="00F24519">
        <w:rPr>
          <w:b/>
          <w:bCs/>
          <w:lang w:val="en-GB"/>
        </w:rPr>
        <w:t xml:space="preserve">. </w:t>
      </w:r>
      <w:r w:rsidR="00D727C4" w:rsidRPr="00F24519">
        <w:rPr>
          <w:bCs/>
          <w:lang w:val="en-GB"/>
        </w:rPr>
        <w:t xml:space="preserve">Effect of the phosphorus (P) fertilization gradient on the root dry weight of the winter wheat varieties </w:t>
      </w:r>
      <w:proofErr w:type="spellStart"/>
      <w:r w:rsidR="00D727C4" w:rsidRPr="00F24519">
        <w:rPr>
          <w:lang w:val="en-GB"/>
        </w:rPr>
        <w:t>Colmetta</w:t>
      </w:r>
      <w:proofErr w:type="spellEnd"/>
      <w:r w:rsidR="00D727C4" w:rsidRPr="00F24519">
        <w:rPr>
          <w:lang w:val="en-GB"/>
        </w:rPr>
        <w:t xml:space="preserve"> (A) and </w:t>
      </w:r>
      <w:proofErr w:type="spellStart"/>
      <w:r w:rsidR="00D727C4" w:rsidRPr="00F24519">
        <w:rPr>
          <w:lang w:val="en-GB"/>
        </w:rPr>
        <w:t>Wiwa</w:t>
      </w:r>
      <w:proofErr w:type="spellEnd"/>
      <w:r w:rsidR="00D727C4" w:rsidRPr="00F24519">
        <w:rPr>
          <w:lang w:val="en-GB"/>
        </w:rPr>
        <w:t xml:space="preserve"> (B), tomato (C) and leek (D)</w:t>
      </w:r>
      <w:r w:rsidR="00D727C4" w:rsidRPr="00F24519">
        <w:rPr>
          <w:b/>
          <w:bCs/>
          <w:lang w:val="en-GB"/>
        </w:rPr>
        <w:t>.</w:t>
      </w:r>
      <w:r w:rsidR="00D727C4" w:rsidRPr="00F24519">
        <w:rPr>
          <w:lang w:val="en-GB"/>
        </w:rPr>
        <w:t xml:space="preserve"> Each point represents a replicate, and the colour intensity increases with increasing P fertilization level</w:t>
      </w:r>
      <w:r w:rsidR="00730D04" w:rsidRPr="00730D04">
        <w:rPr>
          <w:shd w:val="clear" w:color="auto" w:fill="FFFFFF"/>
          <w:lang w:val="en-US"/>
        </w:rPr>
        <w:t xml:space="preserve"> </w:t>
      </w:r>
      <w:r w:rsidR="00BE39E4" w:rsidRPr="008E046A">
        <w:rPr>
          <w:shd w:val="clear" w:color="auto" w:fill="FFFFFF"/>
          <w:lang w:val="en-US"/>
        </w:rPr>
        <w:t>Treatments</w:t>
      </w:r>
      <w:r w:rsidR="00730D04" w:rsidRPr="008E046A">
        <w:rPr>
          <w:shd w:val="clear" w:color="auto" w:fill="FFFFFF"/>
          <w:lang w:val="en-US"/>
        </w:rPr>
        <w:t xml:space="preserve"> topped by the same letter do not differ significantly by</w:t>
      </w:r>
      <w:r w:rsidR="00D727C4" w:rsidRPr="00F24519">
        <w:rPr>
          <w:lang w:val="en-GB"/>
        </w:rPr>
        <w:t xml:space="preserve"> Tukey’s honest</w:t>
      </w:r>
      <w:r w:rsidR="00151518">
        <w:rPr>
          <w:lang w:val="en-GB"/>
        </w:rPr>
        <w:t>ly</w:t>
      </w:r>
      <w:r w:rsidR="00D727C4" w:rsidRPr="00F24519">
        <w:rPr>
          <w:lang w:val="en-GB"/>
        </w:rPr>
        <w:t xml:space="preserve"> significant difference test. </w:t>
      </w:r>
    </w:p>
    <w:p w14:paraId="388F6C2E" w14:textId="77777777" w:rsidR="00DA4C4D" w:rsidRPr="001D3117" w:rsidRDefault="00DA4C4D" w:rsidP="00C51119">
      <w:pPr>
        <w:rPr>
          <w:b/>
          <w:bCs/>
          <w:sz w:val="20"/>
          <w:szCs w:val="20"/>
          <w:lang w:val="en-GB"/>
        </w:rPr>
      </w:pPr>
    </w:p>
    <w:p w14:paraId="3D1F18D0" w14:textId="50132424" w:rsidR="00DA4C4D" w:rsidRPr="00DA4C4D" w:rsidRDefault="00EC18A5" w:rsidP="00C51119">
      <w:pPr>
        <w:rPr>
          <w:rFonts w:ascii="Arial" w:hAnsi="Arial" w:cs="Arial"/>
          <w:b/>
          <w:bCs/>
          <w:sz w:val="20"/>
          <w:szCs w:val="20"/>
        </w:rPr>
      </w:pPr>
      <w:r>
        <w:rPr>
          <w:rFonts w:ascii="Arial" w:hAnsi="Arial" w:cs="Arial"/>
          <w:b/>
          <w:bCs/>
          <w:noProof/>
          <w:sz w:val="20"/>
          <w:szCs w:val="20"/>
        </w:rPr>
        <w:lastRenderedPageBreak/>
        <w:drawing>
          <wp:inline distT="0" distB="0" distL="0" distR="0" wp14:anchorId="095E467C" wp14:editId="64B5B64E">
            <wp:extent cx="5727700" cy="4258945"/>
            <wp:effectExtent l="0" t="0" r="0" b="0"/>
            <wp:docPr id="1155504312" name="Picture 3" descr="A diagram of different types of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04312" name="Picture 3" descr="A diagram of different types of plant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4258945"/>
                    </a:xfrm>
                    <a:prstGeom prst="rect">
                      <a:avLst/>
                    </a:prstGeom>
                  </pic:spPr>
                </pic:pic>
              </a:graphicData>
            </a:graphic>
          </wp:inline>
        </w:drawing>
      </w:r>
    </w:p>
    <w:p w14:paraId="795A3055" w14:textId="6DFF8DF2" w:rsidR="00BA475F" w:rsidRPr="00F24519" w:rsidRDefault="00DA4C4D" w:rsidP="004508D1">
      <w:pPr>
        <w:pStyle w:val="NoSpacing"/>
        <w:rPr>
          <w:lang w:val="en-GB"/>
        </w:rPr>
      </w:pPr>
      <w:r w:rsidRPr="00F24519">
        <w:rPr>
          <w:b/>
          <w:bCs/>
          <w:lang w:val="en-GB"/>
        </w:rPr>
        <w:t>Fig</w:t>
      </w:r>
      <w:r w:rsidR="005D2B8B">
        <w:rPr>
          <w:b/>
          <w:bCs/>
          <w:lang w:val="en-GB"/>
        </w:rPr>
        <w:t>.</w:t>
      </w:r>
      <w:r w:rsidRPr="00F24519">
        <w:rPr>
          <w:b/>
          <w:bCs/>
          <w:lang w:val="en-GB"/>
        </w:rPr>
        <w:t xml:space="preserve"> </w:t>
      </w:r>
      <w:r w:rsidR="005D2B8B">
        <w:rPr>
          <w:b/>
          <w:bCs/>
          <w:lang w:val="en-GB"/>
        </w:rPr>
        <w:t>S</w:t>
      </w:r>
      <w:r w:rsidR="00303CA0">
        <w:rPr>
          <w:b/>
          <w:bCs/>
          <w:lang w:val="en-GB"/>
        </w:rPr>
        <w:t>3</w:t>
      </w:r>
      <w:r w:rsidRPr="00F24519">
        <w:rPr>
          <w:b/>
          <w:bCs/>
          <w:lang w:val="en-GB"/>
        </w:rPr>
        <w:t xml:space="preserve">. </w:t>
      </w:r>
      <w:r w:rsidRPr="00F24519">
        <w:rPr>
          <w:lang w:val="en-GB"/>
        </w:rPr>
        <w:t xml:space="preserve">Phosphor </w:t>
      </w:r>
      <w:r w:rsidR="00BA475F" w:rsidRPr="00F24519">
        <w:rPr>
          <w:lang w:val="en-GB"/>
        </w:rPr>
        <w:t xml:space="preserve">(P) </w:t>
      </w:r>
      <w:r w:rsidRPr="00F24519">
        <w:rPr>
          <w:lang w:val="en-GB"/>
        </w:rPr>
        <w:t xml:space="preserve">plant </w:t>
      </w:r>
      <w:r w:rsidR="007E4009">
        <w:rPr>
          <w:lang w:val="en-GB"/>
        </w:rPr>
        <w:t>uptake</w:t>
      </w:r>
      <w:r w:rsidR="007E4009" w:rsidRPr="00F24519">
        <w:rPr>
          <w:lang w:val="en-GB"/>
        </w:rPr>
        <w:t xml:space="preserve"> </w:t>
      </w:r>
      <w:r w:rsidR="00BA475F" w:rsidRPr="00F24519">
        <w:rPr>
          <w:lang w:val="en-GB"/>
        </w:rPr>
        <w:t xml:space="preserve">of the winter wheat varieties </w:t>
      </w:r>
      <w:proofErr w:type="spellStart"/>
      <w:r w:rsidR="00BA475F" w:rsidRPr="00F24519">
        <w:rPr>
          <w:lang w:val="en-GB"/>
        </w:rPr>
        <w:t>Colmetta</w:t>
      </w:r>
      <w:proofErr w:type="spellEnd"/>
      <w:r w:rsidR="00BA475F" w:rsidRPr="00F24519">
        <w:rPr>
          <w:lang w:val="en-GB"/>
        </w:rPr>
        <w:t xml:space="preserve"> (A) and </w:t>
      </w:r>
      <w:proofErr w:type="spellStart"/>
      <w:r w:rsidR="00BA475F" w:rsidRPr="00F24519">
        <w:rPr>
          <w:lang w:val="en-GB"/>
        </w:rPr>
        <w:t>Wiwa</w:t>
      </w:r>
      <w:proofErr w:type="spellEnd"/>
      <w:r w:rsidR="00BA475F" w:rsidRPr="00F24519">
        <w:rPr>
          <w:lang w:val="en-GB"/>
        </w:rPr>
        <w:t xml:space="preserve"> (B), tomato (C) and leek (D).</w:t>
      </w:r>
      <w:r w:rsidRPr="00F24519">
        <w:rPr>
          <w:lang w:val="en-GB"/>
        </w:rPr>
        <w:t xml:space="preserve"> </w:t>
      </w:r>
      <w:r w:rsidR="00BA475F" w:rsidRPr="00F24519">
        <w:rPr>
          <w:lang w:val="en-GB"/>
        </w:rPr>
        <w:t>Each point represents a replicate, and the colour intensity increases with increasing P fertilization level</w:t>
      </w:r>
      <w:r w:rsidR="00730D04">
        <w:rPr>
          <w:lang w:val="en-GB"/>
        </w:rPr>
        <w:t>.</w:t>
      </w:r>
      <w:r w:rsidR="00730D04" w:rsidRPr="00730D04">
        <w:rPr>
          <w:shd w:val="clear" w:color="auto" w:fill="FFFFFF"/>
          <w:lang w:val="en-US"/>
        </w:rPr>
        <w:t xml:space="preserve"> </w:t>
      </w:r>
      <w:r w:rsidR="00BE39E4" w:rsidRPr="008E046A">
        <w:rPr>
          <w:shd w:val="clear" w:color="auto" w:fill="FFFFFF"/>
          <w:lang w:val="en-US"/>
        </w:rPr>
        <w:t>Treatments</w:t>
      </w:r>
      <w:r w:rsidR="00730D04" w:rsidRPr="008E046A">
        <w:rPr>
          <w:shd w:val="clear" w:color="auto" w:fill="FFFFFF"/>
          <w:lang w:val="en-US"/>
        </w:rPr>
        <w:t xml:space="preserve"> topped by the same letter do not differ significantly by</w:t>
      </w:r>
      <w:r w:rsidR="00730D04" w:rsidRPr="00F24519" w:rsidDel="00730D04">
        <w:rPr>
          <w:lang w:val="en-GB"/>
        </w:rPr>
        <w:t xml:space="preserve"> </w:t>
      </w:r>
      <w:r w:rsidR="00BA475F" w:rsidRPr="00F24519">
        <w:rPr>
          <w:lang w:val="en-GB"/>
        </w:rPr>
        <w:t>Tukey’s honest</w:t>
      </w:r>
      <w:r w:rsidR="00151518">
        <w:rPr>
          <w:lang w:val="en-GB"/>
        </w:rPr>
        <w:t>ly</w:t>
      </w:r>
      <w:r w:rsidR="00BA475F" w:rsidRPr="00F24519">
        <w:rPr>
          <w:lang w:val="en-GB"/>
        </w:rPr>
        <w:t xml:space="preserve"> significant difference test. </w:t>
      </w:r>
    </w:p>
    <w:p w14:paraId="5A480920" w14:textId="77777777" w:rsidR="00DA4C4D" w:rsidRPr="001D3117" w:rsidRDefault="00DA4C4D" w:rsidP="00C51119">
      <w:pPr>
        <w:rPr>
          <w:noProof/>
          <w:color w:val="000000"/>
          <w:sz w:val="20"/>
          <w:szCs w:val="20"/>
          <w:lang w:val="en-GB"/>
        </w:rPr>
      </w:pPr>
    </w:p>
    <w:p w14:paraId="18930823" w14:textId="77777777" w:rsidR="00DA4C4D" w:rsidRPr="001D3117" w:rsidRDefault="00DA4C4D" w:rsidP="00C51119">
      <w:pPr>
        <w:rPr>
          <w:rFonts w:ascii="Arial" w:hAnsi="Arial" w:cs="Arial"/>
          <w:color w:val="000000"/>
          <w:sz w:val="20"/>
          <w:szCs w:val="20"/>
          <w:lang w:val="en-GB"/>
        </w:rPr>
      </w:pPr>
    </w:p>
    <w:p w14:paraId="5BABF5B0" w14:textId="77777777" w:rsidR="00DA4C4D" w:rsidRPr="001D3117" w:rsidRDefault="00DA4C4D" w:rsidP="00C51119">
      <w:pPr>
        <w:rPr>
          <w:rFonts w:ascii="Arial" w:hAnsi="Arial" w:cs="Arial"/>
          <w:color w:val="000000"/>
          <w:sz w:val="20"/>
          <w:szCs w:val="20"/>
          <w:lang w:val="en-GB"/>
        </w:rPr>
      </w:pPr>
    </w:p>
    <w:p w14:paraId="08872E4D" w14:textId="07FBB794" w:rsidR="00DA4C4D" w:rsidRPr="00F24519" w:rsidRDefault="007E4009" w:rsidP="004508D1">
      <w:pPr>
        <w:pStyle w:val="NoSpacing"/>
        <w:rPr>
          <w:lang w:val="en-GB"/>
        </w:rPr>
      </w:pPr>
      <w:r>
        <w:rPr>
          <w:noProof/>
          <w:lang w:eastAsia="de-CH"/>
        </w:rPr>
        <w:lastRenderedPageBreak/>
        <w:drawing>
          <wp:inline distT="0" distB="0" distL="0" distR="0" wp14:anchorId="7AEB5272" wp14:editId="687DD495">
            <wp:extent cx="5727700" cy="7702550"/>
            <wp:effectExtent l="0" t="0" r="0" b="6350"/>
            <wp:docPr id="1773851064" name="Picture 4"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51064" name="Picture 4" descr="A picture containing text, screenshot, diagram, fo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7702550"/>
                    </a:xfrm>
                    <a:prstGeom prst="rect">
                      <a:avLst/>
                    </a:prstGeom>
                  </pic:spPr>
                </pic:pic>
              </a:graphicData>
            </a:graphic>
          </wp:inline>
        </w:drawing>
      </w:r>
      <w:r w:rsidR="00DA4C4D" w:rsidRPr="00FC6525">
        <w:rPr>
          <w:b/>
          <w:bCs/>
          <w:lang w:val="en-US"/>
        </w:rPr>
        <w:t>Fig</w:t>
      </w:r>
      <w:r w:rsidR="005D2B8B" w:rsidRPr="00FC6525">
        <w:rPr>
          <w:b/>
          <w:bCs/>
          <w:lang w:val="en-US"/>
        </w:rPr>
        <w:t>. S</w:t>
      </w:r>
      <w:r w:rsidR="00303CA0" w:rsidRPr="00FC6525">
        <w:rPr>
          <w:b/>
          <w:bCs/>
          <w:lang w:val="en-US"/>
        </w:rPr>
        <w:t>4</w:t>
      </w:r>
      <w:r w:rsidR="00DA4C4D" w:rsidRPr="00FC6525">
        <w:rPr>
          <w:b/>
          <w:bCs/>
          <w:lang w:val="en-US"/>
        </w:rPr>
        <w:t>.</w:t>
      </w:r>
      <w:r w:rsidR="00DA4C4D" w:rsidRPr="00151518">
        <w:rPr>
          <w:lang w:val="en-US"/>
        </w:rPr>
        <w:t xml:space="preserve"> Composition of the AMF root colonization </w:t>
      </w:r>
      <w:r w:rsidR="002A7C9C" w:rsidRPr="00151518">
        <w:rPr>
          <w:lang w:val="en-US"/>
        </w:rPr>
        <w:t xml:space="preserve">the winter wheat varieties </w:t>
      </w:r>
      <w:proofErr w:type="spellStart"/>
      <w:r w:rsidR="002A7C9C" w:rsidRPr="00151518">
        <w:rPr>
          <w:lang w:val="en-US"/>
        </w:rPr>
        <w:t>Colmetta</w:t>
      </w:r>
      <w:proofErr w:type="spellEnd"/>
      <w:r w:rsidR="002A7C9C" w:rsidRPr="00151518">
        <w:rPr>
          <w:lang w:val="en-US"/>
        </w:rPr>
        <w:t xml:space="preserve"> (A) and </w:t>
      </w:r>
      <w:proofErr w:type="spellStart"/>
      <w:r w:rsidR="002A7C9C" w:rsidRPr="00151518">
        <w:rPr>
          <w:lang w:val="en-US"/>
        </w:rPr>
        <w:t>Wiwa</w:t>
      </w:r>
      <w:proofErr w:type="spellEnd"/>
      <w:r w:rsidR="002A7C9C" w:rsidRPr="00151518">
        <w:rPr>
          <w:lang w:val="en-US"/>
        </w:rPr>
        <w:t xml:space="preserve"> (B), tomato (C) and leek (D).</w:t>
      </w:r>
      <w:r w:rsidR="00DA4C4D" w:rsidRPr="00151518">
        <w:rPr>
          <w:lang w:val="en-US"/>
        </w:rPr>
        <w:t xml:space="preserve"> Three plots per crop are presented, each one showing the abundance of </w:t>
      </w:r>
      <w:r w:rsidR="007942AD" w:rsidRPr="00151518">
        <w:rPr>
          <w:lang w:val="en-US"/>
        </w:rPr>
        <w:t>h</w:t>
      </w:r>
      <w:r w:rsidR="00DA4C4D" w:rsidRPr="00151518">
        <w:rPr>
          <w:lang w:val="en-US"/>
        </w:rPr>
        <w:t>yphae</w:t>
      </w:r>
      <w:r w:rsidR="007942AD" w:rsidRPr="00151518">
        <w:rPr>
          <w:lang w:val="en-US"/>
        </w:rPr>
        <w:t>, arbuscule</w:t>
      </w:r>
      <w:r w:rsidR="00DA4C4D" w:rsidRPr="00151518">
        <w:rPr>
          <w:lang w:val="en-US"/>
        </w:rPr>
        <w:t xml:space="preserve"> or</w:t>
      </w:r>
      <w:r w:rsidR="007942AD" w:rsidRPr="00151518">
        <w:rPr>
          <w:lang w:val="en-US"/>
        </w:rPr>
        <w:t xml:space="preserve"> v</w:t>
      </w:r>
      <w:r w:rsidR="00DA4C4D" w:rsidRPr="00151518">
        <w:rPr>
          <w:lang w:val="en-US"/>
        </w:rPr>
        <w:t xml:space="preserve">esicle in plant roots. </w:t>
      </w:r>
      <w:r w:rsidR="002A7C9C" w:rsidRPr="00151518">
        <w:rPr>
          <w:lang w:val="en-US"/>
        </w:rPr>
        <w:t xml:space="preserve">Each point represents a replicate, and the </w:t>
      </w:r>
      <w:proofErr w:type="spellStart"/>
      <w:r w:rsidR="002A7C9C" w:rsidRPr="00151518">
        <w:rPr>
          <w:lang w:val="en-US"/>
        </w:rPr>
        <w:t>colour</w:t>
      </w:r>
      <w:proofErr w:type="spellEnd"/>
      <w:r w:rsidR="002A7C9C" w:rsidRPr="00151518">
        <w:rPr>
          <w:lang w:val="en-US"/>
        </w:rPr>
        <w:t xml:space="preserve"> intensity increases with increasing P fertilization level. </w:t>
      </w:r>
      <w:r w:rsidR="00BE39E4" w:rsidRPr="00151518">
        <w:rPr>
          <w:lang w:val="en-US"/>
        </w:rPr>
        <w:t>Treatments</w:t>
      </w:r>
      <w:r w:rsidR="00730D04" w:rsidRPr="00151518">
        <w:rPr>
          <w:lang w:val="en-US"/>
        </w:rPr>
        <w:t xml:space="preserve"> topped by the same letter do not differ significantly by</w:t>
      </w:r>
      <w:r w:rsidR="00730D04" w:rsidRPr="00151518" w:rsidDel="00730D04">
        <w:rPr>
          <w:lang w:val="en-US"/>
        </w:rPr>
        <w:t xml:space="preserve"> </w:t>
      </w:r>
      <w:r w:rsidR="002A7C9C" w:rsidRPr="00151518">
        <w:rPr>
          <w:lang w:val="en-US"/>
        </w:rPr>
        <w:t>Tukey’s honest</w:t>
      </w:r>
      <w:r w:rsidR="00151518">
        <w:rPr>
          <w:lang w:val="en-US"/>
        </w:rPr>
        <w:t>ly</w:t>
      </w:r>
      <w:r w:rsidR="002A7C9C" w:rsidRPr="00151518">
        <w:rPr>
          <w:lang w:val="en-US"/>
        </w:rPr>
        <w:t xml:space="preserve"> significant difference test.</w:t>
      </w:r>
      <w:r w:rsidR="002A7C9C" w:rsidRPr="00F24519">
        <w:rPr>
          <w:lang w:val="en-GB"/>
        </w:rPr>
        <w:t xml:space="preserve"> </w:t>
      </w:r>
    </w:p>
    <w:p w14:paraId="3FC8C0F9" w14:textId="3DA782A2" w:rsidR="00DA4C4D" w:rsidRPr="004508D1" w:rsidRDefault="007E4009" w:rsidP="00C51119">
      <w:pPr>
        <w:rPr>
          <w:rFonts w:ascii="Arial" w:hAnsi="Arial" w:cs="Arial"/>
          <w:b/>
          <w:bCs/>
          <w:noProof/>
          <w:color w:val="000000" w:themeColor="text1"/>
          <w:sz w:val="20"/>
          <w:szCs w:val="20"/>
          <w:lang w:val="en-US"/>
        </w:rPr>
      </w:pPr>
      <w:r>
        <w:rPr>
          <w:rFonts w:ascii="Arial" w:hAnsi="Arial" w:cs="Arial"/>
          <w:b/>
          <w:bCs/>
          <w:noProof/>
          <w:color w:val="000000" w:themeColor="text1"/>
          <w:sz w:val="20"/>
          <w:szCs w:val="20"/>
          <w:lang w:val="en-US"/>
        </w:rPr>
        <w:lastRenderedPageBreak/>
        <w:drawing>
          <wp:inline distT="0" distB="0" distL="0" distR="0" wp14:anchorId="27E31C47" wp14:editId="770D13E6">
            <wp:extent cx="5727700" cy="4258945"/>
            <wp:effectExtent l="0" t="0" r="0" b="0"/>
            <wp:docPr id="294840339" name="Picture 5" descr="A picture containing text, diagram, fon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40339" name="Picture 5" descr="A picture containing text, diagram, font, plo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4258945"/>
                    </a:xfrm>
                    <a:prstGeom prst="rect">
                      <a:avLst/>
                    </a:prstGeom>
                  </pic:spPr>
                </pic:pic>
              </a:graphicData>
            </a:graphic>
          </wp:inline>
        </w:drawing>
      </w:r>
    </w:p>
    <w:p w14:paraId="56335BB4" w14:textId="4A806A31" w:rsidR="006402D4" w:rsidRPr="00F24519" w:rsidRDefault="006402D4" w:rsidP="004508D1">
      <w:pPr>
        <w:pStyle w:val="NoSpacing"/>
        <w:rPr>
          <w:color w:val="000000"/>
          <w:lang w:val="en-GB"/>
        </w:rPr>
      </w:pPr>
      <w:r w:rsidRPr="00F24519">
        <w:rPr>
          <w:b/>
          <w:bCs/>
          <w:color w:val="000000" w:themeColor="text1"/>
          <w:lang w:val="en-GB"/>
        </w:rPr>
        <w:t>Fig</w:t>
      </w:r>
      <w:r w:rsidR="005D2B8B">
        <w:rPr>
          <w:b/>
          <w:bCs/>
          <w:color w:val="000000" w:themeColor="text1"/>
          <w:lang w:val="en-GB"/>
        </w:rPr>
        <w:t>. S</w:t>
      </w:r>
      <w:r w:rsidR="00303CA0">
        <w:rPr>
          <w:b/>
          <w:bCs/>
          <w:color w:val="000000" w:themeColor="text1"/>
          <w:lang w:val="en-GB"/>
        </w:rPr>
        <w:t>5</w:t>
      </w:r>
      <w:r w:rsidRPr="00F24519">
        <w:rPr>
          <w:b/>
          <w:bCs/>
          <w:color w:val="000000" w:themeColor="text1"/>
          <w:lang w:val="en-GB"/>
        </w:rPr>
        <w:t xml:space="preserve">. </w:t>
      </w:r>
      <w:r w:rsidRPr="00F24519">
        <w:rPr>
          <w:color w:val="000000" w:themeColor="text1"/>
          <w:lang w:val="en-GB"/>
        </w:rPr>
        <w:t xml:space="preserve">Arbuscular mycorrhizal fungal (AMF) copy numbers </w:t>
      </w:r>
      <w:r w:rsidRPr="00F24519">
        <w:rPr>
          <w:lang w:val="en-GB"/>
        </w:rPr>
        <w:t xml:space="preserve">in roots of the winter wheat varieties </w:t>
      </w:r>
      <w:proofErr w:type="spellStart"/>
      <w:r w:rsidRPr="00F24519">
        <w:rPr>
          <w:lang w:val="en-GB"/>
        </w:rPr>
        <w:t>Colmetta</w:t>
      </w:r>
      <w:proofErr w:type="spellEnd"/>
      <w:r w:rsidRPr="00F24519">
        <w:rPr>
          <w:lang w:val="en-GB"/>
        </w:rPr>
        <w:t xml:space="preserve"> (A) and </w:t>
      </w:r>
      <w:proofErr w:type="spellStart"/>
      <w:r w:rsidRPr="00F24519">
        <w:rPr>
          <w:lang w:val="en-GB"/>
        </w:rPr>
        <w:t>Wiwa</w:t>
      </w:r>
      <w:proofErr w:type="spellEnd"/>
      <w:r w:rsidRPr="00F24519">
        <w:rPr>
          <w:lang w:val="en-GB"/>
        </w:rPr>
        <w:t xml:space="preserve"> (B), tomato (C), and leek (D) assessed by quantitative polymerase chain reaction (qPCR), corrected with the spiking method. </w:t>
      </w:r>
      <w:r w:rsidRPr="00F24519">
        <w:rPr>
          <w:color w:val="000000"/>
          <w:lang w:val="en-GB"/>
        </w:rPr>
        <w:t xml:space="preserve">Each point represents a replicate, and the colour intensity increases with increasing P fertilization level. </w:t>
      </w:r>
      <w:r w:rsidR="00BE39E4" w:rsidRPr="008E046A">
        <w:rPr>
          <w:shd w:val="clear" w:color="auto" w:fill="FFFFFF"/>
          <w:lang w:val="en-US"/>
        </w:rPr>
        <w:t>Treatments</w:t>
      </w:r>
      <w:r w:rsidR="00730D04" w:rsidRPr="008E046A">
        <w:rPr>
          <w:shd w:val="clear" w:color="auto" w:fill="FFFFFF"/>
          <w:lang w:val="en-US"/>
        </w:rPr>
        <w:t xml:space="preserve"> topped by the same letter do not differ significantly by</w:t>
      </w:r>
      <w:r w:rsidRPr="00F24519">
        <w:rPr>
          <w:color w:val="000000"/>
          <w:lang w:val="en-GB"/>
        </w:rPr>
        <w:t xml:space="preserve"> Tukey’s honest</w:t>
      </w:r>
      <w:r w:rsidR="00151518">
        <w:rPr>
          <w:color w:val="000000"/>
          <w:lang w:val="en-GB"/>
        </w:rPr>
        <w:t>ly</w:t>
      </w:r>
      <w:r w:rsidRPr="00F24519">
        <w:rPr>
          <w:color w:val="000000"/>
          <w:lang w:val="en-GB"/>
        </w:rPr>
        <w:t xml:space="preserve"> significant difference test. </w:t>
      </w:r>
    </w:p>
    <w:p w14:paraId="1B179FB8" w14:textId="77777777" w:rsidR="00DA4C4D" w:rsidRPr="001D3117" w:rsidRDefault="00DA4C4D" w:rsidP="00C51119">
      <w:pPr>
        <w:rPr>
          <w:rFonts w:ascii="Arial" w:hAnsi="Arial" w:cs="Arial"/>
          <w:b/>
          <w:bCs/>
          <w:sz w:val="20"/>
          <w:szCs w:val="20"/>
          <w:lang w:val="en-GB"/>
        </w:rPr>
      </w:pPr>
      <w:r w:rsidRPr="001D3117">
        <w:rPr>
          <w:rFonts w:ascii="Arial" w:hAnsi="Arial" w:cs="Arial"/>
          <w:b/>
          <w:bCs/>
          <w:sz w:val="20"/>
          <w:szCs w:val="20"/>
          <w:lang w:val="en-GB"/>
        </w:rPr>
        <w:br w:type="page"/>
      </w:r>
    </w:p>
    <w:p w14:paraId="67FABA69" w14:textId="24A346A2" w:rsidR="00151518" w:rsidRPr="00151518" w:rsidRDefault="00151518" w:rsidP="00151518">
      <w:pPr>
        <w:pStyle w:val="NoSpacing"/>
        <w:rPr>
          <w:lang w:val="en-US"/>
        </w:rPr>
      </w:pPr>
      <w:r>
        <w:rPr>
          <w:noProof/>
        </w:rPr>
        <w:lastRenderedPageBreak/>
        <w:drawing>
          <wp:inline distT="0" distB="0" distL="0" distR="0" wp14:anchorId="18CE37DF" wp14:editId="3A4224CD">
            <wp:extent cx="5731510" cy="7707630"/>
            <wp:effectExtent l="0" t="0" r="0" b="1270"/>
            <wp:docPr id="1715519746" name="Picture 1"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19746" name="Picture 1" descr="A picture containing text, screenshot, diagram, lin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7707630"/>
                    </a:xfrm>
                    <a:prstGeom prst="rect">
                      <a:avLst/>
                    </a:prstGeom>
                  </pic:spPr>
                </pic:pic>
              </a:graphicData>
            </a:graphic>
          </wp:inline>
        </w:drawing>
      </w:r>
      <w:r w:rsidRPr="00151518">
        <w:rPr>
          <w:b/>
          <w:bCs/>
          <w:lang w:val="en-US"/>
        </w:rPr>
        <w:t>Fig. S6.</w:t>
      </w:r>
      <w:r w:rsidRPr="00151518">
        <w:rPr>
          <w:lang w:val="en-US"/>
        </w:rPr>
        <w:t xml:space="preserve"> Correlation between the different AMF structures (y-axis) and the abundance of AMF copy numbers quantified by qPCR (x-axis) in the winter wheat varieties </w:t>
      </w:r>
      <w:proofErr w:type="spellStart"/>
      <w:r w:rsidRPr="00151518">
        <w:rPr>
          <w:lang w:val="en-US"/>
        </w:rPr>
        <w:t>Colmetta</w:t>
      </w:r>
      <w:proofErr w:type="spellEnd"/>
      <w:r w:rsidRPr="003E685B">
        <w:rPr>
          <w:lang w:val="en-US"/>
        </w:rPr>
        <w:t xml:space="preserve"> </w:t>
      </w:r>
      <w:r>
        <w:rPr>
          <w:lang w:val="en-US"/>
        </w:rPr>
        <w:t>(A, B, C)</w:t>
      </w:r>
      <w:r w:rsidRPr="00151518">
        <w:rPr>
          <w:lang w:val="en-US"/>
        </w:rPr>
        <w:t xml:space="preserve">, </w:t>
      </w:r>
      <w:proofErr w:type="spellStart"/>
      <w:r w:rsidRPr="00151518">
        <w:rPr>
          <w:lang w:val="en-US"/>
        </w:rPr>
        <w:t>Wiwa</w:t>
      </w:r>
      <w:proofErr w:type="spellEnd"/>
      <w:r w:rsidRPr="003E685B">
        <w:rPr>
          <w:lang w:val="en-US"/>
        </w:rPr>
        <w:t xml:space="preserve"> </w:t>
      </w:r>
      <w:r>
        <w:rPr>
          <w:lang w:val="en-US"/>
        </w:rPr>
        <w:t>(</w:t>
      </w:r>
      <w:proofErr w:type="gramStart"/>
      <w:r>
        <w:rPr>
          <w:lang w:val="en-US"/>
        </w:rPr>
        <w:t>D,E</w:t>
      </w:r>
      <w:proofErr w:type="gramEnd"/>
      <w:r>
        <w:rPr>
          <w:lang w:val="en-US"/>
        </w:rPr>
        <w:t>,F)</w:t>
      </w:r>
      <w:r w:rsidRPr="00151518">
        <w:rPr>
          <w:lang w:val="en-US"/>
        </w:rPr>
        <w:t>, tomato</w:t>
      </w:r>
      <w:r w:rsidRPr="003E685B">
        <w:rPr>
          <w:lang w:val="en-US"/>
        </w:rPr>
        <w:t xml:space="preserve"> </w:t>
      </w:r>
      <w:r>
        <w:rPr>
          <w:lang w:val="en-US"/>
        </w:rPr>
        <w:t>(G, H, I)</w:t>
      </w:r>
      <w:r w:rsidRPr="00151518">
        <w:rPr>
          <w:lang w:val="en-US"/>
        </w:rPr>
        <w:t xml:space="preserve"> and leek</w:t>
      </w:r>
      <w:r w:rsidRPr="003E685B">
        <w:rPr>
          <w:lang w:val="en-US"/>
        </w:rPr>
        <w:t xml:space="preserve"> </w:t>
      </w:r>
      <w:r>
        <w:rPr>
          <w:lang w:val="en-US"/>
        </w:rPr>
        <w:t>(J, K, L)</w:t>
      </w:r>
      <w:r w:rsidRPr="00151518">
        <w:rPr>
          <w:lang w:val="en-US"/>
        </w:rPr>
        <w:t>. Each point represents a replicate, and the color intensity increases with increasing phosphorus fertilization level.</w:t>
      </w:r>
      <w:r>
        <w:rPr>
          <w:lang w:val="en-US"/>
        </w:rPr>
        <w:t xml:space="preserve"> R is the Pearson correlation coefficient with associated P-value.</w:t>
      </w:r>
    </w:p>
    <w:p w14:paraId="77418E3F" w14:textId="3E93F78A" w:rsidR="00772CF9" w:rsidRDefault="00772CF9" w:rsidP="00772CF9">
      <w:pPr>
        <w:pStyle w:val="Heading2"/>
        <w:rPr>
          <w:lang w:val="en-US"/>
        </w:rPr>
      </w:pPr>
      <w:r>
        <w:rPr>
          <w:lang w:val="en-US"/>
        </w:rPr>
        <w:lastRenderedPageBreak/>
        <w:t>Tables</w:t>
      </w:r>
    </w:p>
    <w:p w14:paraId="4C6EC50B" w14:textId="4CB1501F" w:rsidR="00DA4C4D" w:rsidRPr="00A50FB0" w:rsidRDefault="00DA4C4D" w:rsidP="004508D1">
      <w:pPr>
        <w:pStyle w:val="NoSpacing"/>
        <w:rPr>
          <w:lang w:val="en-US"/>
        </w:rPr>
      </w:pPr>
      <w:r w:rsidRPr="003A09BE">
        <w:rPr>
          <w:b/>
          <w:bCs/>
          <w:lang w:val="en-US"/>
        </w:rPr>
        <w:t xml:space="preserve">Table </w:t>
      </w:r>
      <w:r w:rsidR="005D2B8B">
        <w:rPr>
          <w:b/>
          <w:bCs/>
          <w:lang w:val="en-US"/>
        </w:rPr>
        <w:t>S</w:t>
      </w:r>
      <w:r w:rsidRPr="003A09BE">
        <w:rPr>
          <w:b/>
          <w:bCs/>
          <w:lang w:val="en-US"/>
        </w:rPr>
        <w:t>1.</w:t>
      </w:r>
      <w:r w:rsidRPr="00E61EF2">
        <w:rPr>
          <w:lang w:val="en-US"/>
        </w:rPr>
        <w:t xml:space="preserve"> Soil properties</w:t>
      </w:r>
      <w:r w:rsidR="004D1198">
        <w:rPr>
          <w:lang w:val="en-US"/>
        </w:rPr>
        <w:t xml:space="preserve">. Abbreviations: CAT stands for </w:t>
      </w:r>
      <w:r w:rsidR="004D1198" w:rsidRPr="004508D1">
        <w:rPr>
          <w:shd w:val="clear" w:color="auto" w:fill="FFFFFF"/>
          <w:lang w:val="en-US"/>
        </w:rPr>
        <w:t xml:space="preserve">Extraction in calcium chloride-diethylenetriaminepentaacetic acid (DTPA) solution (1:9, </w:t>
      </w:r>
      <w:proofErr w:type="spellStart"/>
      <w:r w:rsidR="004D1198" w:rsidRPr="004508D1">
        <w:rPr>
          <w:shd w:val="clear" w:color="auto" w:fill="FFFFFF"/>
          <w:lang w:val="en-US"/>
        </w:rPr>
        <w:t>w:</w:t>
      </w:r>
      <w:r w:rsidR="00BE39E4">
        <w:rPr>
          <w:shd w:val="clear" w:color="auto" w:fill="FFFFFF"/>
          <w:lang w:val="en-US"/>
        </w:rPr>
        <w:t>v</w:t>
      </w:r>
      <w:proofErr w:type="spellEnd"/>
      <w:r w:rsidR="004D1198" w:rsidRPr="004508D1">
        <w:rPr>
          <w:shd w:val="clear" w:color="auto" w:fill="FFFFFF"/>
          <w:lang w:val="en-US"/>
        </w:rPr>
        <w:t>)</w:t>
      </w:r>
      <w:r w:rsidR="004D1198">
        <w:rPr>
          <w:lang w:val="en-US"/>
        </w:rPr>
        <w:t xml:space="preserve">, KW stands for </w:t>
      </w:r>
      <w:r w:rsidR="00627680">
        <w:rPr>
          <w:shd w:val="clear" w:color="auto" w:fill="FFFFFF"/>
          <w:lang w:val="en-US"/>
        </w:rPr>
        <w:t>e</w:t>
      </w:r>
      <w:r w:rsidR="004D1198" w:rsidRPr="004508D1">
        <w:rPr>
          <w:shd w:val="clear" w:color="auto" w:fill="FFFFFF"/>
          <w:lang w:val="en-US"/>
        </w:rPr>
        <w:t>xtraction in aqua regia</w:t>
      </w:r>
      <w:r w:rsidR="004D1198">
        <w:rPr>
          <w:shd w:val="clear" w:color="auto" w:fill="FFFFFF"/>
          <w:lang w:val="en-US"/>
        </w:rPr>
        <w:t xml:space="preserve">, </w:t>
      </w:r>
      <w:r w:rsidR="004D1198" w:rsidRPr="004D1198">
        <w:rPr>
          <w:shd w:val="clear" w:color="auto" w:fill="FFFFFF"/>
          <w:lang w:val="en-US"/>
        </w:rPr>
        <w:t>ICP-OES</w:t>
      </w:r>
      <w:r w:rsidR="004D1198">
        <w:rPr>
          <w:shd w:val="clear" w:color="auto" w:fill="FFFFFF"/>
          <w:lang w:val="en-US"/>
        </w:rPr>
        <w:t xml:space="preserve"> stands for i</w:t>
      </w:r>
      <w:r w:rsidR="004D1198" w:rsidRPr="004D1198">
        <w:rPr>
          <w:shd w:val="clear" w:color="auto" w:fill="FFFFFF"/>
          <w:lang w:val="en-US"/>
        </w:rPr>
        <w:t xml:space="preserve">nductively </w:t>
      </w:r>
      <w:r w:rsidR="004D1198">
        <w:rPr>
          <w:shd w:val="clear" w:color="auto" w:fill="FFFFFF"/>
          <w:lang w:val="en-US"/>
        </w:rPr>
        <w:t>c</w:t>
      </w:r>
      <w:r w:rsidR="004D1198" w:rsidRPr="004D1198">
        <w:rPr>
          <w:shd w:val="clear" w:color="auto" w:fill="FFFFFF"/>
          <w:lang w:val="en-US"/>
        </w:rPr>
        <w:t xml:space="preserve">oupled </w:t>
      </w:r>
      <w:r w:rsidR="004D1198">
        <w:rPr>
          <w:shd w:val="clear" w:color="auto" w:fill="FFFFFF"/>
          <w:lang w:val="en-US"/>
        </w:rPr>
        <w:t>p</w:t>
      </w:r>
      <w:r w:rsidR="004D1198" w:rsidRPr="004D1198">
        <w:rPr>
          <w:shd w:val="clear" w:color="auto" w:fill="FFFFFF"/>
          <w:lang w:val="en-US"/>
        </w:rPr>
        <w:t xml:space="preserve">lasma </w:t>
      </w:r>
      <w:r w:rsidR="004D1198">
        <w:rPr>
          <w:shd w:val="clear" w:color="auto" w:fill="FFFFFF"/>
          <w:lang w:val="en-US"/>
        </w:rPr>
        <w:t>o</w:t>
      </w:r>
      <w:r w:rsidR="004D1198" w:rsidRPr="004D1198">
        <w:rPr>
          <w:shd w:val="clear" w:color="auto" w:fill="FFFFFF"/>
          <w:lang w:val="en-US"/>
        </w:rPr>
        <w:t xml:space="preserve">ptical </w:t>
      </w:r>
      <w:r w:rsidR="004D1198">
        <w:rPr>
          <w:shd w:val="clear" w:color="auto" w:fill="FFFFFF"/>
          <w:lang w:val="en-US"/>
        </w:rPr>
        <w:t>e</w:t>
      </w:r>
      <w:r w:rsidR="004D1198" w:rsidRPr="004D1198">
        <w:rPr>
          <w:shd w:val="clear" w:color="auto" w:fill="FFFFFF"/>
          <w:lang w:val="en-US"/>
        </w:rPr>
        <w:t>mission spectroscopy</w:t>
      </w:r>
      <w:r w:rsidR="004D1198">
        <w:rPr>
          <w:shd w:val="clear" w:color="auto" w:fill="FFFFFF"/>
          <w:lang w:val="en-US"/>
        </w:rPr>
        <w:t xml:space="preserve">, </w:t>
      </w:r>
      <w:r w:rsidR="00A50FB0">
        <w:rPr>
          <w:shd w:val="clear" w:color="auto" w:fill="FFFFFF"/>
          <w:lang w:val="en-US"/>
        </w:rPr>
        <w:t>DL stands for d</w:t>
      </w:r>
      <w:r w:rsidR="00A50FB0" w:rsidRPr="004508D1">
        <w:rPr>
          <w:shd w:val="clear" w:color="auto" w:fill="FFFFFF"/>
          <w:lang w:val="en-US"/>
        </w:rPr>
        <w:t>ouble lacta</w:t>
      </w:r>
      <w:r w:rsidR="00A50FB0">
        <w:rPr>
          <w:shd w:val="clear" w:color="auto" w:fill="FFFFFF"/>
          <w:lang w:val="en-US"/>
        </w:rPr>
        <w:t>t</w:t>
      </w:r>
      <w:r w:rsidR="00A50FB0" w:rsidRPr="004508D1">
        <w:rPr>
          <w:shd w:val="clear" w:color="auto" w:fill="FFFFFF"/>
          <w:lang w:val="en-US"/>
        </w:rPr>
        <w:t>e ext</w:t>
      </w:r>
      <w:r w:rsidR="00A50FB0">
        <w:rPr>
          <w:shd w:val="clear" w:color="auto" w:fill="FFFFFF"/>
          <w:lang w:val="en-US"/>
        </w:rPr>
        <w:t>r</w:t>
      </w:r>
      <w:r w:rsidR="00A50FB0" w:rsidRPr="004508D1">
        <w:rPr>
          <w:shd w:val="clear" w:color="auto" w:fill="FFFFFF"/>
          <w:lang w:val="en-US"/>
        </w:rPr>
        <w:t>action</w:t>
      </w:r>
      <w:r w:rsidR="00A50FB0">
        <w:rPr>
          <w:shd w:val="clear" w:color="auto" w:fill="FFFFFF"/>
          <w:lang w:val="en-US"/>
        </w:rPr>
        <w:t>.</w:t>
      </w:r>
    </w:p>
    <w:tbl>
      <w:tblPr>
        <w:tblW w:w="0" w:type="auto"/>
        <w:jc w:val="center"/>
        <w:tblCellMar>
          <w:left w:w="70" w:type="dxa"/>
          <w:right w:w="70" w:type="dxa"/>
        </w:tblCellMar>
        <w:tblLook w:val="04A0" w:firstRow="1" w:lastRow="0" w:firstColumn="1" w:lastColumn="0" w:noHBand="0" w:noVBand="1"/>
      </w:tblPr>
      <w:tblGrid>
        <w:gridCol w:w="5200"/>
        <w:gridCol w:w="1588"/>
        <w:gridCol w:w="1272"/>
      </w:tblGrid>
      <w:tr w:rsidR="00DA4C4D" w:rsidRPr="003C4CA8" w14:paraId="5CF6A4EE" w14:textId="77777777" w:rsidTr="004508D1">
        <w:trPr>
          <w:cantSplit/>
          <w:jc w:val="center"/>
        </w:trPr>
        <w:tc>
          <w:tcPr>
            <w:tcW w:w="8060" w:type="dxa"/>
            <w:gridSpan w:val="3"/>
            <w:tcBorders>
              <w:top w:val="single" w:sz="4" w:space="0" w:color="auto"/>
              <w:left w:val="single" w:sz="4" w:space="0" w:color="auto"/>
              <w:bottom w:val="single" w:sz="4" w:space="0" w:color="auto"/>
              <w:right w:val="single" w:sz="4" w:space="0" w:color="auto"/>
            </w:tcBorders>
            <w:shd w:val="clear" w:color="auto" w:fill="B1B3B2"/>
            <w:noWrap/>
            <w:hideMark/>
          </w:tcPr>
          <w:p w14:paraId="508A193A" w14:textId="5D25D696" w:rsidR="00DA4C4D" w:rsidRPr="004508D1" w:rsidRDefault="00DA4C4D" w:rsidP="004508D1">
            <w:pPr>
              <w:pStyle w:val="NoSpacing"/>
              <w:rPr>
                <w:rFonts w:eastAsia="Times New Roman"/>
                <w:lang w:val="en-US" w:eastAsia="es-ES_tradnl"/>
              </w:rPr>
            </w:pPr>
            <w:proofErr w:type="spellStart"/>
            <w:r w:rsidRPr="004508D1">
              <w:rPr>
                <w:rFonts w:eastAsia="Times New Roman"/>
                <w:lang w:val="en-US" w:eastAsia="es-ES_tradnl"/>
              </w:rPr>
              <w:t>Dompierre</w:t>
            </w:r>
            <w:proofErr w:type="spellEnd"/>
            <w:r w:rsidRPr="004508D1">
              <w:rPr>
                <w:rFonts w:eastAsia="Times New Roman"/>
                <w:lang w:val="en-US" w:eastAsia="es-ES_tradnl"/>
              </w:rPr>
              <w:t xml:space="preserve"> 2015</w:t>
            </w:r>
          </w:p>
        </w:tc>
      </w:tr>
      <w:tr w:rsidR="00DA4C4D" w:rsidRPr="003C4CA8" w14:paraId="69F060BC"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D4D4D4"/>
            <w:noWrap/>
            <w:hideMark/>
          </w:tcPr>
          <w:p w14:paraId="7D2216A6"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Date</w:t>
            </w:r>
          </w:p>
        </w:tc>
        <w:tc>
          <w:tcPr>
            <w:tcW w:w="2860" w:type="dxa"/>
            <w:gridSpan w:val="2"/>
            <w:tcBorders>
              <w:top w:val="single" w:sz="4" w:space="0" w:color="auto"/>
              <w:left w:val="nil"/>
              <w:bottom w:val="single" w:sz="4" w:space="0" w:color="auto"/>
              <w:right w:val="single" w:sz="4" w:space="0" w:color="000000"/>
            </w:tcBorders>
            <w:shd w:val="clear" w:color="auto" w:fill="D4D4D4"/>
            <w:noWrap/>
            <w:hideMark/>
          </w:tcPr>
          <w:p w14:paraId="1FCBD67E"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13.12.16</w:t>
            </w:r>
          </w:p>
        </w:tc>
      </w:tr>
      <w:tr w:rsidR="00DA4C4D" w:rsidRPr="003C4CA8" w14:paraId="001E745F"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D4D4D4"/>
            <w:noWrap/>
            <w:hideMark/>
          </w:tcPr>
          <w:p w14:paraId="45BBF8A5"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Parameter</w:t>
            </w:r>
          </w:p>
        </w:tc>
        <w:tc>
          <w:tcPr>
            <w:tcW w:w="1588" w:type="dxa"/>
            <w:tcBorders>
              <w:top w:val="nil"/>
              <w:left w:val="nil"/>
              <w:bottom w:val="single" w:sz="4" w:space="0" w:color="auto"/>
              <w:right w:val="single" w:sz="4" w:space="0" w:color="auto"/>
            </w:tcBorders>
            <w:shd w:val="clear" w:color="auto" w:fill="D4D4D4"/>
            <w:noWrap/>
            <w:hideMark/>
          </w:tcPr>
          <w:p w14:paraId="573E9E71"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Units</w:t>
            </w:r>
          </w:p>
        </w:tc>
        <w:tc>
          <w:tcPr>
            <w:tcW w:w="1272" w:type="dxa"/>
            <w:tcBorders>
              <w:top w:val="nil"/>
              <w:left w:val="nil"/>
              <w:bottom w:val="single" w:sz="4" w:space="0" w:color="auto"/>
              <w:right w:val="single" w:sz="4" w:space="0" w:color="auto"/>
            </w:tcBorders>
            <w:shd w:val="clear" w:color="auto" w:fill="D4D4D4"/>
            <w:noWrap/>
            <w:hideMark/>
          </w:tcPr>
          <w:p w14:paraId="1851405A"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Value</w:t>
            </w:r>
          </w:p>
        </w:tc>
      </w:tr>
      <w:tr w:rsidR="00DA4C4D" w:rsidRPr="003C4CA8" w14:paraId="29269A74"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2B63126A" w14:textId="757BD35D"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pH</w:t>
            </w:r>
            <w:r w:rsidR="00D42B4B" w:rsidRPr="004508D1">
              <w:rPr>
                <w:rFonts w:eastAsia="Times New Roman"/>
                <w:lang w:val="en-US" w:eastAsia="es-ES_tradnl"/>
              </w:rPr>
              <w:t xml:space="preserve"> in H</w:t>
            </w:r>
            <w:r w:rsidR="00D42B4B" w:rsidRPr="004508D1">
              <w:rPr>
                <w:rFonts w:eastAsia="Times New Roman"/>
                <w:vertAlign w:val="subscript"/>
                <w:lang w:val="en-US" w:eastAsia="es-ES_tradnl"/>
              </w:rPr>
              <w:t>2</w:t>
            </w:r>
            <w:r w:rsidR="00D42B4B" w:rsidRPr="004508D1">
              <w:rPr>
                <w:rFonts w:eastAsia="Times New Roman"/>
                <w:lang w:val="en-US" w:eastAsia="es-ES_tradnl"/>
              </w:rPr>
              <w:t>O</w:t>
            </w:r>
          </w:p>
        </w:tc>
        <w:tc>
          <w:tcPr>
            <w:tcW w:w="1588" w:type="dxa"/>
            <w:tcBorders>
              <w:top w:val="nil"/>
              <w:left w:val="nil"/>
              <w:bottom w:val="single" w:sz="4" w:space="0" w:color="auto"/>
              <w:right w:val="single" w:sz="4" w:space="0" w:color="auto"/>
            </w:tcBorders>
            <w:shd w:val="clear" w:color="auto" w:fill="auto"/>
            <w:noWrap/>
            <w:hideMark/>
          </w:tcPr>
          <w:p w14:paraId="12C6454D" w14:textId="77777777" w:rsidR="00DA4C4D" w:rsidRPr="004508D1" w:rsidRDefault="00DA4C4D" w:rsidP="004508D1">
            <w:pPr>
              <w:pStyle w:val="NoSpacing"/>
              <w:rPr>
                <w:rFonts w:eastAsia="Times New Roman"/>
                <w:lang w:val="en-US" w:eastAsia="es-ES_tradnl"/>
              </w:rPr>
            </w:pPr>
          </w:p>
        </w:tc>
        <w:tc>
          <w:tcPr>
            <w:tcW w:w="1272" w:type="dxa"/>
            <w:tcBorders>
              <w:top w:val="nil"/>
              <w:left w:val="nil"/>
              <w:bottom w:val="single" w:sz="4" w:space="0" w:color="auto"/>
              <w:right w:val="single" w:sz="4" w:space="0" w:color="auto"/>
            </w:tcBorders>
            <w:shd w:val="clear" w:color="auto" w:fill="auto"/>
            <w:noWrap/>
            <w:hideMark/>
          </w:tcPr>
          <w:p w14:paraId="5B5D6633" w14:textId="1E879A1F"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7.</w:t>
            </w:r>
            <w:r w:rsidR="00D42B4B" w:rsidRPr="004508D1">
              <w:rPr>
                <w:rFonts w:eastAsia="Times New Roman"/>
                <w:lang w:val="en-US" w:eastAsia="es-ES_tradnl"/>
              </w:rPr>
              <w:t>7</w:t>
            </w:r>
          </w:p>
        </w:tc>
      </w:tr>
      <w:tr w:rsidR="00DA4C4D" w:rsidRPr="003C4CA8" w14:paraId="2424E2D0"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49002B82"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Humus, Elemental analysis</w:t>
            </w:r>
          </w:p>
        </w:tc>
        <w:tc>
          <w:tcPr>
            <w:tcW w:w="1588" w:type="dxa"/>
            <w:tcBorders>
              <w:top w:val="nil"/>
              <w:left w:val="nil"/>
              <w:bottom w:val="single" w:sz="4" w:space="0" w:color="auto"/>
              <w:right w:val="single" w:sz="4" w:space="0" w:color="auto"/>
            </w:tcBorders>
            <w:shd w:val="clear" w:color="auto" w:fill="auto"/>
            <w:noWrap/>
            <w:hideMark/>
          </w:tcPr>
          <w:p w14:paraId="2691EC20"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w:t>
            </w:r>
          </w:p>
        </w:tc>
        <w:tc>
          <w:tcPr>
            <w:tcW w:w="1272" w:type="dxa"/>
            <w:tcBorders>
              <w:top w:val="nil"/>
              <w:left w:val="nil"/>
              <w:bottom w:val="single" w:sz="4" w:space="0" w:color="auto"/>
              <w:right w:val="single" w:sz="4" w:space="0" w:color="auto"/>
            </w:tcBorders>
            <w:shd w:val="clear" w:color="auto" w:fill="auto"/>
            <w:noWrap/>
            <w:hideMark/>
          </w:tcPr>
          <w:p w14:paraId="471C4F8E"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2.18</w:t>
            </w:r>
          </w:p>
        </w:tc>
      </w:tr>
      <w:tr w:rsidR="00DA4C4D" w:rsidRPr="003C4CA8" w14:paraId="689F1D88"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361E1271"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Nitrogen (N), Elemental analysis</w:t>
            </w:r>
          </w:p>
        </w:tc>
        <w:tc>
          <w:tcPr>
            <w:tcW w:w="1588" w:type="dxa"/>
            <w:tcBorders>
              <w:top w:val="nil"/>
              <w:left w:val="nil"/>
              <w:bottom w:val="single" w:sz="4" w:space="0" w:color="auto"/>
              <w:right w:val="single" w:sz="4" w:space="0" w:color="auto"/>
            </w:tcBorders>
            <w:shd w:val="clear" w:color="auto" w:fill="auto"/>
            <w:noWrap/>
            <w:hideMark/>
          </w:tcPr>
          <w:p w14:paraId="3AB63A77"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w:t>
            </w:r>
          </w:p>
        </w:tc>
        <w:tc>
          <w:tcPr>
            <w:tcW w:w="1272" w:type="dxa"/>
            <w:tcBorders>
              <w:top w:val="nil"/>
              <w:left w:val="nil"/>
              <w:bottom w:val="single" w:sz="4" w:space="0" w:color="auto"/>
              <w:right w:val="single" w:sz="4" w:space="0" w:color="auto"/>
            </w:tcBorders>
            <w:shd w:val="clear" w:color="auto" w:fill="auto"/>
            <w:noWrap/>
            <w:hideMark/>
          </w:tcPr>
          <w:p w14:paraId="7BEDB0A8"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0.179</w:t>
            </w:r>
          </w:p>
        </w:tc>
      </w:tr>
      <w:tr w:rsidR="00DA4C4D" w:rsidRPr="003C4CA8" w14:paraId="124DFE5D"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3B3CD807"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Sulfur (S), Elemental analysis</w:t>
            </w:r>
          </w:p>
        </w:tc>
        <w:tc>
          <w:tcPr>
            <w:tcW w:w="1588" w:type="dxa"/>
            <w:tcBorders>
              <w:top w:val="nil"/>
              <w:left w:val="nil"/>
              <w:bottom w:val="single" w:sz="4" w:space="0" w:color="auto"/>
              <w:right w:val="single" w:sz="4" w:space="0" w:color="auto"/>
            </w:tcBorders>
            <w:shd w:val="clear" w:color="auto" w:fill="auto"/>
            <w:noWrap/>
            <w:hideMark/>
          </w:tcPr>
          <w:p w14:paraId="2838546B"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w:t>
            </w:r>
          </w:p>
        </w:tc>
        <w:tc>
          <w:tcPr>
            <w:tcW w:w="1272" w:type="dxa"/>
            <w:tcBorders>
              <w:top w:val="nil"/>
              <w:left w:val="nil"/>
              <w:bottom w:val="single" w:sz="4" w:space="0" w:color="auto"/>
              <w:right w:val="single" w:sz="4" w:space="0" w:color="auto"/>
            </w:tcBorders>
            <w:shd w:val="clear" w:color="auto" w:fill="auto"/>
            <w:noWrap/>
            <w:hideMark/>
          </w:tcPr>
          <w:p w14:paraId="140B587A"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0.021</w:t>
            </w:r>
          </w:p>
        </w:tc>
      </w:tr>
      <w:tr w:rsidR="00DA4C4D" w:rsidRPr="003C4CA8" w14:paraId="15260B47"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5523F88C"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Sand (63 - 2000 µm)</w:t>
            </w:r>
          </w:p>
        </w:tc>
        <w:tc>
          <w:tcPr>
            <w:tcW w:w="1588" w:type="dxa"/>
            <w:tcBorders>
              <w:top w:val="nil"/>
              <w:left w:val="nil"/>
              <w:bottom w:val="single" w:sz="4" w:space="0" w:color="auto"/>
              <w:right w:val="single" w:sz="4" w:space="0" w:color="auto"/>
            </w:tcBorders>
            <w:shd w:val="clear" w:color="auto" w:fill="auto"/>
            <w:noWrap/>
            <w:hideMark/>
          </w:tcPr>
          <w:p w14:paraId="6002E6A1"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w:t>
            </w:r>
          </w:p>
        </w:tc>
        <w:tc>
          <w:tcPr>
            <w:tcW w:w="1272" w:type="dxa"/>
            <w:tcBorders>
              <w:top w:val="nil"/>
              <w:left w:val="nil"/>
              <w:bottom w:val="single" w:sz="4" w:space="0" w:color="auto"/>
              <w:right w:val="single" w:sz="4" w:space="0" w:color="auto"/>
            </w:tcBorders>
            <w:shd w:val="clear" w:color="auto" w:fill="auto"/>
            <w:noWrap/>
            <w:hideMark/>
          </w:tcPr>
          <w:p w14:paraId="6A568B2C"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43.5</w:t>
            </w:r>
          </w:p>
        </w:tc>
      </w:tr>
      <w:tr w:rsidR="00DA4C4D" w:rsidRPr="003C4CA8" w14:paraId="17E188F6"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6F8B52AB"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Silt (2 - 63 µm)</w:t>
            </w:r>
          </w:p>
        </w:tc>
        <w:tc>
          <w:tcPr>
            <w:tcW w:w="1588" w:type="dxa"/>
            <w:tcBorders>
              <w:top w:val="nil"/>
              <w:left w:val="nil"/>
              <w:bottom w:val="single" w:sz="4" w:space="0" w:color="auto"/>
              <w:right w:val="single" w:sz="4" w:space="0" w:color="auto"/>
            </w:tcBorders>
            <w:shd w:val="clear" w:color="auto" w:fill="auto"/>
            <w:noWrap/>
            <w:hideMark/>
          </w:tcPr>
          <w:p w14:paraId="4EEF6CF2"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w:t>
            </w:r>
          </w:p>
        </w:tc>
        <w:tc>
          <w:tcPr>
            <w:tcW w:w="1272" w:type="dxa"/>
            <w:tcBorders>
              <w:top w:val="nil"/>
              <w:left w:val="nil"/>
              <w:bottom w:val="single" w:sz="4" w:space="0" w:color="auto"/>
              <w:right w:val="single" w:sz="4" w:space="0" w:color="auto"/>
            </w:tcBorders>
            <w:shd w:val="clear" w:color="auto" w:fill="auto"/>
            <w:noWrap/>
            <w:hideMark/>
          </w:tcPr>
          <w:p w14:paraId="52335F72"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41.7</w:t>
            </w:r>
          </w:p>
        </w:tc>
      </w:tr>
      <w:tr w:rsidR="00DA4C4D" w:rsidRPr="003C4CA8" w14:paraId="2D59A592"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424FF219"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Clay (&lt; 2 µm)</w:t>
            </w:r>
          </w:p>
        </w:tc>
        <w:tc>
          <w:tcPr>
            <w:tcW w:w="1588" w:type="dxa"/>
            <w:tcBorders>
              <w:top w:val="nil"/>
              <w:left w:val="nil"/>
              <w:bottom w:val="single" w:sz="4" w:space="0" w:color="auto"/>
              <w:right w:val="single" w:sz="4" w:space="0" w:color="auto"/>
            </w:tcBorders>
            <w:shd w:val="clear" w:color="auto" w:fill="auto"/>
            <w:noWrap/>
            <w:hideMark/>
          </w:tcPr>
          <w:p w14:paraId="100793C8"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w:t>
            </w:r>
          </w:p>
        </w:tc>
        <w:tc>
          <w:tcPr>
            <w:tcW w:w="1272" w:type="dxa"/>
            <w:tcBorders>
              <w:top w:val="nil"/>
              <w:left w:val="nil"/>
              <w:bottom w:val="single" w:sz="4" w:space="0" w:color="auto"/>
              <w:right w:val="single" w:sz="4" w:space="0" w:color="auto"/>
            </w:tcBorders>
            <w:shd w:val="clear" w:color="auto" w:fill="auto"/>
            <w:noWrap/>
            <w:hideMark/>
          </w:tcPr>
          <w:p w14:paraId="0DBD2C50"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14.8</w:t>
            </w:r>
          </w:p>
        </w:tc>
      </w:tr>
      <w:tr w:rsidR="00DA4C4D" w:rsidRPr="003C4CA8" w14:paraId="18C7740D"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6331A7D5"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Carbonates</w:t>
            </w:r>
          </w:p>
        </w:tc>
        <w:tc>
          <w:tcPr>
            <w:tcW w:w="1588" w:type="dxa"/>
            <w:tcBorders>
              <w:top w:val="nil"/>
              <w:left w:val="nil"/>
              <w:bottom w:val="single" w:sz="4" w:space="0" w:color="auto"/>
              <w:right w:val="single" w:sz="4" w:space="0" w:color="auto"/>
            </w:tcBorders>
            <w:shd w:val="clear" w:color="auto" w:fill="auto"/>
            <w:noWrap/>
            <w:hideMark/>
          </w:tcPr>
          <w:p w14:paraId="03006F66"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w:t>
            </w:r>
          </w:p>
        </w:tc>
        <w:tc>
          <w:tcPr>
            <w:tcW w:w="1272" w:type="dxa"/>
            <w:tcBorders>
              <w:top w:val="nil"/>
              <w:left w:val="nil"/>
              <w:bottom w:val="single" w:sz="4" w:space="0" w:color="auto"/>
              <w:right w:val="single" w:sz="4" w:space="0" w:color="auto"/>
            </w:tcBorders>
            <w:shd w:val="clear" w:color="auto" w:fill="auto"/>
            <w:noWrap/>
            <w:hideMark/>
          </w:tcPr>
          <w:p w14:paraId="42BE4770"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4.57</w:t>
            </w:r>
          </w:p>
        </w:tc>
      </w:tr>
      <w:tr w:rsidR="00DA4C4D" w:rsidRPr="003C4CA8" w14:paraId="69C36A43"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36BBD178" w14:textId="62C72949"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Iron (Fe), CAT-</w:t>
            </w:r>
            <w:r w:rsidR="00E90327" w:rsidRPr="004508D1">
              <w:rPr>
                <w:rFonts w:eastAsia="Times New Roman"/>
                <w:lang w:val="en-US" w:eastAsia="es-ES_tradnl"/>
              </w:rPr>
              <w:t>Extract</w:t>
            </w:r>
          </w:p>
        </w:tc>
        <w:tc>
          <w:tcPr>
            <w:tcW w:w="1588" w:type="dxa"/>
            <w:tcBorders>
              <w:top w:val="nil"/>
              <w:left w:val="nil"/>
              <w:bottom w:val="single" w:sz="4" w:space="0" w:color="auto"/>
              <w:right w:val="single" w:sz="4" w:space="0" w:color="auto"/>
            </w:tcBorders>
            <w:shd w:val="clear" w:color="auto" w:fill="auto"/>
            <w:noWrap/>
            <w:hideMark/>
          </w:tcPr>
          <w:p w14:paraId="5E5FABA7"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17491550"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22.0</w:t>
            </w:r>
          </w:p>
        </w:tc>
      </w:tr>
      <w:tr w:rsidR="00DA4C4D" w:rsidRPr="003C4CA8" w14:paraId="002E0622"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08D08221" w14:textId="2A39A444"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Copper (Cu), CAT-</w:t>
            </w:r>
            <w:r w:rsidR="00E90327" w:rsidRPr="004508D1">
              <w:rPr>
                <w:rFonts w:eastAsia="Times New Roman"/>
                <w:lang w:val="en-US" w:eastAsia="es-ES_tradnl"/>
              </w:rPr>
              <w:t>Extract</w:t>
            </w:r>
          </w:p>
        </w:tc>
        <w:tc>
          <w:tcPr>
            <w:tcW w:w="1588" w:type="dxa"/>
            <w:tcBorders>
              <w:top w:val="nil"/>
              <w:left w:val="nil"/>
              <w:bottom w:val="single" w:sz="4" w:space="0" w:color="auto"/>
              <w:right w:val="single" w:sz="4" w:space="0" w:color="auto"/>
            </w:tcBorders>
            <w:shd w:val="clear" w:color="auto" w:fill="auto"/>
            <w:noWrap/>
            <w:hideMark/>
          </w:tcPr>
          <w:p w14:paraId="421CF425"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6BCF0635"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2.03</w:t>
            </w:r>
          </w:p>
        </w:tc>
      </w:tr>
      <w:tr w:rsidR="00DA4C4D" w:rsidRPr="003C4CA8" w14:paraId="3ADB6E64"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00AE08F8"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Magnesium (Mg), CAT-Extract</w:t>
            </w:r>
          </w:p>
        </w:tc>
        <w:tc>
          <w:tcPr>
            <w:tcW w:w="1588" w:type="dxa"/>
            <w:tcBorders>
              <w:top w:val="nil"/>
              <w:left w:val="nil"/>
              <w:bottom w:val="single" w:sz="4" w:space="0" w:color="auto"/>
              <w:right w:val="single" w:sz="4" w:space="0" w:color="auto"/>
            </w:tcBorders>
            <w:shd w:val="clear" w:color="auto" w:fill="auto"/>
            <w:noWrap/>
            <w:hideMark/>
          </w:tcPr>
          <w:p w14:paraId="2F9AB191"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5C9AD49D"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59</w:t>
            </w:r>
          </w:p>
        </w:tc>
      </w:tr>
      <w:tr w:rsidR="00DA4C4D" w:rsidRPr="003C4CA8" w14:paraId="48D2A16F"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0F26C6A0"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Manganese (Mn), CAT-Extract</w:t>
            </w:r>
          </w:p>
        </w:tc>
        <w:tc>
          <w:tcPr>
            <w:tcW w:w="1588" w:type="dxa"/>
            <w:tcBorders>
              <w:top w:val="nil"/>
              <w:left w:val="nil"/>
              <w:bottom w:val="single" w:sz="4" w:space="0" w:color="auto"/>
              <w:right w:val="single" w:sz="4" w:space="0" w:color="auto"/>
            </w:tcBorders>
            <w:shd w:val="clear" w:color="auto" w:fill="auto"/>
            <w:noWrap/>
            <w:hideMark/>
          </w:tcPr>
          <w:p w14:paraId="5D9EA8DD"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2AC0FDBA"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20.5</w:t>
            </w:r>
          </w:p>
        </w:tc>
      </w:tr>
      <w:tr w:rsidR="00DA4C4D" w:rsidRPr="003C4CA8" w14:paraId="5718359F"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5388097F" w14:textId="79C21F59"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Zin</w:t>
            </w:r>
            <w:r w:rsidR="00BD7DF8">
              <w:rPr>
                <w:rFonts w:eastAsia="Times New Roman"/>
                <w:lang w:val="en-US" w:eastAsia="es-ES_tradnl"/>
              </w:rPr>
              <w:t>c</w:t>
            </w:r>
            <w:r w:rsidRPr="004508D1">
              <w:rPr>
                <w:rFonts w:eastAsia="Times New Roman"/>
                <w:lang w:val="en-US" w:eastAsia="es-ES_tradnl"/>
              </w:rPr>
              <w:t xml:space="preserve"> (Zn), CAT-Extract</w:t>
            </w:r>
          </w:p>
        </w:tc>
        <w:tc>
          <w:tcPr>
            <w:tcW w:w="1588" w:type="dxa"/>
            <w:tcBorders>
              <w:top w:val="nil"/>
              <w:left w:val="nil"/>
              <w:bottom w:val="single" w:sz="4" w:space="0" w:color="auto"/>
              <w:right w:val="single" w:sz="4" w:space="0" w:color="auto"/>
            </w:tcBorders>
            <w:shd w:val="clear" w:color="auto" w:fill="auto"/>
            <w:noWrap/>
            <w:hideMark/>
          </w:tcPr>
          <w:p w14:paraId="24E135BD"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6ED75D03"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0.85</w:t>
            </w:r>
          </w:p>
        </w:tc>
      </w:tr>
      <w:tr w:rsidR="00DA4C4D" w:rsidRPr="003C4CA8" w14:paraId="6AED757E"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56CE0694"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Total Carbon (C) Elemental analysis</w:t>
            </w:r>
          </w:p>
        </w:tc>
        <w:tc>
          <w:tcPr>
            <w:tcW w:w="1588" w:type="dxa"/>
            <w:tcBorders>
              <w:top w:val="nil"/>
              <w:left w:val="nil"/>
              <w:bottom w:val="single" w:sz="4" w:space="0" w:color="auto"/>
              <w:right w:val="single" w:sz="4" w:space="0" w:color="auto"/>
            </w:tcBorders>
            <w:shd w:val="clear" w:color="auto" w:fill="auto"/>
            <w:noWrap/>
            <w:hideMark/>
          </w:tcPr>
          <w:p w14:paraId="38DF323C"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w:t>
            </w:r>
          </w:p>
        </w:tc>
        <w:tc>
          <w:tcPr>
            <w:tcW w:w="1272" w:type="dxa"/>
            <w:tcBorders>
              <w:top w:val="nil"/>
              <w:left w:val="nil"/>
              <w:bottom w:val="single" w:sz="4" w:space="0" w:color="auto"/>
              <w:right w:val="single" w:sz="4" w:space="0" w:color="auto"/>
            </w:tcBorders>
            <w:shd w:val="clear" w:color="auto" w:fill="auto"/>
            <w:noWrap/>
            <w:hideMark/>
          </w:tcPr>
          <w:p w14:paraId="6596F2CC"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3.01</w:t>
            </w:r>
          </w:p>
        </w:tc>
      </w:tr>
      <w:tr w:rsidR="00DA4C4D" w:rsidRPr="003C4CA8" w14:paraId="3E54D753"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32C14681" w14:textId="0093F940"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Phosphor (P)</w:t>
            </w:r>
            <w:r w:rsidR="00351DCC" w:rsidRPr="004508D1">
              <w:rPr>
                <w:rFonts w:eastAsia="Times New Roman"/>
                <w:lang w:val="en-US" w:eastAsia="es-ES_tradnl"/>
              </w:rPr>
              <w:t>, Olsen</w:t>
            </w:r>
          </w:p>
        </w:tc>
        <w:tc>
          <w:tcPr>
            <w:tcW w:w="1588" w:type="dxa"/>
            <w:tcBorders>
              <w:top w:val="nil"/>
              <w:left w:val="nil"/>
              <w:bottom w:val="single" w:sz="4" w:space="0" w:color="auto"/>
              <w:right w:val="single" w:sz="4" w:space="0" w:color="auto"/>
            </w:tcBorders>
            <w:shd w:val="clear" w:color="auto" w:fill="auto"/>
            <w:noWrap/>
            <w:hideMark/>
          </w:tcPr>
          <w:p w14:paraId="3BBA93B6"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7FC18694"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10.3</w:t>
            </w:r>
          </w:p>
        </w:tc>
      </w:tr>
      <w:tr w:rsidR="00DA4C4D" w:rsidRPr="003C4CA8" w14:paraId="4B74D37E"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57D552DC"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Potassium (K), CAT-Extract</w:t>
            </w:r>
          </w:p>
        </w:tc>
        <w:tc>
          <w:tcPr>
            <w:tcW w:w="1588" w:type="dxa"/>
            <w:tcBorders>
              <w:top w:val="nil"/>
              <w:left w:val="nil"/>
              <w:bottom w:val="single" w:sz="4" w:space="0" w:color="auto"/>
              <w:right w:val="single" w:sz="4" w:space="0" w:color="auto"/>
            </w:tcBorders>
            <w:shd w:val="clear" w:color="auto" w:fill="auto"/>
            <w:noWrap/>
            <w:hideMark/>
          </w:tcPr>
          <w:p w14:paraId="2DD8953E"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68E244C3"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30</w:t>
            </w:r>
          </w:p>
        </w:tc>
      </w:tr>
      <w:tr w:rsidR="00DA4C4D" w:rsidRPr="003C4CA8" w14:paraId="20CA60DA"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5BE25CC4"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Molybdenum (Mo), CAT-Extract</w:t>
            </w:r>
          </w:p>
        </w:tc>
        <w:tc>
          <w:tcPr>
            <w:tcW w:w="1588" w:type="dxa"/>
            <w:tcBorders>
              <w:top w:val="nil"/>
              <w:left w:val="nil"/>
              <w:bottom w:val="single" w:sz="4" w:space="0" w:color="auto"/>
              <w:right w:val="single" w:sz="4" w:space="0" w:color="auto"/>
            </w:tcBorders>
            <w:shd w:val="clear" w:color="auto" w:fill="auto"/>
            <w:noWrap/>
            <w:hideMark/>
          </w:tcPr>
          <w:p w14:paraId="160DBCCC"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28109FAC"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&lt;0,010</w:t>
            </w:r>
          </w:p>
        </w:tc>
      </w:tr>
      <w:tr w:rsidR="00DA4C4D" w:rsidRPr="003C4CA8" w14:paraId="54AA0749"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0EF25D18" w14:textId="74E86CD9"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P2O5 (DL-</w:t>
            </w:r>
            <w:r w:rsidR="00E90327" w:rsidRPr="004508D1">
              <w:rPr>
                <w:rFonts w:eastAsia="Times New Roman"/>
                <w:lang w:val="en-US" w:eastAsia="es-ES_tradnl"/>
              </w:rPr>
              <w:t>Extract</w:t>
            </w:r>
            <w:r w:rsidRPr="004508D1">
              <w:rPr>
                <w:rFonts w:eastAsia="Times New Roman"/>
                <w:lang w:val="en-US" w:eastAsia="es-ES_tradnl"/>
              </w:rPr>
              <w:t>)</w:t>
            </w:r>
          </w:p>
        </w:tc>
        <w:tc>
          <w:tcPr>
            <w:tcW w:w="1588" w:type="dxa"/>
            <w:tcBorders>
              <w:top w:val="nil"/>
              <w:left w:val="nil"/>
              <w:bottom w:val="single" w:sz="4" w:space="0" w:color="auto"/>
              <w:right w:val="single" w:sz="4" w:space="0" w:color="auto"/>
            </w:tcBorders>
            <w:shd w:val="clear" w:color="auto" w:fill="auto"/>
            <w:noWrap/>
            <w:hideMark/>
          </w:tcPr>
          <w:p w14:paraId="02EA29A7"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mg/100g</w:t>
            </w:r>
          </w:p>
        </w:tc>
        <w:tc>
          <w:tcPr>
            <w:tcW w:w="1272" w:type="dxa"/>
            <w:tcBorders>
              <w:top w:val="nil"/>
              <w:left w:val="nil"/>
              <w:bottom w:val="single" w:sz="4" w:space="0" w:color="auto"/>
              <w:right w:val="single" w:sz="4" w:space="0" w:color="auto"/>
            </w:tcBorders>
            <w:shd w:val="clear" w:color="auto" w:fill="auto"/>
            <w:noWrap/>
            <w:hideMark/>
          </w:tcPr>
          <w:p w14:paraId="6C4CAD87"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 </w:t>
            </w:r>
          </w:p>
        </w:tc>
      </w:tr>
      <w:tr w:rsidR="00DA4C4D" w:rsidRPr="003C4CA8" w14:paraId="39D322BF"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19E65403"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Boron (B), ICP-OES KW</w:t>
            </w:r>
          </w:p>
        </w:tc>
        <w:tc>
          <w:tcPr>
            <w:tcW w:w="1588" w:type="dxa"/>
            <w:tcBorders>
              <w:top w:val="nil"/>
              <w:left w:val="nil"/>
              <w:bottom w:val="single" w:sz="4" w:space="0" w:color="auto"/>
              <w:right w:val="single" w:sz="4" w:space="0" w:color="auto"/>
            </w:tcBorders>
            <w:shd w:val="clear" w:color="auto" w:fill="auto"/>
            <w:noWrap/>
            <w:hideMark/>
          </w:tcPr>
          <w:p w14:paraId="3431BE6C"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73630C13"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14.3</w:t>
            </w:r>
          </w:p>
        </w:tc>
      </w:tr>
      <w:tr w:rsidR="00DA4C4D" w:rsidRPr="003C4CA8" w14:paraId="37B0C97C"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73E8DE50"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Calcium (Ca), ICP-OES KW</w:t>
            </w:r>
          </w:p>
        </w:tc>
        <w:tc>
          <w:tcPr>
            <w:tcW w:w="1588" w:type="dxa"/>
            <w:tcBorders>
              <w:top w:val="nil"/>
              <w:left w:val="nil"/>
              <w:bottom w:val="single" w:sz="4" w:space="0" w:color="auto"/>
              <w:right w:val="single" w:sz="4" w:space="0" w:color="auto"/>
            </w:tcBorders>
            <w:shd w:val="clear" w:color="auto" w:fill="auto"/>
            <w:noWrap/>
            <w:hideMark/>
          </w:tcPr>
          <w:p w14:paraId="47A5969A"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368F6F62"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56,844</w:t>
            </w:r>
          </w:p>
        </w:tc>
      </w:tr>
      <w:tr w:rsidR="00DA4C4D" w:rsidRPr="003C4CA8" w14:paraId="1214E599"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142E6D72"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Iron (Fe), ICP-OES KW</w:t>
            </w:r>
          </w:p>
        </w:tc>
        <w:tc>
          <w:tcPr>
            <w:tcW w:w="1588" w:type="dxa"/>
            <w:tcBorders>
              <w:top w:val="nil"/>
              <w:left w:val="nil"/>
              <w:bottom w:val="single" w:sz="4" w:space="0" w:color="auto"/>
              <w:right w:val="single" w:sz="4" w:space="0" w:color="auto"/>
            </w:tcBorders>
            <w:shd w:val="clear" w:color="auto" w:fill="auto"/>
            <w:noWrap/>
            <w:hideMark/>
          </w:tcPr>
          <w:p w14:paraId="54296842"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53918E82"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18,478</w:t>
            </w:r>
          </w:p>
        </w:tc>
      </w:tr>
      <w:tr w:rsidR="00DA4C4D" w:rsidRPr="003C4CA8" w14:paraId="6CBEA4A3"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46B8E64A" w14:textId="77777777" w:rsidR="00DA4C4D" w:rsidRPr="004508D1" w:rsidRDefault="00DA4C4D" w:rsidP="004508D1">
            <w:pPr>
              <w:pStyle w:val="NoSpacing"/>
              <w:rPr>
                <w:rFonts w:eastAsia="Times New Roman"/>
                <w:lang w:eastAsia="es-ES_tradnl"/>
              </w:rPr>
            </w:pPr>
            <w:r w:rsidRPr="004508D1">
              <w:rPr>
                <w:rFonts w:eastAsia="Times New Roman"/>
                <w:lang w:eastAsia="es-ES_tradnl"/>
              </w:rPr>
              <w:t>Potassium (K), ICP-OES KW</w:t>
            </w:r>
          </w:p>
        </w:tc>
        <w:tc>
          <w:tcPr>
            <w:tcW w:w="1588" w:type="dxa"/>
            <w:tcBorders>
              <w:top w:val="nil"/>
              <w:left w:val="nil"/>
              <w:bottom w:val="single" w:sz="4" w:space="0" w:color="auto"/>
              <w:right w:val="single" w:sz="4" w:space="0" w:color="auto"/>
            </w:tcBorders>
            <w:shd w:val="clear" w:color="auto" w:fill="auto"/>
            <w:noWrap/>
            <w:hideMark/>
          </w:tcPr>
          <w:p w14:paraId="3E677834"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227B3C22"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2,237</w:t>
            </w:r>
          </w:p>
        </w:tc>
      </w:tr>
      <w:tr w:rsidR="00DA4C4D" w:rsidRPr="003C4CA8" w14:paraId="373AD4C5"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68BEFB92"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Copper (Cu), ICP-OES KW</w:t>
            </w:r>
          </w:p>
        </w:tc>
        <w:tc>
          <w:tcPr>
            <w:tcW w:w="1588" w:type="dxa"/>
            <w:tcBorders>
              <w:top w:val="nil"/>
              <w:left w:val="nil"/>
              <w:bottom w:val="single" w:sz="4" w:space="0" w:color="auto"/>
              <w:right w:val="single" w:sz="4" w:space="0" w:color="auto"/>
            </w:tcBorders>
            <w:shd w:val="clear" w:color="auto" w:fill="auto"/>
            <w:noWrap/>
            <w:hideMark/>
          </w:tcPr>
          <w:p w14:paraId="01C601B6"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243C4549"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18.6</w:t>
            </w:r>
          </w:p>
        </w:tc>
      </w:tr>
      <w:tr w:rsidR="00DA4C4D" w:rsidRPr="003C4CA8" w14:paraId="4C5D8E96"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67014C7A" w14:textId="77777777" w:rsidR="00DA4C4D" w:rsidRPr="004508D1" w:rsidRDefault="00DA4C4D" w:rsidP="004508D1">
            <w:pPr>
              <w:pStyle w:val="NoSpacing"/>
              <w:rPr>
                <w:rFonts w:eastAsia="Times New Roman"/>
                <w:lang w:eastAsia="es-ES_tradnl"/>
              </w:rPr>
            </w:pPr>
            <w:r w:rsidRPr="004508D1">
              <w:rPr>
                <w:rFonts w:eastAsia="Times New Roman"/>
                <w:lang w:eastAsia="es-ES_tradnl"/>
              </w:rPr>
              <w:t>Magnesium (Mg), ICP-OES KW</w:t>
            </w:r>
          </w:p>
        </w:tc>
        <w:tc>
          <w:tcPr>
            <w:tcW w:w="1588" w:type="dxa"/>
            <w:tcBorders>
              <w:top w:val="nil"/>
              <w:left w:val="nil"/>
              <w:bottom w:val="single" w:sz="4" w:space="0" w:color="auto"/>
              <w:right w:val="single" w:sz="4" w:space="0" w:color="auto"/>
            </w:tcBorders>
            <w:shd w:val="clear" w:color="auto" w:fill="auto"/>
            <w:noWrap/>
            <w:hideMark/>
          </w:tcPr>
          <w:p w14:paraId="37DFC607"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1EBCCEFD"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8,427</w:t>
            </w:r>
          </w:p>
        </w:tc>
      </w:tr>
      <w:tr w:rsidR="00DA4C4D" w:rsidRPr="003C4CA8" w14:paraId="5DFDBA77"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3C33DFB1" w14:textId="77777777" w:rsidR="00DA4C4D" w:rsidRPr="004508D1" w:rsidRDefault="00DA4C4D" w:rsidP="004508D1">
            <w:pPr>
              <w:pStyle w:val="NoSpacing"/>
              <w:rPr>
                <w:rFonts w:eastAsia="Times New Roman"/>
                <w:lang w:eastAsia="es-ES_tradnl"/>
              </w:rPr>
            </w:pPr>
            <w:r w:rsidRPr="004508D1">
              <w:rPr>
                <w:rFonts w:eastAsia="Times New Roman"/>
                <w:lang w:eastAsia="es-ES_tradnl"/>
              </w:rPr>
              <w:t>Manganese (Mn), ICP-OES KW</w:t>
            </w:r>
          </w:p>
        </w:tc>
        <w:tc>
          <w:tcPr>
            <w:tcW w:w="1588" w:type="dxa"/>
            <w:tcBorders>
              <w:top w:val="nil"/>
              <w:left w:val="nil"/>
              <w:bottom w:val="single" w:sz="4" w:space="0" w:color="auto"/>
              <w:right w:val="single" w:sz="4" w:space="0" w:color="auto"/>
            </w:tcBorders>
            <w:shd w:val="clear" w:color="auto" w:fill="auto"/>
            <w:noWrap/>
            <w:hideMark/>
          </w:tcPr>
          <w:p w14:paraId="2D1962EB"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41F48E23"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583</w:t>
            </w:r>
          </w:p>
        </w:tc>
      </w:tr>
      <w:tr w:rsidR="00DA4C4D" w:rsidRPr="003C4CA8" w14:paraId="7450B65F"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69E75AB1"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Phosphor (P), ICP-OES KW</w:t>
            </w:r>
          </w:p>
        </w:tc>
        <w:tc>
          <w:tcPr>
            <w:tcW w:w="1588" w:type="dxa"/>
            <w:tcBorders>
              <w:top w:val="nil"/>
              <w:left w:val="nil"/>
              <w:bottom w:val="single" w:sz="4" w:space="0" w:color="auto"/>
              <w:right w:val="single" w:sz="4" w:space="0" w:color="auto"/>
            </w:tcBorders>
            <w:shd w:val="clear" w:color="auto" w:fill="auto"/>
            <w:noWrap/>
            <w:hideMark/>
          </w:tcPr>
          <w:p w14:paraId="6B8F34FB"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6FF0649C"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623</w:t>
            </w:r>
          </w:p>
        </w:tc>
      </w:tr>
      <w:tr w:rsidR="00DA4C4D" w:rsidRPr="003C4CA8" w14:paraId="1121A70D" w14:textId="77777777" w:rsidTr="004508D1">
        <w:trPr>
          <w:cantSplit/>
          <w:jc w:val="center"/>
        </w:trPr>
        <w:tc>
          <w:tcPr>
            <w:tcW w:w="5200" w:type="dxa"/>
            <w:tcBorders>
              <w:top w:val="nil"/>
              <w:left w:val="single" w:sz="4" w:space="0" w:color="auto"/>
              <w:bottom w:val="single" w:sz="4" w:space="0" w:color="auto"/>
              <w:right w:val="single" w:sz="4" w:space="0" w:color="auto"/>
            </w:tcBorders>
            <w:shd w:val="clear" w:color="auto" w:fill="auto"/>
            <w:hideMark/>
          </w:tcPr>
          <w:p w14:paraId="57714489" w14:textId="57C93505" w:rsidR="00DA4C4D" w:rsidRPr="004508D1" w:rsidRDefault="00DA4C4D" w:rsidP="004508D1">
            <w:pPr>
              <w:pStyle w:val="NoSpacing"/>
              <w:rPr>
                <w:rFonts w:eastAsia="Times New Roman"/>
                <w:lang w:eastAsia="es-ES_tradnl"/>
              </w:rPr>
            </w:pPr>
            <w:proofErr w:type="spellStart"/>
            <w:r w:rsidRPr="004508D1">
              <w:rPr>
                <w:rFonts w:eastAsia="Times New Roman"/>
                <w:lang w:eastAsia="es-ES_tradnl"/>
              </w:rPr>
              <w:t>Zin</w:t>
            </w:r>
            <w:r w:rsidR="00BD7DF8">
              <w:rPr>
                <w:rFonts w:eastAsia="Times New Roman"/>
                <w:lang w:eastAsia="es-ES_tradnl"/>
              </w:rPr>
              <w:t>c</w:t>
            </w:r>
            <w:proofErr w:type="spellEnd"/>
            <w:r w:rsidRPr="004508D1">
              <w:rPr>
                <w:rFonts w:eastAsia="Times New Roman"/>
                <w:lang w:eastAsia="es-ES_tradnl"/>
              </w:rPr>
              <w:t xml:space="preserve"> (</w:t>
            </w:r>
            <w:proofErr w:type="spellStart"/>
            <w:r w:rsidRPr="004508D1">
              <w:rPr>
                <w:rFonts w:eastAsia="Times New Roman"/>
                <w:lang w:eastAsia="es-ES_tradnl"/>
              </w:rPr>
              <w:t>Zn</w:t>
            </w:r>
            <w:proofErr w:type="spellEnd"/>
            <w:r w:rsidRPr="004508D1">
              <w:rPr>
                <w:rFonts w:eastAsia="Times New Roman"/>
                <w:lang w:eastAsia="es-ES_tradnl"/>
              </w:rPr>
              <w:t>), ICP-OES KW</w:t>
            </w:r>
          </w:p>
        </w:tc>
        <w:tc>
          <w:tcPr>
            <w:tcW w:w="1588" w:type="dxa"/>
            <w:tcBorders>
              <w:top w:val="nil"/>
              <w:left w:val="nil"/>
              <w:bottom w:val="single" w:sz="4" w:space="0" w:color="auto"/>
              <w:right w:val="single" w:sz="4" w:space="0" w:color="auto"/>
            </w:tcBorders>
            <w:shd w:val="clear" w:color="auto" w:fill="auto"/>
            <w:noWrap/>
            <w:hideMark/>
          </w:tcPr>
          <w:p w14:paraId="2F5F1682"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mg/kg</w:t>
            </w:r>
          </w:p>
        </w:tc>
        <w:tc>
          <w:tcPr>
            <w:tcW w:w="1272" w:type="dxa"/>
            <w:tcBorders>
              <w:top w:val="nil"/>
              <w:left w:val="nil"/>
              <w:bottom w:val="single" w:sz="4" w:space="0" w:color="auto"/>
              <w:right w:val="single" w:sz="4" w:space="0" w:color="auto"/>
            </w:tcBorders>
            <w:shd w:val="clear" w:color="auto" w:fill="auto"/>
            <w:noWrap/>
            <w:hideMark/>
          </w:tcPr>
          <w:p w14:paraId="6DEF51CA" w14:textId="77777777" w:rsidR="00DA4C4D" w:rsidRPr="004508D1" w:rsidRDefault="00DA4C4D" w:rsidP="004508D1">
            <w:pPr>
              <w:pStyle w:val="NoSpacing"/>
              <w:rPr>
                <w:rFonts w:eastAsia="Times New Roman"/>
                <w:lang w:val="en-US" w:eastAsia="es-ES_tradnl"/>
              </w:rPr>
            </w:pPr>
            <w:r w:rsidRPr="004508D1">
              <w:rPr>
                <w:rFonts w:eastAsia="Times New Roman"/>
                <w:lang w:val="en-US" w:eastAsia="es-ES_tradnl"/>
              </w:rPr>
              <w:t>46.2</w:t>
            </w:r>
          </w:p>
        </w:tc>
      </w:tr>
    </w:tbl>
    <w:p w14:paraId="2B5B1332" w14:textId="7F33EEFF" w:rsidR="00DA4C4D" w:rsidRPr="00C41B5D" w:rsidRDefault="00DA4C4D" w:rsidP="00C51119">
      <w:pPr>
        <w:rPr>
          <w:rFonts w:ascii="Arial" w:hAnsi="Arial" w:cs="Arial"/>
          <w:b/>
          <w:bCs/>
          <w:sz w:val="20"/>
          <w:szCs w:val="20"/>
        </w:rPr>
      </w:pPr>
      <w:r w:rsidRPr="00DA4C4D">
        <w:rPr>
          <w:rFonts w:ascii="Arial" w:hAnsi="Arial" w:cs="Arial"/>
          <w:b/>
          <w:bCs/>
          <w:sz w:val="20"/>
          <w:szCs w:val="20"/>
        </w:rPr>
        <w:br w:type="page"/>
      </w:r>
    </w:p>
    <w:p w14:paraId="673CE8FF" w14:textId="637B4879" w:rsidR="00C41B5D" w:rsidRDefault="00DA4C4D" w:rsidP="004508D1">
      <w:pPr>
        <w:pStyle w:val="NoSpacing"/>
        <w:rPr>
          <w:lang w:val="en-US"/>
        </w:rPr>
      </w:pPr>
      <w:r w:rsidRPr="003A09BE">
        <w:rPr>
          <w:b/>
          <w:bCs/>
          <w:lang w:val="en-US"/>
        </w:rPr>
        <w:lastRenderedPageBreak/>
        <w:t xml:space="preserve">Table </w:t>
      </w:r>
      <w:r w:rsidR="005D2B8B">
        <w:rPr>
          <w:b/>
          <w:bCs/>
          <w:lang w:val="en-US"/>
        </w:rPr>
        <w:t>S</w:t>
      </w:r>
      <w:r w:rsidRPr="003A09BE">
        <w:rPr>
          <w:b/>
          <w:bCs/>
          <w:lang w:val="en-US"/>
        </w:rPr>
        <w:t>2</w:t>
      </w:r>
      <w:r w:rsidRPr="00033110">
        <w:rPr>
          <w:lang w:val="en-US"/>
        </w:rPr>
        <w:t>. Cloned PCR fragment of R</w:t>
      </w:r>
      <w:r w:rsidR="00D42B4B" w:rsidRPr="00033110">
        <w:rPr>
          <w:lang w:val="en-US"/>
        </w:rPr>
        <w:t>hizoglomus</w:t>
      </w:r>
      <w:r w:rsidRPr="00033110">
        <w:rPr>
          <w:lang w:val="en-US"/>
        </w:rPr>
        <w:t xml:space="preserve"> irregulare (18S region; AML1/2 primer pair)</w:t>
      </w:r>
    </w:p>
    <w:p w14:paraId="6B7EFEC0" w14:textId="77777777" w:rsidR="004508D1" w:rsidRPr="00033110" w:rsidRDefault="004508D1" w:rsidP="004508D1">
      <w:pPr>
        <w:pStyle w:val="NoSpacing"/>
        <w:rPr>
          <w:lang w:val="en-US"/>
        </w:rPr>
      </w:pPr>
    </w:p>
    <w:tbl>
      <w:tblPr>
        <w:tblStyle w:val="TableGrid"/>
        <w:tblW w:w="0" w:type="auto"/>
        <w:tblLayout w:type="fixed"/>
        <w:tblLook w:val="04A0" w:firstRow="1" w:lastRow="0" w:firstColumn="1" w:lastColumn="0" w:noHBand="0" w:noVBand="1"/>
      </w:tblPr>
      <w:tblGrid>
        <w:gridCol w:w="1129"/>
        <w:gridCol w:w="1134"/>
        <w:gridCol w:w="6747"/>
      </w:tblGrid>
      <w:tr w:rsidR="00DA4C4D" w:rsidRPr="00033110" w14:paraId="0CDEEC31" w14:textId="77777777" w:rsidTr="001D3117">
        <w:tc>
          <w:tcPr>
            <w:tcW w:w="1129" w:type="dxa"/>
          </w:tcPr>
          <w:p w14:paraId="69C7E984" w14:textId="77777777" w:rsidR="00DA4C4D" w:rsidRPr="00033110" w:rsidRDefault="00DA4C4D" w:rsidP="004508D1">
            <w:pPr>
              <w:pStyle w:val="NoSpacing"/>
              <w:rPr>
                <w:lang w:val="en-US"/>
              </w:rPr>
            </w:pPr>
            <w:r w:rsidRPr="00033110">
              <w:rPr>
                <w:lang w:val="en-US"/>
              </w:rPr>
              <w:t>Forward primer</w:t>
            </w:r>
          </w:p>
        </w:tc>
        <w:tc>
          <w:tcPr>
            <w:tcW w:w="1134" w:type="dxa"/>
          </w:tcPr>
          <w:p w14:paraId="35566DE8" w14:textId="77777777" w:rsidR="00DA4C4D" w:rsidRPr="00033110" w:rsidRDefault="00DA4C4D" w:rsidP="004508D1">
            <w:pPr>
              <w:pStyle w:val="NoSpacing"/>
              <w:rPr>
                <w:lang w:val="en-US"/>
              </w:rPr>
            </w:pPr>
            <w:r w:rsidRPr="00033110">
              <w:rPr>
                <w:lang w:val="en-US"/>
              </w:rPr>
              <w:t>Reverse primer</w:t>
            </w:r>
          </w:p>
        </w:tc>
        <w:tc>
          <w:tcPr>
            <w:tcW w:w="6747" w:type="dxa"/>
          </w:tcPr>
          <w:p w14:paraId="4FC327E9" w14:textId="77777777" w:rsidR="00DA4C4D" w:rsidRPr="00033110" w:rsidRDefault="00DA4C4D" w:rsidP="004508D1">
            <w:pPr>
              <w:pStyle w:val="NoSpacing"/>
              <w:rPr>
                <w:lang w:val="en-US"/>
              </w:rPr>
            </w:pPr>
            <w:r w:rsidRPr="00033110">
              <w:rPr>
                <w:lang w:val="en-US"/>
              </w:rPr>
              <w:t>Sequence (rev)</w:t>
            </w:r>
          </w:p>
        </w:tc>
      </w:tr>
      <w:tr w:rsidR="00DA4C4D" w14:paraId="7E8BB2B1" w14:textId="77777777" w:rsidTr="001D3117">
        <w:tc>
          <w:tcPr>
            <w:tcW w:w="1129" w:type="dxa"/>
          </w:tcPr>
          <w:p w14:paraId="5F17BF68" w14:textId="52102EA8" w:rsidR="00DA4C4D" w:rsidRPr="00C41B5D" w:rsidRDefault="00DA4C4D" w:rsidP="004508D1">
            <w:pPr>
              <w:pStyle w:val="NoSpacing"/>
            </w:pPr>
            <w:r w:rsidRPr="00C41B5D">
              <w:t xml:space="preserve">AML1 </w:t>
            </w:r>
            <w:r w:rsidRPr="00C41B5D">
              <w:br/>
            </w:r>
            <w:r w:rsidRPr="00C41B5D">
              <w:fldChar w:fldCharType="begin" w:fldLock="1"/>
            </w:r>
            <w:r w:rsidR="00401861">
              <w:instrText>ADDIN CSL_CITATION {"citationItems":[{"id":"ITEM-1","itemData":{"DOI":"10.1111/j.1574-6941.2008.00531.x","ISSN":"01686496","PMID":"18631176","abstract":"A set of PCR primers that should amplify all subgroups of arbuscular mycorrhizal fungi (AMF, Glomeromycota), but exclude sequences from other organisms, was designed to facilitate rapid detection and identification directly from field-grown plant roots. The small subunit rRNA gene was targeted for the new primers (AML1 and AML2) because phylogenetic relationships among the Glomeromycota are well understood for this gene. Sequence comparisons indicate that the new primers should amplify all published AMF sequences except those from Archaeospora trappei. The specificity of the new primers was tested using 23 different AMF spore morphotypes from trap cultures and Miscanthus sinensis, Glycine max and Panax ginseng roots sampled from the field. Non-AMF DNA of 14 plants, 14 Basidiomycota and 18 Ascomycota was also tested as negative controls. Sequences amplified from roots using the new primers were compared with those obtained using the established NS31 and AM1 primer combination. The new primers have much better specificity and coverage of all known AMF groups. © 2008 Federation of European Microbiological Societies. Published by Blackwell Publishing Ltd. All rights reserved.","author":[{"dropping-particle":"","family":"Lee","given":"Jaikoo","non-dropping-particle":"","parse-names":false,"suffix":""},{"dropping-particle":"","family":"Lee","given":"Sangsun","non-dropping-particle":"","parse-names":false,"suffix":""},{"dropping-particle":"","family":"Young","given":"J. Peter W.","non-dropping-particle":"","parse-names":false,"suffix":""}],"container-title":"FEMS Microbiology Ecology","id":"ITEM-1","issue":"2","issued":{"date-parts":[["2008"]]},"page":"339-349","title":"Improved PCR primers for the detection and identification of arbuscular mycorrhizal fungi","type":"article-journal","volume":"65"},"uris":["http://www.mendeley.com/documents/?uuid=e8156c50-8637-4ca2-aa10-9ae338cae640"]}],"mendeley":{"formattedCitation":"(Lee et al. 2008)","plainTextFormattedCitation":"(Lee et al. 2008)","previouslyFormattedCitation":"(Lee et al. 2008)"},"properties":{"noteIndex":0},"schema":"https://github.com/citation-style-language/schema/raw/master/csl-citation.json"}</w:instrText>
            </w:r>
            <w:r w:rsidRPr="00C41B5D">
              <w:fldChar w:fldCharType="separate"/>
            </w:r>
            <w:r w:rsidRPr="00C41B5D">
              <w:rPr>
                <w:noProof/>
              </w:rPr>
              <w:t>(Lee et al. 2008)</w:t>
            </w:r>
            <w:r w:rsidRPr="00C41B5D">
              <w:fldChar w:fldCharType="end"/>
            </w:r>
          </w:p>
        </w:tc>
        <w:tc>
          <w:tcPr>
            <w:tcW w:w="1134" w:type="dxa"/>
          </w:tcPr>
          <w:p w14:paraId="2D16EE0C" w14:textId="0EFC4880" w:rsidR="00DA4C4D" w:rsidRPr="00C41B5D" w:rsidRDefault="00DA4C4D" w:rsidP="004508D1">
            <w:pPr>
              <w:pStyle w:val="NoSpacing"/>
            </w:pPr>
            <w:r w:rsidRPr="00C41B5D">
              <w:t xml:space="preserve">AML2 </w:t>
            </w:r>
            <w:r w:rsidRPr="00C41B5D">
              <w:br/>
            </w:r>
            <w:r w:rsidRPr="00C41B5D">
              <w:fldChar w:fldCharType="begin" w:fldLock="1"/>
            </w:r>
            <w:r w:rsidR="00401861">
              <w:instrText>ADDIN CSL_CITATION {"citationItems":[{"id":"ITEM-1","itemData":{"DOI":"10.1111/j.1574-6941.2008.00531.x","ISSN":"01686496","PMID":"18631176","abstract":"A set of PCR primers that should amplify all subgroups of arbuscular mycorrhizal fungi (AMF, Glomeromycota), but exclude sequences from other organisms, was designed to facilitate rapid detection and identification directly from field-grown plant roots. The small subunit rRNA gene was targeted for the new primers (AML1 and AML2) because phylogenetic relationships among the Glomeromycota are well understood for this gene. Sequence comparisons indicate that the new primers should amplify all published AMF sequences except those from Archaeospora trappei. The specificity of the new primers was tested using 23 different AMF spore morphotypes from trap cultures and Miscanthus sinensis, Glycine max and Panax ginseng roots sampled from the field. Non-AMF DNA of 14 plants, 14 Basidiomycota and 18 Ascomycota was also tested as negative controls. Sequences amplified from roots using the new primers were compared with those obtained using the established NS31 and AM1 primer combination. The new primers have much better specificity and coverage of all known AMF groups. © 2008 Federation of European Microbiological Societies. Published by Blackwell Publishing Ltd. All rights reserved.","author":[{"dropping-particle":"","family":"Lee","given":"Jaikoo","non-dropping-particle":"","parse-names":false,"suffix":""},{"dropping-particle":"","family":"Lee","given":"Sangsun","non-dropping-particle":"","parse-names":false,"suffix":""},{"dropping-particle":"","family":"Young","given":"J. Peter W.","non-dropping-particle":"","parse-names":false,"suffix":""}],"container-title":"FEMS Microbiology Ecology","id":"ITEM-1","issue":"2","issued":{"date-parts":[["2008"]]},"page":"339-349","title":"Improved PCR primers for the detection and identification of arbuscular mycorrhizal fungi","type":"article-journal","volume":"65"},"uris":["http://www.mendeley.com/documents/?uuid=e8156c50-8637-4ca2-aa10-9ae338cae640"]}],"mendeley":{"formattedCitation":"(Lee et al. 2008)","plainTextFormattedCitation":"(Lee et al. 2008)","previouslyFormattedCitation":"(Lee et al. 2008)"},"properties":{"noteIndex":0},"schema":"https://github.com/citation-style-language/schema/raw/master/csl-citation.json"}</w:instrText>
            </w:r>
            <w:r w:rsidRPr="00C41B5D">
              <w:fldChar w:fldCharType="separate"/>
            </w:r>
            <w:r w:rsidRPr="00C41B5D">
              <w:rPr>
                <w:noProof/>
              </w:rPr>
              <w:t>(Lee et al. 2008)</w:t>
            </w:r>
            <w:r w:rsidRPr="00C41B5D">
              <w:fldChar w:fldCharType="end"/>
            </w:r>
          </w:p>
        </w:tc>
        <w:tc>
          <w:tcPr>
            <w:tcW w:w="6747" w:type="dxa"/>
          </w:tcPr>
          <w:p w14:paraId="63B70019" w14:textId="77777777" w:rsidR="00DA4C4D" w:rsidRPr="00C51119" w:rsidRDefault="00DA4C4D" w:rsidP="004508D1">
            <w:pPr>
              <w:pStyle w:val="NoSpacing"/>
            </w:pPr>
            <w:r w:rsidRPr="00C51119">
              <w:t>ATCAACTTTCCGATGGTAGGATAGAGGCCTACCATGGTGGTAACGGGTAACGGGGTGTTAGGGCACGACACCGGAGAGGGAGCCTGAGAAACGGCTACCACATCCAAGGATGGCAGCAGGCGCGCAAATTACCCAATCCCGACACGGGGAGGTAGTGACAATAAATAACAATACGGGGTTCTTTCGGATCTCGTAATTGGAATGAGTACAATTTAAATCTCTTAACGAGGAACAATTGGAGGGCAAGTCTGGTGCCAGCAGCCGCGGTAATTCCAGCTCCAATAGCGTATATTAAAGTTGTTGCAGTTAAAAAGCTTGTAGTTAAATTTCGGGGTTAGTAGGTTGGTCATGCCTCCGGTATGTACTGATCTCACTGATTCCTCCTTCCTTATGAACCGTAATGCCATTAATTTGGTGTTGCGGGGAATTTGGACTGTTACTTTGAAAAAATTAGAGTGTTTAAAGCAAGCTAACGCTTGAATACATTAGCATGGAATAATGAAATAGGACGTTCGATCCTATTTTGTTGGTTTCTAGGATTGACGTAATGATTAATAGGGATAGTTGGGGGCATTAGTATTCAATTGTCAGAGGTGAAATTCTTGGATTTATTGAAGACTAACTACTGCGAAAGCATTTGCCAAGGATGTTTTCATTAATCAAGAACGAAAGTTAGGGGATCGAAGACGATCAGATACCGTCGTAGTCTTAACCATAAACTATGCCGACTAGGGATCGGATGATGTTAATTTTTTAATGACTCATTCGGCGCCTTACGGGAAACCAAAGTGTTTGGGTTC</w:t>
            </w:r>
          </w:p>
        </w:tc>
      </w:tr>
    </w:tbl>
    <w:p w14:paraId="48C3D293" w14:textId="77777777" w:rsidR="00C51119" w:rsidRDefault="00C51119">
      <w:pPr>
        <w:ind w:firstLine="360"/>
        <w:rPr>
          <w:b/>
          <w:bCs/>
          <w:sz w:val="20"/>
          <w:szCs w:val="20"/>
        </w:rPr>
      </w:pPr>
      <w:r>
        <w:rPr>
          <w:b/>
          <w:bCs/>
          <w:sz w:val="20"/>
          <w:szCs w:val="20"/>
        </w:rPr>
        <w:br w:type="page"/>
      </w:r>
    </w:p>
    <w:p w14:paraId="38A505CB" w14:textId="74BE07EB" w:rsidR="00772CF9" w:rsidRDefault="00772CF9" w:rsidP="004508D1">
      <w:pPr>
        <w:pStyle w:val="NoSpacing"/>
        <w:rPr>
          <w:lang w:val="en-US"/>
        </w:rPr>
      </w:pPr>
      <w:r>
        <w:rPr>
          <w:b/>
          <w:lang w:val="en-US"/>
        </w:rPr>
        <w:lastRenderedPageBreak/>
        <w:t>Table S</w:t>
      </w:r>
      <w:r w:rsidR="001E266D">
        <w:rPr>
          <w:b/>
          <w:lang w:val="en-US"/>
        </w:rPr>
        <w:t>3</w:t>
      </w:r>
      <w:r>
        <w:rPr>
          <w:b/>
          <w:lang w:val="en-US"/>
        </w:rPr>
        <w:t>.</w:t>
      </w:r>
      <w:r w:rsidRPr="00A074BD">
        <w:rPr>
          <w:b/>
          <w:lang w:val="en-US"/>
        </w:rPr>
        <w:t xml:space="preserve"> </w:t>
      </w:r>
      <w:r w:rsidRPr="00A074BD">
        <w:rPr>
          <w:lang w:val="en-US"/>
        </w:rPr>
        <w:t>Effect of phosphorus fertilization on shoot dry weight</w:t>
      </w:r>
      <w:r>
        <w:rPr>
          <w:lang w:val="en-US"/>
        </w:rPr>
        <w:t xml:space="preserve">, </w:t>
      </w:r>
      <w:r w:rsidRPr="00A074BD">
        <w:rPr>
          <w:lang w:val="en-US"/>
        </w:rPr>
        <w:t xml:space="preserve">colonization of arbuscular mycorrhizal fungi (AMF) assessed via </w:t>
      </w:r>
      <w:r>
        <w:rPr>
          <w:lang w:val="en-US"/>
        </w:rPr>
        <w:t>microscopy</w:t>
      </w:r>
      <w:r w:rsidRPr="00A074BD">
        <w:rPr>
          <w:lang w:val="en-US"/>
        </w:rPr>
        <w:t xml:space="preserve"> and quantitative polymerase chain reaction (qPCR)</w:t>
      </w:r>
      <w:r>
        <w:rPr>
          <w:lang w:val="en-US"/>
        </w:rPr>
        <w:t xml:space="preserve"> for</w:t>
      </w:r>
      <w:r w:rsidRPr="00A074BD">
        <w:rPr>
          <w:lang w:val="en-US"/>
        </w:rPr>
        <w:t xml:space="preserve"> the winter wheat varieties </w:t>
      </w:r>
      <w:proofErr w:type="spellStart"/>
      <w:r w:rsidRPr="00A074BD">
        <w:rPr>
          <w:lang w:val="en-US"/>
        </w:rPr>
        <w:t>Colmetta</w:t>
      </w:r>
      <w:proofErr w:type="spellEnd"/>
      <w:r w:rsidRPr="00A074BD">
        <w:rPr>
          <w:lang w:val="en-US"/>
        </w:rPr>
        <w:t xml:space="preserve"> and </w:t>
      </w:r>
      <w:proofErr w:type="spellStart"/>
      <w:r w:rsidRPr="00A074BD">
        <w:rPr>
          <w:lang w:val="en-US"/>
        </w:rPr>
        <w:t>Wiwa</w:t>
      </w:r>
      <w:proofErr w:type="spellEnd"/>
      <w:r w:rsidRPr="00A074BD">
        <w:rPr>
          <w:lang w:val="en-US"/>
        </w:rPr>
        <w:t>, tomato and leek. F and p values were obtained from one-way analysis of variance (ANOVA).</w:t>
      </w:r>
    </w:p>
    <w:p w14:paraId="35F17315" w14:textId="77777777" w:rsidR="004508D1" w:rsidRPr="00A074BD" w:rsidRDefault="004508D1" w:rsidP="004508D1">
      <w:pPr>
        <w:pStyle w:val="NoSpacing"/>
        <w:rPr>
          <w:lang w:val="en-US"/>
        </w:rPr>
      </w:pPr>
    </w:p>
    <w:tbl>
      <w:tblPr>
        <w:tblW w:w="10340" w:type="dxa"/>
        <w:tblInd w:w="-650" w:type="dxa"/>
        <w:tblCellMar>
          <w:left w:w="70" w:type="dxa"/>
          <w:right w:w="70" w:type="dxa"/>
        </w:tblCellMar>
        <w:tblLook w:val="04A0" w:firstRow="1" w:lastRow="0" w:firstColumn="1" w:lastColumn="0" w:noHBand="0" w:noVBand="1"/>
      </w:tblPr>
      <w:tblGrid>
        <w:gridCol w:w="1701"/>
        <w:gridCol w:w="1276"/>
        <w:gridCol w:w="850"/>
        <w:gridCol w:w="1276"/>
        <w:gridCol w:w="894"/>
        <w:gridCol w:w="1275"/>
        <w:gridCol w:w="851"/>
        <w:gridCol w:w="1276"/>
        <w:gridCol w:w="941"/>
      </w:tblGrid>
      <w:tr w:rsidR="00772CF9" w:rsidRPr="00386685" w14:paraId="2BF5894E" w14:textId="77777777" w:rsidTr="007173E7">
        <w:trPr>
          <w:trHeight w:val="231"/>
        </w:trPr>
        <w:tc>
          <w:tcPr>
            <w:tcW w:w="1701" w:type="dxa"/>
            <w:vMerge w:val="restart"/>
            <w:tcBorders>
              <w:top w:val="double" w:sz="4" w:space="0" w:color="auto"/>
              <w:left w:val="nil"/>
              <w:bottom w:val="nil"/>
              <w:right w:val="nil"/>
            </w:tcBorders>
            <w:shd w:val="clear" w:color="auto" w:fill="auto"/>
            <w:vAlign w:val="center"/>
            <w:hideMark/>
          </w:tcPr>
          <w:p w14:paraId="2DDC07D3" w14:textId="77777777" w:rsidR="00772CF9" w:rsidRPr="00386685" w:rsidRDefault="00772CF9" w:rsidP="007173E7">
            <w:pPr>
              <w:spacing w:after="0" w:line="240" w:lineRule="auto"/>
              <w:rPr>
                <w:rFonts w:cs="Calibri"/>
                <w:color w:val="000000"/>
                <w:lang w:val="en-US" w:eastAsia="de-CH"/>
              </w:rPr>
            </w:pPr>
            <w:r w:rsidRPr="00386685">
              <w:rPr>
                <w:rFonts w:cs="Calibri"/>
                <w:color w:val="000000"/>
                <w:lang w:val="en-US" w:eastAsia="de-CH"/>
              </w:rPr>
              <w:t>Factor</w:t>
            </w:r>
          </w:p>
        </w:tc>
        <w:tc>
          <w:tcPr>
            <w:tcW w:w="2126" w:type="dxa"/>
            <w:gridSpan w:val="2"/>
            <w:tcBorders>
              <w:top w:val="double" w:sz="4" w:space="0" w:color="auto"/>
              <w:left w:val="nil"/>
              <w:bottom w:val="nil"/>
              <w:right w:val="nil"/>
            </w:tcBorders>
            <w:shd w:val="clear" w:color="auto" w:fill="auto"/>
            <w:noWrap/>
            <w:vAlign w:val="bottom"/>
            <w:hideMark/>
          </w:tcPr>
          <w:p w14:paraId="6D2503A4" w14:textId="77777777" w:rsidR="00772CF9" w:rsidRPr="00386685" w:rsidRDefault="00772CF9" w:rsidP="007173E7">
            <w:pPr>
              <w:spacing w:after="0" w:line="240" w:lineRule="auto"/>
              <w:jc w:val="center"/>
              <w:rPr>
                <w:rFonts w:cs="Calibri"/>
                <w:color w:val="000000"/>
                <w:u w:val="single"/>
                <w:lang w:val="en-US" w:eastAsia="de-CH"/>
              </w:rPr>
            </w:pPr>
            <w:proofErr w:type="spellStart"/>
            <w:r w:rsidRPr="00386685">
              <w:rPr>
                <w:rFonts w:cs="Calibri"/>
                <w:color w:val="000000"/>
                <w:u w:val="single"/>
                <w:lang w:val="en-US" w:eastAsia="de-CH"/>
              </w:rPr>
              <w:t>Colmetta</w:t>
            </w:r>
            <w:proofErr w:type="spellEnd"/>
          </w:p>
        </w:tc>
        <w:tc>
          <w:tcPr>
            <w:tcW w:w="2170" w:type="dxa"/>
            <w:gridSpan w:val="2"/>
            <w:tcBorders>
              <w:top w:val="double" w:sz="4" w:space="0" w:color="auto"/>
              <w:left w:val="nil"/>
              <w:bottom w:val="nil"/>
              <w:right w:val="nil"/>
            </w:tcBorders>
            <w:shd w:val="clear" w:color="auto" w:fill="auto"/>
            <w:noWrap/>
            <w:vAlign w:val="bottom"/>
            <w:hideMark/>
          </w:tcPr>
          <w:p w14:paraId="40098A30" w14:textId="77777777" w:rsidR="00772CF9" w:rsidRPr="00386685" w:rsidRDefault="00772CF9" w:rsidP="007173E7">
            <w:pPr>
              <w:spacing w:after="0" w:line="240" w:lineRule="auto"/>
              <w:jc w:val="center"/>
              <w:rPr>
                <w:rFonts w:cs="Calibri"/>
                <w:color w:val="000000"/>
                <w:u w:val="single"/>
                <w:lang w:val="en-US" w:eastAsia="de-CH"/>
              </w:rPr>
            </w:pPr>
            <w:proofErr w:type="spellStart"/>
            <w:r w:rsidRPr="00386685">
              <w:rPr>
                <w:rFonts w:cs="Calibri"/>
                <w:color w:val="000000"/>
                <w:u w:val="single"/>
                <w:lang w:val="en-US" w:eastAsia="de-CH"/>
              </w:rPr>
              <w:t>Wiwa</w:t>
            </w:r>
            <w:proofErr w:type="spellEnd"/>
          </w:p>
        </w:tc>
        <w:tc>
          <w:tcPr>
            <w:tcW w:w="2126" w:type="dxa"/>
            <w:gridSpan w:val="2"/>
            <w:tcBorders>
              <w:top w:val="double" w:sz="4" w:space="0" w:color="auto"/>
              <w:left w:val="nil"/>
              <w:bottom w:val="nil"/>
              <w:right w:val="nil"/>
            </w:tcBorders>
            <w:shd w:val="clear" w:color="auto" w:fill="auto"/>
            <w:noWrap/>
            <w:vAlign w:val="bottom"/>
            <w:hideMark/>
          </w:tcPr>
          <w:p w14:paraId="49072496" w14:textId="77777777" w:rsidR="00772CF9" w:rsidRPr="00386685" w:rsidRDefault="00772CF9" w:rsidP="007173E7">
            <w:pPr>
              <w:spacing w:after="0" w:line="240" w:lineRule="auto"/>
              <w:jc w:val="center"/>
              <w:rPr>
                <w:rFonts w:cs="Calibri"/>
                <w:color w:val="000000"/>
                <w:u w:val="single"/>
                <w:lang w:val="en-US" w:eastAsia="de-CH"/>
              </w:rPr>
            </w:pPr>
            <w:r w:rsidRPr="00386685">
              <w:rPr>
                <w:rFonts w:cs="Calibri"/>
                <w:color w:val="000000"/>
                <w:u w:val="single"/>
                <w:lang w:val="en-US" w:eastAsia="de-CH"/>
              </w:rPr>
              <w:t>Tomato</w:t>
            </w:r>
          </w:p>
        </w:tc>
        <w:tc>
          <w:tcPr>
            <w:tcW w:w="2217" w:type="dxa"/>
            <w:gridSpan w:val="2"/>
            <w:tcBorders>
              <w:top w:val="double" w:sz="4" w:space="0" w:color="auto"/>
              <w:left w:val="nil"/>
              <w:bottom w:val="nil"/>
              <w:right w:val="nil"/>
            </w:tcBorders>
            <w:shd w:val="clear" w:color="auto" w:fill="auto"/>
            <w:noWrap/>
            <w:vAlign w:val="bottom"/>
            <w:hideMark/>
          </w:tcPr>
          <w:p w14:paraId="32135D78" w14:textId="77777777" w:rsidR="00772CF9" w:rsidRPr="00386685" w:rsidRDefault="00772CF9" w:rsidP="007173E7">
            <w:pPr>
              <w:spacing w:after="0" w:line="240" w:lineRule="auto"/>
              <w:jc w:val="center"/>
              <w:rPr>
                <w:rFonts w:cs="Calibri"/>
                <w:color w:val="000000"/>
                <w:u w:val="single"/>
                <w:lang w:val="en-US" w:eastAsia="de-CH"/>
              </w:rPr>
            </w:pPr>
            <w:r w:rsidRPr="00386685">
              <w:rPr>
                <w:rFonts w:cs="Calibri"/>
                <w:color w:val="000000"/>
                <w:u w:val="single"/>
                <w:lang w:val="en-US" w:eastAsia="de-CH"/>
              </w:rPr>
              <w:t>Leek</w:t>
            </w:r>
          </w:p>
        </w:tc>
      </w:tr>
      <w:tr w:rsidR="00772CF9" w:rsidRPr="00386685" w14:paraId="461C97A2" w14:textId="77777777" w:rsidTr="007173E7">
        <w:trPr>
          <w:trHeight w:val="231"/>
        </w:trPr>
        <w:tc>
          <w:tcPr>
            <w:tcW w:w="1701" w:type="dxa"/>
            <w:vMerge/>
            <w:tcBorders>
              <w:top w:val="nil"/>
              <w:left w:val="nil"/>
              <w:bottom w:val="single" w:sz="4" w:space="0" w:color="auto"/>
              <w:right w:val="nil"/>
            </w:tcBorders>
            <w:vAlign w:val="center"/>
            <w:hideMark/>
          </w:tcPr>
          <w:p w14:paraId="05A13E78" w14:textId="77777777" w:rsidR="00772CF9" w:rsidRPr="00386685" w:rsidRDefault="00772CF9" w:rsidP="007173E7">
            <w:pPr>
              <w:spacing w:after="0" w:line="240" w:lineRule="auto"/>
              <w:rPr>
                <w:rFonts w:cs="Calibri"/>
                <w:color w:val="000000"/>
                <w:lang w:val="en-US" w:eastAsia="de-CH"/>
              </w:rPr>
            </w:pPr>
          </w:p>
        </w:tc>
        <w:tc>
          <w:tcPr>
            <w:tcW w:w="1276" w:type="dxa"/>
            <w:tcBorders>
              <w:top w:val="nil"/>
              <w:left w:val="nil"/>
              <w:bottom w:val="single" w:sz="4" w:space="0" w:color="auto"/>
              <w:right w:val="nil"/>
            </w:tcBorders>
            <w:shd w:val="clear" w:color="auto" w:fill="auto"/>
            <w:noWrap/>
            <w:vAlign w:val="bottom"/>
            <w:hideMark/>
          </w:tcPr>
          <w:p w14:paraId="15E63FDD"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F value</w:t>
            </w:r>
          </w:p>
        </w:tc>
        <w:tc>
          <w:tcPr>
            <w:tcW w:w="850" w:type="dxa"/>
            <w:tcBorders>
              <w:top w:val="nil"/>
              <w:left w:val="nil"/>
              <w:bottom w:val="single" w:sz="4" w:space="0" w:color="auto"/>
              <w:right w:val="nil"/>
            </w:tcBorders>
            <w:shd w:val="clear" w:color="auto" w:fill="auto"/>
            <w:noWrap/>
            <w:vAlign w:val="bottom"/>
            <w:hideMark/>
          </w:tcPr>
          <w:p w14:paraId="3D2CB297"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p-value</w:t>
            </w:r>
          </w:p>
        </w:tc>
        <w:tc>
          <w:tcPr>
            <w:tcW w:w="1276" w:type="dxa"/>
            <w:tcBorders>
              <w:top w:val="nil"/>
              <w:left w:val="nil"/>
              <w:bottom w:val="single" w:sz="4" w:space="0" w:color="auto"/>
              <w:right w:val="nil"/>
            </w:tcBorders>
            <w:shd w:val="clear" w:color="auto" w:fill="auto"/>
            <w:noWrap/>
            <w:vAlign w:val="bottom"/>
            <w:hideMark/>
          </w:tcPr>
          <w:p w14:paraId="76CC1242"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F value</w:t>
            </w:r>
          </w:p>
        </w:tc>
        <w:tc>
          <w:tcPr>
            <w:tcW w:w="894" w:type="dxa"/>
            <w:tcBorders>
              <w:top w:val="nil"/>
              <w:left w:val="nil"/>
              <w:bottom w:val="single" w:sz="4" w:space="0" w:color="auto"/>
              <w:right w:val="nil"/>
            </w:tcBorders>
            <w:shd w:val="clear" w:color="auto" w:fill="auto"/>
            <w:noWrap/>
            <w:vAlign w:val="bottom"/>
            <w:hideMark/>
          </w:tcPr>
          <w:p w14:paraId="0DE57227"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p-value</w:t>
            </w:r>
          </w:p>
        </w:tc>
        <w:tc>
          <w:tcPr>
            <w:tcW w:w="1275" w:type="dxa"/>
            <w:tcBorders>
              <w:top w:val="nil"/>
              <w:left w:val="nil"/>
              <w:bottom w:val="single" w:sz="4" w:space="0" w:color="auto"/>
              <w:right w:val="nil"/>
            </w:tcBorders>
            <w:shd w:val="clear" w:color="auto" w:fill="auto"/>
            <w:noWrap/>
            <w:vAlign w:val="bottom"/>
            <w:hideMark/>
          </w:tcPr>
          <w:p w14:paraId="36590588"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F value</w:t>
            </w:r>
          </w:p>
        </w:tc>
        <w:tc>
          <w:tcPr>
            <w:tcW w:w="851" w:type="dxa"/>
            <w:tcBorders>
              <w:top w:val="nil"/>
              <w:left w:val="nil"/>
              <w:bottom w:val="single" w:sz="4" w:space="0" w:color="auto"/>
              <w:right w:val="nil"/>
            </w:tcBorders>
            <w:shd w:val="clear" w:color="auto" w:fill="auto"/>
            <w:noWrap/>
            <w:vAlign w:val="bottom"/>
            <w:hideMark/>
          </w:tcPr>
          <w:p w14:paraId="1035F133"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p-value</w:t>
            </w:r>
          </w:p>
        </w:tc>
        <w:tc>
          <w:tcPr>
            <w:tcW w:w="1276" w:type="dxa"/>
            <w:tcBorders>
              <w:top w:val="nil"/>
              <w:left w:val="nil"/>
              <w:bottom w:val="single" w:sz="4" w:space="0" w:color="auto"/>
              <w:right w:val="nil"/>
            </w:tcBorders>
            <w:shd w:val="clear" w:color="auto" w:fill="auto"/>
            <w:noWrap/>
            <w:vAlign w:val="bottom"/>
            <w:hideMark/>
          </w:tcPr>
          <w:p w14:paraId="0072ED40"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F value</w:t>
            </w:r>
          </w:p>
        </w:tc>
        <w:tc>
          <w:tcPr>
            <w:tcW w:w="941" w:type="dxa"/>
            <w:tcBorders>
              <w:top w:val="nil"/>
              <w:left w:val="nil"/>
              <w:bottom w:val="single" w:sz="4" w:space="0" w:color="auto"/>
              <w:right w:val="nil"/>
            </w:tcBorders>
            <w:shd w:val="clear" w:color="auto" w:fill="auto"/>
            <w:noWrap/>
            <w:vAlign w:val="bottom"/>
            <w:hideMark/>
          </w:tcPr>
          <w:p w14:paraId="54045ACF"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p-value</w:t>
            </w:r>
          </w:p>
        </w:tc>
      </w:tr>
      <w:tr w:rsidR="00772CF9" w:rsidRPr="00386685" w14:paraId="67FB134A" w14:textId="77777777" w:rsidTr="007173E7">
        <w:trPr>
          <w:trHeight w:val="231"/>
        </w:trPr>
        <w:tc>
          <w:tcPr>
            <w:tcW w:w="1701" w:type="dxa"/>
            <w:tcBorders>
              <w:top w:val="single" w:sz="4" w:space="0" w:color="auto"/>
              <w:left w:val="nil"/>
              <w:bottom w:val="nil"/>
              <w:right w:val="nil"/>
            </w:tcBorders>
            <w:shd w:val="clear" w:color="auto" w:fill="auto"/>
            <w:noWrap/>
            <w:vAlign w:val="bottom"/>
            <w:hideMark/>
          </w:tcPr>
          <w:p w14:paraId="51F1FE63" w14:textId="77777777" w:rsidR="00772CF9" w:rsidRPr="00386685" w:rsidRDefault="00772CF9" w:rsidP="007173E7">
            <w:pPr>
              <w:spacing w:after="0" w:line="240" w:lineRule="auto"/>
              <w:rPr>
                <w:rFonts w:cs="Calibri"/>
                <w:color w:val="000000"/>
                <w:lang w:val="en-US" w:eastAsia="de-CH"/>
              </w:rPr>
            </w:pPr>
            <w:r w:rsidRPr="00386685">
              <w:rPr>
                <w:rFonts w:cs="Calibri"/>
                <w:color w:val="000000"/>
                <w:lang w:val="en-US" w:eastAsia="de-CH"/>
              </w:rPr>
              <w:t>Shoot dry weight</w:t>
            </w:r>
          </w:p>
        </w:tc>
        <w:tc>
          <w:tcPr>
            <w:tcW w:w="1276" w:type="dxa"/>
            <w:tcBorders>
              <w:top w:val="single" w:sz="4" w:space="0" w:color="auto"/>
              <w:left w:val="nil"/>
              <w:bottom w:val="nil"/>
              <w:right w:val="nil"/>
            </w:tcBorders>
            <w:shd w:val="clear" w:color="auto" w:fill="auto"/>
            <w:noWrap/>
            <w:vAlign w:val="bottom"/>
            <w:hideMark/>
          </w:tcPr>
          <w:p w14:paraId="4BB90251"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245.22</w:t>
            </w:r>
          </w:p>
        </w:tc>
        <w:tc>
          <w:tcPr>
            <w:tcW w:w="850" w:type="dxa"/>
            <w:tcBorders>
              <w:top w:val="single" w:sz="4" w:space="0" w:color="auto"/>
              <w:left w:val="nil"/>
              <w:bottom w:val="nil"/>
              <w:right w:val="nil"/>
            </w:tcBorders>
            <w:shd w:val="clear" w:color="auto" w:fill="auto"/>
            <w:noWrap/>
            <w:vAlign w:val="bottom"/>
            <w:hideMark/>
          </w:tcPr>
          <w:p w14:paraId="139ABBEA"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&lt;0.001</w:t>
            </w:r>
          </w:p>
        </w:tc>
        <w:tc>
          <w:tcPr>
            <w:tcW w:w="1276" w:type="dxa"/>
            <w:tcBorders>
              <w:top w:val="single" w:sz="4" w:space="0" w:color="auto"/>
              <w:left w:val="nil"/>
              <w:bottom w:val="nil"/>
              <w:right w:val="nil"/>
            </w:tcBorders>
            <w:shd w:val="clear" w:color="auto" w:fill="auto"/>
            <w:noWrap/>
            <w:vAlign w:val="bottom"/>
            <w:hideMark/>
          </w:tcPr>
          <w:p w14:paraId="3227B55C"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186.371</w:t>
            </w:r>
          </w:p>
        </w:tc>
        <w:tc>
          <w:tcPr>
            <w:tcW w:w="894" w:type="dxa"/>
            <w:tcBorders>
              <w:top w:val="single" w:sz="4" w:space="0" w:color="auto"/>
              <w:left w:val="nil"/>
              <w:bottom w:val="nil"/>
              <w:right w:val="nil"/>
            </w:tcBorders>
            <w:shd w:val="clear" w:color="auto" w:fill="auto"/>
            <w:noWrap/>
            <w:vAlign w:val="bottom"/>
            <w:hideMark/>
          </w:tcPr>
          <w:p w14:paraId="38654A7D"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&lt;0.001</w:t>
            </w:r>
          </w:p>
        </w:tc>
        <w:tc>
          <w:tcPr>
            <w:tcW w:w="1275" w:type="dxa"/>
            <w:tcBorders>
              <w:top w:val="single" w:sz="4" w:space="0" w:color="auto"/>
              <w:left w:val="nil"/>
              <w:bottom w:val="nil"/>
              <w:right w:val="nil"/>
            </w:tcBorders>
            <w:shd w:val="clear" w:color="auto" w:fill="auto"/>
            <w:noWrap/>
            <w:vAlign w:val="bottom"/>
            <w:hideMark/>
          </w:tcPr>
          <w:p w14:paraId="20E75C81"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344.821</w:t>
            </w:r>
          </w:p>
        </w:tc>
        <w:tc>
          <w:tcPr>
            <w:tcW w:w="851" w:type="dxa"/>
            <w:tcBorders>
              <w:top w:val="single" w:sz="4" w:space="0" w:color="auto"/>
              <w:left w:val="nil"/>
              <w:bottom w:val="nil"/>
              <w:right w:val="nil"/>
            </w:tcBorders>
            <w:shd w:val="clear" w:color="auto" w:fill="auto"/>
            <w:noWrap/>
            <w:vAlign w:val="bottom"/>
            <w:hideMark/>
          </w:tcPr>
          <w:p w14:paraId="66D47217"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&lt;0.001</w:t>
            </w:r>
          </w:p>
        </w:tc>
        <w:tc>
          <w:tcPr>
            <w:tcW w:w="1276" w:type="dxa"/>
            <w:tcBorders>
              <w:top w:val="single" w:sz="4" w:space="0" w:color="auto"/>
              <w:left w:val="nil"/>
              <w:bottom w:val="nil"/>
              <w:right w:val="nil"/>
            </w:tcBorders>
            <w:shd w:val="clear" w:color="auto" w:fill="auto"/>
            <w:noWrap/>
            <w:vAlign w:val="bottom"/>
            <w:hideMark/>
          </w:tcPr>
          <w:p w14:paraId="7F29C327"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60.049</w:t>
            </w:r>
          </w:p>
        </w:tc>
        <w:tc>
          <w:tcPr>
            <w:tcW w:w="941" w:type="dxa"/>
            <w:tcBorders>
              <w:top w:val="single" w:sz="4" w:space="0" w:color="auto"/>
              <w:left w:val="nil"/>
              <w:bottom w:val="nil"/>
              <w:right w:val="nil"/>
            </w:tcBorders>
            <w:shd w:val="clear" w:color="auto" w:fill="auto"/>
            <w:noWrap/>
            <w:vAlign w:val="bottom"/>
            <w:hideMark/>
          </w:tcPr>
          <w:p w14:paraId="0030B777"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&lt;0.001</w:t>
            </w:r>
          </w:p>
        </w:tc>
      </w:tr>
      <w:tr w:rsidR="00772CF9" w:rsidRPr="00386685" w14:paraId="7CFC297A" w14:textId="77777777" w:rsidTr="007173E7">
        <w:trPr>
          <w:trHeight w:val="231"/>
        </w:trPr>
        <w:tc>
          <w:tcPr>
            <w:tcW w:w="1701" w:type="dxa"/>
            <w:tcBorders>
              <w:top w:val="nil"/>
              <w:left w:val="nil"/>
              <w:bottom w:val="nil"/>
              <w:right w:val="nil"/>
            </w:tcBorders>
            <w:shd w:val="clear" w:color="auto" w:fill="auto"/>
            <w:noWrap/>
            <w:vAlign w:val="bottom"/>
            <w:hideMark/>
          </w:tcPr>
          <w:p w14:paraId="261FED88" w14:textId="77777777" w:rsidR="00772CF9" w:rsidRPr="00386685" w:rsidRDefault="00772CF9" w:rsidP="007173E7">
            <w:pPr>
              <w:spacing w:after="0" w:line="240" w:lineRule="auto"/>
              <w:rPr>
                <w:rFonts w:cs="Calibri"/>
                <w:color w:val="000000"/>
                <w:lang w:val="en-US" w:eastAsia="de-CH"/>
              </w:rPr>
            </w:pPr>
            <w:r w:rsidRPr="00386685">
              <w:rPr>
                <w:rFonts w:cs="Calibri"/>
                <w:color w:val="000000"/>
                <w:lang w:val="en-US" w:eastAsia="de-CH"/>
              </w:rPr>
              <w:t>Microscopy</w:t>
            </w:r>
          </w:p>
        </w:tc>
        <w:tc>
          <w:tcPr>
            <w:tcW w:w="1276" w:type="dxa"/>
            <w:tcBorders>
              <w:top w:val="nil"/>
              <w:left w:val="nil"/>
              <w:bottom w:val="nil"/>
              <w:right w:val="nil"/>
            </w:tcBorders>
            <w:shd w:val="clear" w:color="auto" w:fill="auto"/>
            <w:noWrap/>
            <w:vAlign w:val="bottom"/>
            <w:hideMark/>
          </w:tcPr>
          <w:p w14:paraId="31E82EA2"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52.351</w:t>
            </w:r>
          </w:p>
        </w:tc>
        <w:tc>
          <w:tcPr>
            <w:tcW w:w="850" w:type="dxa"/>
            <w:tcBorders>
              <w:top w:val="nil"/>
              <w:left w:val="nil"/>
              <w:bottom w:val="nil"/>
              <w:right w:val="nil"/>
            </w:tcBorders>
            <w:shd w:val="clear" w:color="auto" w:fill="auto"/>
            <w:noWrap/>
            <w:vAlign w:val="bottom"/>
            <w:hideMark/>
          </w:tcPr>
          <w:p w14:paraId="3351C77B"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&lt;0.001</w:t>
            </w:r>
          </w:p>
        </w:tc>
        <w:tc>
          <w:tcPr>
            <w:tcW w:w="1276" w:type="dxa"/>
            <w:tcBorders>
              <w:top w:val="nil"/>
              <w:left w:val="nil"/>
              <w:bottom w:val="nil"/>
              <w:right w:val="nil"/>
            </w:tcBorders>
            <w:shd w:val="clear" w:color="auto" w:fill="auto"/>
            <w:noWrap/>
            <w:vAlign w:val="bottom"/>
            <w:hideMark/>
          </w:tcPr>
          <w:p w14:paraId="635E9039"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22.942</w:t>
            </w:r>
          </w:p>
        </w:tc>
        <w:tc>
          <w:tcPr>
            <w:tcW w:w="894" w:type="dxa"/>
            <w:tcBorders>
              <w:top w:val="nil"/>
              <w:left w:val="nil"/>
              <w:bottom w:val="nil"/>
              <w:right w:val="nil"/>
            </w:tcBorders>
            <w:shd w:val="clear" w:color="auto" w:fill="auto"/>
            <w:noWrap/>
            <w:vAlign w:val="bottom"/>
            <w:hideMark/>
          </w:tcPr>
          <w:p w14:paraId="3DCFD30B"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&lt;0.001</w:t>
            </w:r>
          </w:p>
        </w:tc>
        <w:tc>
          <w:tcPr>
            <w:tcW w:w="1275" w:type="dxa"/>
            <w:tcBorders>
              <w:top w:val="nil"/>
              <w:left w:val="nil"/>
              <w:bottom w:val="nil"/>
              <w:right w:val="nil"/>
            </w:tcBorders>
            <w:shd w:val="clear" w:color="auto" w:fill="auto"/>
            <w:noWrap/>
            <w:vAlign w:val="bottom"/>
            <w:hideMark/>
          </w:tcPr>
          <w:p w14:paraId="68E01BE5"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75.67</w:t>
            </w:r>
          </w:p>
        </w:tc>
        <w:tc>
          <w:tcPr>
            <w:tcW w:w="851" w:type="dxa"/>
            <w:tcBorders>
              <w:top w:val="nil"/>
              <w:left w:val="nil"/>
              <w:bottom w:val="nil"/>
              <w:right w:val="nil"/>
            </w:tcBorders>
            <w:shd w:val="clear" w:color="auto" w:fill="auto"/>
            <w:noWrap/>
            <w:vAlign w:val="bottom"/>
            <w:hideMark/>
          </w:tcPr>
          <w:p w14:paraId="789B044B"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&lt;0.001</w:t>
            </w:r>
          </w:p>
        </w:tc>
        <w:tc>
          <w:tcPr>
            <w:tcW w:w="1276" w:type="dxa"/>
            <w:tcBorders>
              <w:top w:val="nil"/>
              <w:left w:val="nil"/>
              <w:bottom w:val="nil"/>
              <w:right w:val="nil"/>
            </w:tcBorders>
            <w:shd w:val="clear" w:color="auto" w:fill="auto"/>
            <w:noWrap/>
            <w:vAlign w:val="bottom"/>
            <w:hideMark/>
          </w:tcPr>
          <w:p w14:paraId="6E00A4DC"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8.99</w:t>
            </w:r>
          </w:p>
        </w:tc>
        <w:tc>
          <w:tcPr>
            <w:tcW w:w="941" w:type="dxa"/>
            <w:tcBorders>
              <w:top w:val="nil"/>
              <w:left w:val="nil"/>
              <w:bottom w:val="nil"/>
              <w:right w:val="nil"/>
            </w:tcBorders>
            <w:shd w:val="clear" w:color="auto" w:fill="auto"/>
            <w:noWrap/>
            <w:vAlign w:val="bottom"/>
            <w:hideMark/>
          </w:tcPr>
          <w:p w14:paraId="29C17041"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&lt;0.001</w:t>
            </w:r>
          </w:p>
        </w:tc>
      </w:tr>
      <w:tr w:rsidR="00772CF9" w:rsidRPr="00386685" w14:paraId="76B91008" w14:textId="77777777" w:rsidTr="007173E7">
        <w:trPr>
          <w:trHeight w:val="231"/>
        </w:trPr>
        <w:tc>
          <w:tcPr>
            <w:tcW w:w="1701" w:type="dxa"/>
            <w:tcBorders>
              <w:top w:val="nil"/>
              <w:left w:val="nil"/>
              <w:bottom w:val="double" w:sz="4" w:space="0" w:color="auto"/>
              <w:right w:val="nil"/>
            </w:tcBorders>
            <w:shd w:val="clear" w:color="auto" w:fill="auto"/>
            <w:noWrap/>
            <w:vAlign w:val="bottom"/>
            <w:hideMark/>
          </w:tcPr>
          <w:p w14:paraId="70D0328A" w14:textId="77777777" w:rsidR="00772CF9" w:rsidRPr="00386685" w:rsidRDefault="00772CF9" w:rsidP="007173E7">
            <w:pPr>
              <w:spacing w:after="0" w:line="240" w:lineRule="auto"/>
              <w:rPr>
                <w:rFonts w:cs="Calibri"/>
                <w:color w:val="000000"/>
                <w:lang w:val="en-US" w:eastAsia="de-CH"/>
              </w:rPr>
            </w:pPr>
            <w:r w:rsidRPr="00386685">
              <w:rPr>
                <w:rFonts w:cs="Calibri"/>
                <w:color w:val="000000"/>
                <w:lang w:val="en-US" w:eastAsia="de-CH"/>
              </w:rPr>
              <w:t>qPCR</w:t>
            </w:r>
          </w:p>
        </w:tc>
        <w:tc>
          <w:tcPr>
            <w:tcW w:w="1276" w:type="dxa"/>
            <w:tcBorders>
              <w:top w:val="nil"/>
              <w:left w:val="nil"/>
              <w:bottom w:val="double" w:sz="4" w:space="0" w:color="auto"/>
              <w:right w:val="nil"/>
            </w:tcBorders>
            <w:shd w:val="clear" w:color="auto" w:fill="auto"/>
            <w:noWrap/>
            <w:vAlign w:val="bottom"/>
            <w:hideMark/>
          </w:tcPr>
          <w:p w14:paraId="7E2FD6AF"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15.431</w:t>
            </w:r>
          </w:p>
        </w:tc>
        <w:tc>
          <w:tcPr>
            <w:tcW w:w="850" w:type="dxa"/>
            <w:tcBorders>
              <w:top w:val="nil"/>
              <w:left w:val="nil"/>
              <w:bottom w:val="double" w:sz="4" w:space="0" w:color="auto"/>
              <w:right w:val="nil"/>
            </w:tcBorders>
            <w:shd w:val="clear" w:color="auto" w:fill="auto"/>
            <w:noWrap/>
            <w:vAlign w:val="bottom"/>
            <w:hideMark/>
          </w:tcPr>
          <w:p w14:paraId="0C4BEFD6"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&lt;0.001</w:t>
            </w:r>
          </w:p>
        </w:tc>
        <w:tc>
          <w:tcPr>
            <w:tcW w:w="1276" w:type="dxa"/>
            <w:tcBorders>
              <w:top w:val="nil"/>
              <w:left w:val="nil"/>
              <w:bottom w:val="double" w:sz="4" w:space="0" w:color="auto"/>
              <w:right w:val="nil"/>
            </w:tcBorders>
            <w:shd w:val="clear" w:color="auto" w:fill="auto"/>
            <w:noWrap/>
            <w:vAlign w:val="bottom"/>
            <w:hideMark/>
          </w:tcPr>
          <w:p w14:paraId="583CACBF"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22.942</w:t>
            </w:r>
          </w:p>
        </w:tc>
        <w:tc>
          <w:tcPr>
            <w:tcW w:w="894" w:type="dxa"/>
            <w:tcBorders>
              <w:top w:val="nil"/>
              <w:left w:val="nil"/>
              <w:bottom w:val="double" w:sz="4" w:space="0" w:color="auto"/>
              <w:right w:val="nil"/>
            </w:tcBorders>
            <w:shd w:val="clear" w:color="auto" w:fill="auto"/>
            <w:noWrap/>
            <w:vAlign w:val="bottom"/>
            <w:hideMark/>
          </w:tcPr>
          <w:p w14:paraId="2ABC0A95"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&lt;0.001</w:t>
            </w:r>
          </w:p>
        </w:tc>
        <w:tc>
          <w:tcPr>
            <w:tcW w:w="1275" w:type="dxa"/>
            <w:tcBorders>
              <w:top w:val="nil"/>
              <w:left w:val="nil"/>
              <w:bottom w:val="double" w:sz="4" w:space="0" w:color="auto"/>
              <w:right w:val="nil"/>
            </w:tcBorders>
            <w:shd w:val="clear" w:color="auto" w:fill="auto"/>
            <w:noWrap/>
            <w:vAlign w:val="bottom"/>
            <w:hideMark/>
          </w:tcPr>
          <w:p w14:paraId="0AEEBEE3"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19.212</w:t>
            </w:r>
          </w:p>
        </w:tc>
        <w:tc>
          <w:tcPr>
            <w:tcW w:w="851" w:type="dxa"/>
            <w:tcBorders>
              <w:top w:val="nil"/>
              <w:left w:val="nil"/>
              <w:bottom w:val="double" w:sz="4" w:space="0" w:color="auto"/>
              <w:right w:val="nil"/>
            </w:tcBorders>
            <w:shd w:val="clear" w:color="auto" w:fill="auto"/>
            <w:noWrap/>
            <w:vAlign w:val="bottom"/>
            <w:hideMark/>
          </w:tcPr>
          <w:p w14:paraId="041DCC42"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&lt;0.001</w:t>
            </w:r>
          </w:p>
        </w:tc>
        <w:tc>
          <w:tcPr>
            <w:tcW w:w="1276" w:type="dxa"/>
            <w:tcBorders>
              <w:top w:val="nil"/>
              <w:left w:val="nil"/>
              <w:bottom w:val="double" w:sz="4" w:space="0" w:color="auto"/>
              <w:right w:val="nil"/>
            </w:tcBorders>
            <w:shd w:val="clear" w:color="auto" w:fill="auto"/>
            <w:noWrap/>
            <w:vAlign w:val="bottom"/>
            <w:hideMark/>
          </w:tcPr>
          <w:p w14:paraId="06319F86"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1.179</w:t>
            </w:r>
          </w:p>
        </w:tc>
        <w:tc>
          <w:tcPr>
            <w:tcW w:w="941" w:type="dxa"/>
            <w:tcBorders>
              <w:top w:val="nil"/>
              <w:left w:val="nil"/>
              <w:bottom w:val="double" w:sz="4" w:space="0" w:color="auto"/>
              <w:right w:val="nil"/>
            </w:tcBorders>
            <w:shd w:val="clear" w:color="auto" w:fill="auto"/>
            <w:noWrap/>
            <w:vAlign w:val="bottom"/>
            <w:hideMark/>
          </w:tcPr>
          <w:p w14:paraId="38C19D37" w14:textId="77777777" w:rsidR="00772CF9" w:rsidRPr="00386685" w:rsidRDefault="00772CF9" w:rsidP="007173E7">
            <w:pPr>
              <w:spacing w:after="0" w:line="240" w:lineRule="auto"/>
              <w:jc w:val="center"/>
              <w:rPr>
                <w:rFonts w:cs="Calibri"/>
                <w:color w:val="000000"/>
                <w:lang w:val="en-US" w:eastAsia="de-CH"/>
              </w:rPr>
            </w:pPr>
            <w:r w:rsidRPr="00386685">
              <w:rPr>
                <w:rFonts w:cs="Calibri"/>
                <w:color w:val="000000"/>
                <w:lang w:val="en-US" w:eastAsia="de-CH"/>
              </w:rPr>
              <w:t>0.336</w:t>
            </w:r>
          </w:p>
        </w:tc>
      </w:tr>
    </w:tbl>
    <w:p w14:paraId="34A906EE" w14:textId="77777777" w:rsidR="00772CF9" w:rsidRPr="00386685" w:rsidRDefault="00772CF9" w:rsidP="00772CF9">
      <w:pPr>
        <w:jc w:val="both"/>
        <w:rPr>
          <w:color w:val="000000"/>
          <w:lang w:val="en-US"/>
        </w:rPr>
      </w:pPr>
    </w:p>
    <w:p w14:paraId="22C1CF5F" w14:textId="6E6B536E" w:rsidR="001E266D" w:rsidRDefault="001E266D" w:rsidP="004508D1">
      <w:pPr>
        <w:pStyle w:val="NoSpacing"/>
        <w:rPr>
          <w:lang w:val="en-GB"/>
        </w:rPr>
      </w:pPr>
      <w:r w:rsidRPr="003615EB">
        <w:rPr>
          <w:b/>
          <w:lang w:val="en-GB"/>
        </w:rPr>
        <w:t xml:space="preserve">Table </w:t>
      </w:r>
      <w:r>
        <w:rPr>
          <w:b/>
          <w:lang w:val="en-GB"/>
        </w:rPr>
        <w:t>S4</w:t>
      </w:r>
      <w:r w:rsidRPr="003615EB">
        <w:rPr>
          <w:b/>
          <w:lang w:val="en-GB"/>
        </w:rPr>
        <w:t xml:space="preserve">. </w:t>
      </w:r>
      <w:r w:rsidRPr="003615EB">
        <w:rPr>
          <w:lang w:val="en-GB"/>
        </w:rPr>
        <w:t xml:space="preserve">Effect of phosphorus fertilization on the abundance of arbuscular mycorrhizal fungal (AMF) structures quantified in roots of the winter wheat varieties </w:t>
      </w:r>
      <w:proofErr w:type="spellStart"/>
      <w:r w:rsidRPr="003615EB">
        <w:rPr>
          <w:lang w:val="en-GB"/>
        </w:rPr>
        <w:t>Colmetta</w:t>
      </w:r>
      <w:proofErr w:type="spellEnd"/>
      <w:r w:rsidRPr="003615EB">
        <w:rPr>
          <w:lang w:val="en-GB"/>
        </w:rPr>
        <w:t xml:space="preserve"> and </w:t>
      </w:r>
      <w:proofErr w:type="spellStart"/>
      <w:r w:rsidRPr="003615EB">
        <w:rPr>
          <w:lang w:val="en-GB"/>
        </w:rPr>
        <w:t>Wiwa</w:t>
      </w:r>
      <w:proofErr w:type="spellEnd"/>
      <w:r w:rsidRPr="003615EB">
        <w:rPr>
          <w:lang w:val="en-GB"/>
        </w:rPr>
        <w:t xml:space="preserve">, tomato and leek. F and p value were obtained from one-way analysis of variance (ANOVA). </w:t>
      </w:r>
    </w:p>
    <w:p w14:paraId="2F125C4A" w14:textId="77777777" w:rsidR="004508D1" w:rsidRPr="003615EB" w:rsidRDefault="004508D1" w:rsidP="004508D1">
      <w:pPr>
        <w:pStyle w:val="NoSpacing"/>
        <w:rPr>
          <w:lang w:val="en-GB"/>
        </w:rPr>
      </w:pPr>
    </w:p>
    <w:tbl>
      <w:tblPr>
        <w:tblW w:w="10198" w:type="dxa"/>
        <w:tblInd w:w="-580" w:type="dxa"/>
        <w:tblCellMar>
          <w:left w:w="70" w:type="dxa"/>
          <w:right w:w="70" w:type="dxa"/>
        </w:tblCellMar>
        <w:tblLook w:val="04A0" w:firstRow="1" w:lastRow="0" w:firstColumn="1" w:lastColumn="0" w:noHBand="0" w:noVBand="1"/>
      </w:tblPr>
      <w:tblGrid>
        <w:gridCol w:w="1559"/>
        <w:gridCol w:w="1276"/>
        <w:gridCol w:w="850"/>
        <w:gridCol w:w="1276"/>
        <w:gridCol w:w="894"/>
        <w:gridCol w:w="1275"/>
        <w:gridCol w:w="851"/>
        <w:gridCol w:w="1276"/>
        <w:gridCol w:w="941"/>
      </w:tblGrid>
      <w:tr w:rsidR="001E266D" w:rsidRPr="00A70F21" w14:paraId="556178C0" w14:textId="77777777" w:rsidTr="007173E7">
        <w:trPr>
          <w:trHeight w:val="231"/>
        </w:trPr>
        <w:tc>
          <w:tcPr>
            <w:tcW w:w="1559" w:type="dxa"/>
            <w:vMerge w:val="restart"/>
            <w:tcBorders>
              <w:top w:val="double" w:sz="4" w:space="0" w:color="auto"/>
              <w:left w:val="nil"/>
              <w:bottom w:val="nil"/>
              <w:right w:val="nil"/>
            </w:tcBorders>
            <w:shd w:val="clear" w:color="auto" w:fill="auto"/>
            <w:vAlign w:val="center"/>
            <w:hideMark/>
          </w:tcPr>
          <w:p w14:paraId="003D28FC" w14:textId="77777777" w:rsidR="001E266D" w:rsidRPr="00A70F21" w:rsidRDefault="001E266D" w:rsidP="007173E7">
            <w:pPr>
              <w:spacing w:after="0" w:line="240" w:lineRule="auto"/>
              <w:rPr>
                <w:rFonts w:eastAsia="Times New Roman" w:cstheme="minorHAnsi"/>
                <w:color w:val="000000"/>
                <w:lang w:val="en-US" w:eastAsia="de-CH"/>
              </w:rPr>
            </w:pPr>
            <w:r w:rsidRPr="00A70F21">
              <w:rPr>
                <w:rFonts w:eastAsia="Times New Roman" w:cstheme="minorHAnsi"/>
                <w:color w:val="000000"/>
                <w:lang w:val="en-US" w:eastAsia="de-CH"/>
              </w:rPr>
              <w:t>AMF structure</w:t>
            </w:r>
          </w:p>
        </w:tc>
        <w:tc>
          <w:tcPr>
            <w:tcW w:w="2126" w:type="dxa"/>
            <w:gridSpan w:val="2"/>
            <w:tcBorders>
              <w:top w:val="double" w:sz="4" w:space="0" w:color="auto"/>
              <w:left w:val="nil"/>
              <w:bottom w:val="nil"/>
              <w:right w:val="nil"/>
            </w:tcBorders>
            <w:shd w:val="clear" w:color="auto" w:fill="auto"/>
            <w:noWrap/>
            <w:vAlign w:val="bottom"/>
            <w:hideMark/>
          </w:tcPr>
          <w:p w14:paraId="455A0B3C" w14:textId="77777777" w:rsidR="001E266D" w:rsidRPr="00A70F21" w:rsidRDefault="001E266D" w:rsidP="007173E7">
            <w:pPr>
              <w:spacing w:after="0" w:line="240" w:lineRule="auto"/>
              <w:jc w:val="center"/>
              <w:rPr>
                <w:rFonts w:eastAsia="Times New Roman" w:cstheme="minorHAnsi"/>
                <w:color w:val="000000"/>
                <w:u w:val="single"/>
                <w:lang w:val="en-US" w:eastAsia="de-CH"/>
              </w:rPr>
            </w:pPr>
            <w:proofErr w:type="spellStart"/>
            <w:r w:rsidRPr="00A70F21">
              <w:rPr>
                <w:rFonts w:eastAsia="Times New Roman" w:cstheme="minorHAnsi"/>
                <w:color w:val="000000"/>
                <w:u w:val="single"/>
                <w:lang w:val="en-US" w:eastAsia="de-CH"/>
              </w:rPr>
              <w:t>Colmetta</w:t>
            </w:r>
            <w:proofErr w:type="spellEnd"/>
          </w:p>
        </w:tc>
        <w:tc>
          <w:tcPr>
            <w:tcW w:w="2170" w:type="dxa"/>
            <w:gridSpan w:val="2"/>
            <w:tcBorders>
              <w:top w:val="double" w:sz="4" w:space="0" w:color="auto"/>
              <w:left w:val="nil"/>
              <w:bottom w:val="nil"/>
              <w:right w:val="nil"/>
            </w:tcBorders>
            <w:shd w:val="clear" w:color="auto" w:fill="auto"/>
            <w:noWrap/>
            <w:vAlign w:val="bottom"/>
            <w:hideMark/>
          </w:tcPr>
          <w:p w14:paraId="2A6DE5C6" w14:textId="77777777" w:rsidR="001E266D" w:rsidRPr="00A70F21" w:rsidRDefault="001E266D" w:rsidP="007173E7">
            <w:pPr>
              <w:spacing w:after="0" w:line="240" w:lineRule="auto"/>
              <w:jc w:val="center"/>
              <w:rPr>
                <w:rFonts w:eastAsia="Times New Roman" w:cstheme="minorHAnsi"/>
                <w:color w:val="000000"/>
                <w:u w:val="single"/>
                <w:lang w:val="en-US" w:eastAsia="de-CH"/>
              </w:rPr>
            </w:pPr>
            <w:proofErr w:type="spellStart"/>
            <w:r w:rsidRPr="00A70F21">
              <w:rPr>
                <w:rFonts w:eastAsia="Times New Roman" w:cstheme="minorHAnsi"/>
                <w:color w:val="000000"/>
                <w:u w:val="single"/>
                <w:lang w:val="en-US" w:eastAsia="de-CH"/>
              </w:rPr>
              <w:t>Wiwa</w:t>
            </w:r>
            <w:proofErr w:type="spellEnd"/>
          </w:p>
        </w:tc>
        <w:tc>
          <w:tcPr>
            <w:tcW w:w="2126" w:type="dxa"/>
            <w:gridSpan w:val="2"/>
            <w:tcBorders>
              <w:top w:val="double" w:sz="4" w:space="0" w:color="auto"/>
              <w:left w:val="nil"/>
              <w:bottom w:val="nil"/>
              <w:right w:val="nil"/>
            </w:tcBorders>
            <w:shd w:val="clear" w:color="auto" w:fill="auto"/>
            <w:noWrap/>
            <w:vAlign w:val="bottom"/>
            <w:hideMark/>
          </w:tcPr>
          <w:p w14:paraId="5514B126" w14:textId="77777777" w:rsidR="001E266D" w:rsidRPr="00A70F21" w:rsidRDefault="001E266D" w:rsidP="007173E7">
            <w:pPr>
              <w:spacing w:after="0" w:line="240" w:lineRule="auto"/>
              <w:jc w:val="center"/>
              <w:rPr>
                <w:rFonts w:eastAsia="Times New Roman" w:cstheme="minorHAnsi"/>
                <w:color w:val="000000"/>
                <w:u w:val="single"/>
                <w:lang w:val="en-US" w:eastAsia="de-CH"/>
              </w:rPr>
            </w:pPr>
            <w:r w:rsidRPr="00A70F21">
              <w:rPr>
                <w:rFonts w:eastAsia="Times New Roman" w:cstheme="minorHAnsi"/>
                <w:color w:val="000000"/>
                <w:u w:val="single"/>
                <w:lang w:val="en-US" w:eastAsia="de-CH"/>
              </w:rPr>
              <w:t>Tomato</w:t>
            </w:r>
          </w:p>
        </w:tc>
        <w:tc>
          <w:tcPr>
            <w:tcW w:w="2217" w:type="dxa"/>
            <w:gridSpan w:val="2"/>
            <w:tcBorders>
              <w:top w:val="double" w:sz="4" w:space="0" w:color="auto"/>
              <w:left w:val="nil"/>
              <w:bottom w:val="nil"/>
              <w:right w:val="nil"/>
            </w:tcBorders>
            <w:shd w:val="clear" w:color="auto" w:fill="auto"/>
            <w:noWrap/>
            <w:vAlign w:val="bottom"/>
            <w:hideMark/>
          </w:tcPr>
          <w:p w14:paraId="15DCDEF1" w14:textId="77777777" w:rsidR="001E266D" w:rsidRPr="00A70F21" w:rsidRDefault="001E266D" w:rsidP="007173E7">
            <w:pPr>
              <w:spacing w:after="0" w:line="240" w:lineRule="auto"/>
              <w:jc w:val="center"/>
              <w:rPr>
                <w:rFonts w:eastAsia="Times New Roman" w:cstheme="minorHAnsi"/>
                <w:color w:val="000000"/>
                <w:u w:val="single"/>
                <w:lang w:val="en-US" w:eastAsia="de-CH"/>
              </w:rPr>
            </w:pPr>
            <w:r w:rsidRPr="00A70F21">
              <w:rPr>
                <w:rFonts w:eastAsia="Times New Roman" w:cstheme="minorHAnsi"/>
                <w:color w:val="000000"/>
                <w:u w:val="single"/>
                <w:lang w:val="en-US" w:eastAsia="de-CH"/>
              </w:rPr>
              <w:t>Leek</w:t>
            </w:r>
          </w:p>
        </w:tc>
      </w:tr>
      <w:tr w:rsidR="001E266D" w:rsidRPr="00A70F21" w14:paraId="185DC0DA" w14:textId="77777777" w:rsidTr="007173E7">
        <w:trPr>
          <w:trHeight w:val="231"/>
        </w:trPr>
        <w:tc>
          <w:tcPr>
            <w:tcW w:w="1559" w:type="dxa"/>
            <w:vMerge/>
            <w:tcBorders>
              <w:top w:val="nil"/>
              <w:left w:val="nil"/>
              <w:bottom w:val="single" w:sz="4" w:space="0" w:color="auto"/>
              <w:right w:val="nil"/>
            </w:tcBorders>
            <w:vAlign w:val="center"/>
            <w:hideMark/>
          </w:tcPr>
          <w:p w14:paraId="1762363E" w14:textId="77777777" w:rsidR="001E266D" w:rsidRPr="00A70F21" w:rsidRDefault="001E266D" w:rsidP="007173E7">
            <w:pPr>
              <w:spacing w:after="0" w:line="240" w:lineRule="auto"/>
              <w:rPr>
                <w:rFonts w:eastAsia="Times New Roman" w:cstheme="minorHAnsi"/>
                <w:color w:val="000000"/>
                <w:lang w:val="en-US" w:eastAsia="de-CH"/>
              </w:rPr>
            </w:pPr>
          </w:p>
        </w:tc>
        <w:tc>
          <w:tcPr>
            <w:tcW w:w="1276" w:type="dxa"/>
            <w:tcBorders>
              <w:top w:val="nil"/>
              <w:left w:val="nil"/>
              <w:bottom w:val="single" w:sz="4" w:space="0" w:color="auto"/>
              <w:right w:val="nil"/>
            </w:tcBorders>
            <w:shd w:val="clear" w:color="auto" w:fill="auto"/>
            <w:noWrap/>
            <w:vAlign w:val="bottom"/>
            <w:hideMark/>
          </w:tcPr>
          <w:p w14:paraId="2DC7AFDB"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F value</w:t>
            </w:r>
          </w:p>
        </w:tc>
        <w:tc>
          <w:tcPr>
            <w:tcW w:w="850" w:type="dxa"/>
            <w:tcBorders>
              <w:top w:val="nil"/>
              <w:left w:val="nil"/>
              <w:bottom w:val="single" w:sz="4" w:space="0" w:color="auto"/>
              <w:right w:val="nil"/>
            </w:tcBorders>
            <w:shd w:val="clear" w:color="auto" w:fill="auto"/>
            <w:noWrap/>
            <w:vAlign w:val="bottom"/>
            <w:hideMark/>
          </w:tcPr>
          <w:p w14:paraId="60B23B66"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p-value</w:t>
            </w:r>
          </w:p>
        </w:tc>
        <w:tc>
          <w:tcPr>
            <w:tcW w:w="1276" w:type="dxa"/>
            <w:tcBorders>
              <w:top w:val="nil"/>
              <w:left w:val="nil"/>
              <w:bottom w:val="single" w:sz="4" w:space="0" w:color="auto"/>
              <w:right w:val="nil"/>
            </w:tcBorders>
            <w:shd w:val="clear" w:color="auto" w:fill="auto"/>
            <w:noWrap/>
            <w:vAlign w:val="bottom"/>
            <w:hideMark/>
          </w:tcPr>
          <w:p w14:paraId="309DA5E7"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F value</w:t>
            </w:r>
          </w:p>
        </w:tc>
        <w:tc>
          <w:tcPr>
            <w:tcW w:w="894" w:type="dxa"/>
            <w:tcBorders>
              <w:top w:val="nil"/>
              <w:left w:val="nil"/>
              <w:bottom w:val="single" w:sz="4" w:space="0" w:color="auto"/>
              <w:right w:val="nil"/>
            </w:tcBorders>
            <w:shd w:val="clear" w:color="auto" w:fill="auto"/>
            <w:noWrap/>
            <w:vAlign w:val="bottom"/>
            <w:hideMark/>
          </w:tcPr>
          <w:p w14:paraId="2AF24D56"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p-value</w:t>
            </w:r>
          </w:p>
        </w:tc>
        <w:tc>
          <w:tcPr>
            <w:tcW w:w="1275" w:type="dxa"/>
            <w:tcBorders>
              <w:top w:val="nil"/>
              <w:left w:val="nil"/>
              <w:bottom w:val="single" w:sz="4" w:space="0" w:color="auto"/>
              <w:right w:val="nil"/>
            </w:tcBorders>
            <w:shd w:val="clear" w:color="auto" w:fill="auto"/>
            <w:noWrap/>
            <w:vAlign w:val="bottom"/>
            <w:hideMark/>
          </w:tcPr>
          <w:p w14:paraId="2C8D9B7C"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F value</w:t>
            </w:r>
          </w:p>
        </w:tc>
        <w:tc>
          <w:tcPr>
            <w:tcW w:w="851" w:type="dxa"/>
            <w:tcBorders>
              <w:top w:val="nil"/>
              <w:left w:val="nil"/>
              <w:bottom w:val="single" w:sz="4" w:space="0" w:color="auto"/>
              <w:right w:val="nil"/>
            </w:tcBorders>
            <w:shd w:val="clear" w:color="auto" w:fill="auto"/>
            <w:noWrap/>
            <w:vAlign w:val="bottom"/>
            <w:hideMark/>
          </w:tcPr>
          <w:p w14:paraId="4F92A336"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p-value</w:t>
            </w:r>
          </w:p>
        </w:tc>
        <w:tc>
          <w:tcPr>
            <w:tcW w:w="1276" w:type="dxa"/>
            <w:tcBorders>
              <w:top w:val="nil"/>
              <w:left w:val="nil"/>
              <w:bottom w:val="single" w:sz="4" w:space="0" w:color="auto"/>
              <w:right w:val="nil"/>
            </w:tcBorders>
            <w:shd w:val="clear" w:color="auto" w:fill="auto"/>
            <w:noWrap/>
            <w:vAlign w:val="bottom"/>
            <w:hideMark/>
          </w:tcPr>
          <w:p w14:paraId="478C2D2D"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F value</w:t>
            </w:r>
          </w:p>
        </w:tc>
        <w:tc>
          <w:tcPr>
            <w:tcW w:w="941" w:type="dxa"/>
            <w:tcBorders>
              <w:top w:val="nil"/>
              <w:left w:val="nil"/>
              <w:bottom w:val="single" w:sz="4" w:space="0" w:color="auto"/>
              <w:right w:val="nil"/>
            </w:tcBorders>
            <w:shd w:val="clear" w:color="auto" w:fill="auto"/>
            <w:noWrap/>
            <w:vAlign w:val="bottom"/>
            <w:hideMark/>
          </w:tcPr>
          <w:p w14:paraId="67ADFA07"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p-value</w:t>
            </w:r>
          </w:p>
        </w:tc>
      </w:tr>
      <w:tr w:rsidR="001E266D" w:rsidRPr="00A70F21" w14:paraId="26F33ABA" w14:textId="77777777" w:rsidTr="007173E7">
        <w:trPr>
          <w:trHeight w:val="231"/>
        </w:trPr>
        <w:tc>
          <w:tcPr>
            <w:tcW w:w="1559" w:type="dxa"/>
            <w:tcBorders>
              <w:top w:val="single" w:sz="4" w:space="0" w:color="auto"/>
              <w:left w:val="nil"/>
              <w:bottom w:val="nil"/>
              <w:right w:val="nil"/>
            </w:tcBorders>
            <w:shd w:val="clear" w:color="auto" w:fill="auto"/>
            <w:noWrap/>
            <w:vAlign w:val="bottom"/>
            <w:hideMark/>
          </w:tcPr>
          <w:p w14:paraId="5FBC2AA8" w14:textId="77777777" w:rsidR="001E266D" w:rsidRPr="00A70F21" w:rsidRDefault="001E266D" w:rsidP="007173E7">
            <w:pPr>
              <w:spacing w:after="0" w:line="240" w:lineRule="auto"/>
              <w:rPr>
                <w:rFonts w:eastAsia="Times New Roman" w:cstheme="minorHAnsi"/>
                <w:color w:val="000000"/>
                <w:lang w:val="en-US" w:eastAsia="de-CH"/>
              </w:rPr>
            </w:pPr>
            <w:r w:rsidRPr="00A70F21">
              <w:rPr>
                <w:rFonts w:eastAsia="Times New Roman" w:cstheme="minorHAnsi"/>
                <w:color w:val="000000"/>
                <w:lang w:val="en-US" w:eastAsia="de-CH"/>
              </w:rPr>
              <w:t>Hyphae</w:t>
            </w:r>
          </w:p>
        </w:tc>
        <w:tc>
          <w:tcPr>
            <w:tcW w:w="1276" w:type="dxa"/>
            <w:tcBorders>
              <w:top w:val="single" w:sz="4" w:space="0" w:color="auto"/>
              <w:left w:val="nil"/>
              <w:bottom w:val="nil"/>
              <w:right w:val="nil"/>
            </w:tcBorders>
            <w:shd w:val="clear" w:color="auto" w:fill="auto"/>
            <w:noWrap/>
            <w:vAlign w:val="bottom"/>
            <w:hideMark/>
          </w:tcPr>
          <w:p w14:paraId="50BD6977"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29.662</w:t>
            </w:r>
          </w:p>
        </w:tc>
        <w:tc>
          <w:tcPr>
            <w:tcW w:w="850" w:type="dxa"/>
            <w:tcBorders>
              <w:top w:val="single" w:sz="4" w:space="0" w:color="auto"/>
              <w:left w:val="nil"/>
              <w:bottom w:val="nil"/>
              <w:right w:val="nil"/>
            </w:tcBorders>
            <w:shd w:val="clear" w:color="auto" w:fill="auto"/>
            <w:noWrap/>
            <w:vAlign w:val="bottom"/>
            <w:hideMark/>
          </w:tcPr>
          <w:p w14:paraId="0D83CC6E"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&lt;0.001</w:t>
            </w:r>
          </w:p>
        </w:tc>
        <w:tc>
          <w:tcPr>
            <w:tcW w:w="1276" w:type="dxa"/>
            <w:tcBorders>
              <w:top w:val="single" w:sz="4" w:space="0" w:color="auto"/>
              <w:left w:val="nil"/>
              <w:bottom w:val="nil"/>
              <w:right w:val="nil"/>
            </w:tcBorders>
            <w:shd w:val="clear" w:color="auto" w:fill="auto"/>
            <w:noWrap/>
            <w:vAlign w:val="bottom"/>
            <w:hideMark/>
          </w:tcPr>
          <w:p w14:paraId="14465568"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13.002</w:t>
            </w:r>
          </w:p>
        </w:tc>
        <w:tc>
          <w:tcPr>
            <w:tcW w:w="894" w:type="dxa"/>
            <w:tcBorders>
              <w:top w:val="single" w:sz="4" w:space="0" w:color="auto"/>
              <w:left w:val="nil"/>
              <w:bottom w:val="nil"/>
              <w:right w:val="nil"/>
            </w:tcBorders>
            <w:shd w:val="clear" w:color="auto" w:fill="auto"/>
            <w:noWrap/>
            <w:vAlign w:val="bottom"/>
            <w:hideMark/>
          </w:tcPr>
          <w:p w14:paraId="69472828"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&lt;0.001</w:t>
            </w:r>
          </w:p>
        </w:tc>
        <w:tc>
          <w:tcPr>
            <w:tcW w:w="1275" w:type="dxa"/>
            <w:tcBorders>
              <w:top w:val="single" w:sz="4" w:space="0" w:color="auto"/>
              <w:left w:val="nil"/>
              <w:bottom w:val="nil"/>
              <w:right w:val="nil"/>
            </w:tcBorders>
            <w:shd w:val="clear" w:color="auto" w:fill="auto"/>
            <w:noWrap/>
            <w:vAlign w:val="bottom"/>
            <w:hideMark/>
          </w:tcPr>
          <w:p w14:paraId="69DC7B44"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110.502</w:t>
            </w:r>
          </w:p>
        </w:tc>
        <w:tc>
          <w:tcPr>
            <w:tcW w:w="851" w:type="dxa"/>
            <w:tcBorders>
              <w:top w:val="single" w:sz="4" w:space="0" w:color="auto"/>
              <w:left w:val="nil"/>
              <w:bottom w:val="nil"/>
              <w:right w:val="nil"/>
            </w:tcBorders>
            <w:shd w:val="clear" w:color="auto" w:fill="auto"/>
            <w:noWrap/>
            <w:vAlign w:val="bottom"/>
            <w:hideMark/>
          </w:tcPr>
          <w:p w14:paraId="4A71DFC1"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&lt;0.001</w:t>
            </w:r>
          </w:p>
        </w:tc>
        <w:tc>
          <w:tcPr>
            <w:tcW w:w="1276" w:type="dxa"/>
            <w:tcBorders>
              <w:top w:val="single" w:sz="4" w:space="0" w:color="auto"/>
              <w:left w:val="nil"/>
              <w:bottom w:val="nil"/>
              <w:right w:val="nil"/>
            </w:tcBorders>
            <w:shd w:val="clear" w:color="auto" w:fill="auto"/>
            <w:noWrap/>
            <w:vAlign w:val="bottom"/>
            <w:hideMark/>
          </w:tcPr>
          <w:p w14:paraId="0DA1D937"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2.479</w:t>
            </w:r>
          </w:p>
        </w:tc>
        <w:tc>
          <w:tcPr>
            <w:tcW w:w="941" w:type="dxa"/>
            <w:tcBorders>
              <w:top w:val="single" w:sz="4" w:space="0" w:color="auto"/>
              <w:left w:val="nil"/>
              <w:bottom w:val="nil"/>
              <w:right w:val="nil"/>
            </w:tcBorders>
            <w:shd w:val="clear" w:color="auto" w:fill="auto"/>
            <w:noWrap/>
            <w:vAlign w:val="bottom"/>
            <w:hideMark/>
          </w:tcPr>
          <w:p w14:paraId="1516CE40"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&lt;0.05</w:t>
            </w:r>
          </w:p>
        </w:tc>
      </w:tr>
      <w:tr w:rsidR="001E266D" w:rsidRPr="00A70F21" w14:paraId="22AFB1B6" w14:textId="77777777" w:rsidTr="007173E7">
        <w:trPr>
          <w:trHeight w:val="231"/>
        </w:trPr>
        <w:tc>
          <w:tcPr>
            <w:tcW w:w="1559" w:type="dxa"/>
            <w:tcBorders>
              <w:top w:val="nil"/>
              <w:left w:val="nil"/>
              <w:bottom w:val="nil"/>
              <w:right w:val="nil"/>
            </w:tcBorders>
            <w:shd w:val="clear" w:color="auto" w:fill="auto"/>
            <w:noWrap/>
            <w:vAlign w:val="bottom"/>
            <w:hideMark/>
          </w:tcPr>
          <w:p w14:paraId="5C20C45D" w14:textId="77777777" w:rsidR="001E266D" w:rsidRPr="00A70F21" w:rsidRDefault="001E266D" w:rsidP="007173E7">
            <w:pPr>
              <w:spacing w:after="0" w:line="240" w:lineRule="auto"/>
              <w:rPr>
                <w:rFonts w:eastAsia="Times New Roman" w:cstheme="minorHAnsi"/>
                <w:color w:val="000000"/>
                <w:lang w:val="en-US" w:eastAsia="de-CH"/>
              </w:rPr>
            </w:pPr>
            <w:r w:rsidRPr="00A70F21">
              <w:rPr>
                <w:rFonts w:eastAsia="Times New Roman" w:cstheme="minorHAnsi"/>
                <w:color w:val="000000"/>
                <w:lang w:val="en-US" w:eastAsia="de-CH"/>
              </w:rPr>
              <w:t>Arbuscule</w:t>
            </w:r>
          </w:p>
        </w:tc>
        <w:tc>
          <w:tcPr>
            <w:tcW w:w="1276" w:type="dxa"/>
            <w:tcBorders>
              <w:top w:val="nil"/>
              <w:left w:val="nil"/>
              <w:bottom w:val="nil"/>
              <w:right w:val="nil"/>
            </w:tcBorders>
            <w:shd w:val="clear" w:color="auto" w:fill="auto"/>
            <w:noWrap/>
            <w:vAlign w:val="bottom"/>
            <w:hideMark/>
          </w:tcPr>
          <w:p w14:paraId="701A18F8"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18.864</w:t>
            </w:r>
          </w:p>
        </w:tc>
        <w:tc>
          <w:tcPr>
            <w:tcW w:w="850" w:type="dxa"/>
            <w:tcBorders>
              <w:top w:val="nil"/>
              <w:left w:val="nil"/>
              <w:bottom w:val="nil"/>
              <w:right w:val="nil"/>
            </w:tcBorders>
            <w:shd w:val="clear" w:color="auto" w:fill="auto"/>
            <w:noWrap/>
            <w:vAlign w:val="bottom"/>
            <w:hideMark/>
          </w:tcPr>
          <w:p w14:paraId="343CE598"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&lt;0.001</w:t>
            </w:r>
          </w:p>
        </w:tc>
        <w:tc>
          <w:tcPr>
            <w:tcW w:w="1276" w:type="dxa"/>
            <w:tcBorders>
              <w:top w:val="nil"/>
              <w:left w:val="nil"/>
              <w:bottom w:val="nil"/>
              <w:right w:val="nil"/>
            </w:tcBorders>
            <w:shd w:val="clear" w:color="auto" w:fill="auto"/>
            <w:noWrap/>
            <w:vAlign w:val="bottom"/>
            <w:hideMark/>
          </w:tcPr>
          <w:p w14:paraId="1F40C9AB"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32.499</w:t>
            </w:r>
          </w:p>
        </w:tc>
        <w:tc>
          <w:tcPr>
            <w:tcW w:w="894" w:type="dxa"/>
            <w:tcBorders>
              <w:top w:val="nil"/>
              <w:left w:val="nil"/>
              <w:bottom w:val="nil"/>
              <w:right w:val="nil"/>
            </w:tcBorders>
            <w:shd w:val="clear" w:color="auto" w:fill="auto"/>
            <w:noWrap/>
            <w:vAlign w:val="bottom"/>
            <w:hideMark/>
          </w:tcPr>
          <w:p w14:paraId="1385699C"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&lt;0.001</w:t>
            </w:r>
          </w:p>
        </w:tc>
        <w:tc>
          <w:tcPr>
            <w:tcW w:w="1275" w:type="dxa"/>
            <w:tcBorders>
              <w:top w:val="nil"/>
              <w:left w:val="nil"/>
              <w:bottom w:val="nil"/>
              <w:right w:val="nil"/>
            </w:tcBorders>
            <w:shd w:val="clear" w:color="auto" w:fill="auto"/>
            <w:noWrap/>
            <w:vAlign w:val="bottom"/>
            <w:hideMark/>
          </w:tcPr>
          <w:p w14:paraId="003139E7"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47.768</w:t>
            </w:r>
          </w:p>
        </w:tc>
        <w:tc>
          <w:tcPr>
            <w:tcW w:w="851" w:type="dxa"/>
            <w:tcBorders>
              <w:top w:val="nil"/>
              <w:left w:val="nil"/>
              <w:bottom w:val="nil"/>
              <w:right w:val="nil"/>
            </w:tcBorders>
            <w:shd w:val="clear" w:color="auto" w:fill="auto"/>
            <w:noWrap/>
            <w:vAlign w:val="bottom"/>
            <w:hideMark/>
          </w:tcPr>
          <w:p w14:paraId="7B86F72E"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&lt;0.001</w:t>
            </w:r>
          </w:p>
        </w:tc>
        <w:tc>
          <w:tcPr>
            <w:tcW w:w="1276" w:type="dxa"/>
            <w:tcBorders>
              <w:top w:val="nil"/>
              <w:left w:val="nil"/>
              <w:bottom w:val="nil"/>
              <w:right w:val="nil"/>
            </w:tcBorders>
            <w:shd w:val="clear" w:color="auto" w:fill="auto"/>
            <w:noWrap/>
            <w:vAlign w:val="bottom"/>
            <w:hideMark/>
          </w:tcPr>
          <w:p w14:paraId="03C59C9F"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12.734</w:t>
            </w:r>
          </w:p>
        </w:tc>
        <w:tc>
          <w:tcPr>
            <w:tcW w:w="941" w:type="dxa"/>
            <w:tcBorders>
              <w:top w:val="nil"/>
              <w:left w:val="nil"/>
              <w:bottom w:val="nil"/>
              <w:right w:val="nil"/>
            </w:tcBorders>
            <w:shd w:val="clear" w:color="auto" w:fill="auto"/>
            <w:noWrap/>
            <w:vAlign w:val="bottom"/>
            <w:hideMark/>
          </w:tcPr>
          <w:p w14:paraId="4F1639AE"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&lt;0.001</w:t>
            </w:r>
          </w:p>
        </w:tc>
      </w:tr>
      <w:tr w:rsidR="001E266D" w:rsidRPr="00A70F21" w14:paraId="0AA8800B" w14:textId="77777777" w:rsidTr="007173E7">
        <w:trPr>
          <w:trHeight w:val="231"/>
        </w:trPr>
        <w:tc>
          <w:tcPr>
            <w:tcW w:w="1559" w:type="dxa"/>
            <w:tcBorders>
              <w:top w:val="nil"/>
              <w:left w:val="nil"/>
              <w:bottom w:val="double" w:sz="4" w:space="0" w:color="auto"/>
              <w:right w:val="nil"/>
            </w:tcBorders>
            <w:shd w:val="clear" w:color="auto" w:fill="auto"/>
            <w:noWrap/>
            <w:vAlign w:val="bottom"/>
            <w:hideMark/>
          </w:tcPr>
          <w:p w14:paraId="4941635D" w14:textId="77777777" w:rsidR="001E266D" w:rsidRPr="00A70F21" w:rsidRDefault="001E266D" w:rsidP="007173E7">
            <w:pPr>
              <w:spacing w:after="0" w:line="240" w:lineRule="auto"/>
              <w:rPr>
                <w:rFonts w:eastAsia="Times New Roman" w:cstheme="minorHAnsi"/>
                <w:color w:val="000000"/>
                <w:lang w:val="en-US" w:eastAsia="de-CH"/>
              </w:rPr>
            </w:pPr>
            <w:r w:rsidRPr="00A70F21">
              <w:rPr>
                <w:rFonts w:eastAsia="Times New Roman" w:cstheme="minorHAnsi"/>
                <w:color w:val="000000"/>
                <w:lang w:val="en-US" w:eastAsia="de-CH"/>
              </w:rPr>
              <w:t>Vesicle</w:t>
            </w:r>
          </w:p>
        </w:tc>
        <w:tc>
          <w:tcPr>
            <w:tcW w:w="1276" w:type="dxa"/>
            <w:tcBorders>
              <w:top w:val="nil"/>
              <w:left w:val="nil"/>
              <w:bottom w:val="double" w:sz="4" w:space="0" w:color="auto"/>
              <w:right w:val="nil"/>
            </w:tcBorders>
            <w:shd w:val="clear" w:color="auto" w:fill="auto"/>
            <w:noWrap/>
            <w:vAlign w:val="bottom"/>
            <w:hideMark/>
          </w:tcPr>
          <w:p w14:paraId="6C8DD53A"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38.254</w:t>
            </w:r>
          </w:p>
        </w:tc>
        <w:tc>
          <w:tcPr>
            <w:tcW w:w="850" w:type="dxa"/>
            <w:tcBorders>
              <w:top w:val="nil"/>
              <w:left w:val="nil"/>
              <w:bottom w:val="double" w:sz="4" w:space="0" w:color="auto"/>
              <w:right w:val="nil"/>
            </w:tcBorders>
            <w:shd w:val="clear" w:color="auto" w:fill="auto"/>
            <w:noWrap/>
            <w:vAlign w:val="bottom"/>
            <w:hideMark/>
          </w:tcPr>
          <w:p w14:paraId="183A083C"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&lt;0.001</w:t>
            </w:r>
          </w:p>
        </w:tc>
        <w:tc>
          <w:tcPr>
            <w:tcW w:w="1276" w:type="dxa"/>
            <w:tcBorders>
              <w:top w:val="nil"/>
              <w:left w:val="nil"/>
              <w:bottom w:val="double" w:sz="4" w:space="0" w:color="auto"/>
              <w:right w:val="nil"/>
            </w:tcBorders>
            <w:shd w:val="clear" w:color="auto" w:fill="auto"/>
            <w:noWrap/>
            <w:vAlign w:val="bottom"/>
            <w:hideMark/>
          </w:tcPr>
          <w:p w14:paraId="055AAA83"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13.488</w:t>
            </w:r>
          </w:p>
        </w:tc>
        <w:tc>
          <w:tcPr>
            <w:tcW w:w="894" w:type="dxa"/>
            <w:tcBorders>
              <w:top w:val="nil"/>
              <w:left w:val="nil"/>
              <w:bottom w:val="double" w:sz="4" w:space="0" w:color="auto"/>
              <w:right w:val="nil"/>
            </w:tcBorders>
            <w:shd w:val="clear" w:color="auto" w:fill="auto"/>
            <w:noWrap/>
            <w:vAlign w:val="bottom"/>
            <w:hideMark/>
          </w:tcPr>
          <w:p w14:paraId="024C065C"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&lt;0.001</w:t>
            </w:r>
          </w:p>
        </w:tc>
        <w:tc>
          <w:tcPr>
            <w:tcW w:w="1275" w:type="dxa"/>
            <w:tcBorders>
              <w:top w:val="nil"/>
              <w:left w:val="nil"/>
              <w:bottom w:val="double" w:sz="4" w:space="0" w:color="auto"/>
              <w:right w:val="nil"/>
            </w:tcBorders>
            <w:shd w:val="clear" w:color="auto" w:fill="auto"/>
            <w:noWrap/>
            <w:vAlign w:val="bottom"/>
            <w:hideMark/>
          </w:tcPr>
          <w:p w14:paraId="399CB5B0"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11.127</w:t>
            </w:r>
          </w:p>
        </w:tc>
        <w:tc>
          <w:tcPr>
            <w:tcW w:w="851" w:type="dxa"/>
            <w:tcBorders>
              <w:top w:val="nil"/>
              <w:left w:val="nil"/>
              <w:bottom w:val="double" w:sz="4" w:space="0" w:color="auto"/>
              <w:right w:val="nil"/>
            </w:tcBorders>
            <w:shd w:val="clear" w:color="auto" w:fill="auto"/>
            <w:noWrap/>
            <w:vAlign w:val="bottom"/>
            <w:hideMark/>
          </w:tcPr>
          <w:p w14:paraId="4BF2F89B"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&lt;0.001</w:t>
            </w:r>
          </w:p>
        </w:tc>
        <w:tc>
          <w:tcPr>
            <w:tcW w:w="1276" w:type="dxa"/>
            <w:tcBorders>
              <w:top w:val="nil"/>
              <w:left w:val="nil"/>
              <w:bottom w:val="double" w:sz="4" w:space="0" w:color="auto"/>
              <w:right w:val="nil"/>
            </w:tcBorders>
            <w:shd w:val="clear" w:color="auto" w:fill="auto"/>
            <w:noWrap/>
            <w:vAlign w:val="bottom"/>
            <w:hideMark/>
          </w:tcPr>
          <w:p w14:paraId="433830B8"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1.494</w:t>
            </w:r>
          </w:p>
        </w:tc>
        <w:tc>
          <w:tcPr>
            <w:tcW w:w="941" w:type="dxa"/>
            <w:tcBorders>
              <w:top w:val="nil"/>
              <w:left w:val="nil"/>
              <w:bottom w:val="double" w:sz="4" w:space="0" w:color="auto"/>
              <w:right w:val="nil"/>
            </w:tcBorders>
            <w:shd w:val="clear" w:color="auto" w:fill="auto"/>
            <w:noWrap/>
            <w:vAlign w:val="bottom"/>
            <w:hideMark/>
          </w:tcPr>
          <w:p w14:paraId="5DB1D796" w14:textId="77777777" w:rsidR="001E266D" w:rsidRPr="00A70F21" w:rsidRDefault="001E266D" w:rsidP="007173E7">
            <w:pPr>
              <w:spacing w:after="0" w:line="240" w:lineRule="auto"/>
              <w:jc w:val="center"/>
              <w:rPr>
                <w:rFonts w:eastAsia="Times New Roman" w:cstheme="minorHAnsi"/>
                <w:color w:val="000000"/>
                <w:lang w:val="en-US" w:eastAsia="de-CH"/>
              </w:rPr>
            </w:pPr>
            <w:r w:rsidRPr="00A70F21">
              <w:rPr>
                <w:rFonts w:eastAsia="Times New Roman" w:cstheme="minorHAnsi"/>
                <w:color w:val="000000"/>
                <w:lang w:val="en-US" w:eastAsia="de-CH"/>
              </w:rPr>
              <w:t>0.197</w:t>
            </w:r>
          </w:p>
        </w:tc>
      </w:tr>
    </w:tbl>
    <w:p w14:paraId="7D44E4B5" w14:textId="77777777" w:rsidR="001E266D" w:rsidRDefault="001E266D" w:rsidP="001E266D">
      <w:pPr>
        <w:jc w:val="both"/>
        <w:rPr>
          <w:b/>
          <w:bCs/>
          <w:lang w:val="en-US"/>
        </w:rPr>
      </w:pPr>
    </w:p>
    <w:p w14:paraId="47F4937F" w14:textId="6C912F41" w:rsidR="00DA4C4D" w:rsidRPr="00E02082" w:rsidRDefault="00DA4C4D" w:rsidP="00E02082">
      <w:pPr>
        <w:rPr>
          <w:b/>
          <w:bCs/>
          <w:lang w:val="en-US"/>
        </w:rPr>
      </w:pPr>
    </w:p>
    <w:sectPr w:rsidR="00DA4C4D" w:rsidRPr="00E02082" w:rsidSect="004508D1">
      <w:footerReference w:type="even"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CD4DD" w14:textId="77777777" w:rsidR="00F90FF8" w:rsidRDefault="00F90FF8" w:rsidP="00C76093">
      <w:r>
        <w:separator/>
      </w:r>
    </w:p>
  </w:endnote>
  <w:endnote w:type="continuationSeparator" w:id="0">
    <w:p w14:paraId="6FCEBB75" w14:textId="77777777" w:rsidR="00F90FF8" w:rsidRDefault="00F90FF8" w:rsidP="00C7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4582081"/>
      <w:docPartObj>
        <w:docPartGallery w:val="Page Numbers (Bottom of Page)"/>
        <w:docPartUnique/>
      </w:docPartObj>
    </w:sdtPr>
    <w:sdtContent>
      <w:p w14:paraId="73470100" w14:textId="05EC3806" w:rsidR="00EF38B8" w:rsidRDefault="00EF38B8" w:rsidP="001D31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8137D0" w14:textId="77777777" w:rsidR="00EF38B8" w:rsidRDefault="00EF38B8" w:rsidP="00C760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0738172"/>
      <w:docPartObj>
        <w:docPartGallery w:val="Page Numbers (Bottom of Page)"/>
        <w:docPartUnique/>
      </w:docPartObj>
    </w:sdtPr>
    <w:sdtContent>
      <w:p w14:paraId="1DE19AFA" w14:textId="60C283AF" w:rsidR="00EF38B8" w:rsidRDefault="00EF38B8" w:rsidP="001D31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E39E4">
          <w:rPr>
            <w:rStyle w:val="PageNumber"/>
            <w:noProof/>
          </w:rPr>
          <w:t>8</w:t>
        </w:r>
        <w:r>
          <w:rPr>
            <w:rStyle w:val="PageNumber"/>
          </w:rPr>
          <w:fldChar w:fldCharType="end"/>
        </w:r>
      </w:p>
    </w:sdtContent>
  </w:sdt>
  <w:p w14:paraId="5FCB8607" w14:textId="77777777" w:rsidR="00EF38B8" w:rsidRDefault="00EF38B8" w:rsidP="00C760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6DC58" w14:textId="77777777" w:rsidR="00F90FF8" w:rsidRDefault="00F90FF8" w:rsidP="00C76093">
      <w:r>
        <w:separator/>
      </w:r>
    </w:p>
  </w:footnote>
  <w:footnote w:type="continuationSeparator" w:id="0">
    <w:p w14:paraId="1EFC0997" w14:textId="77777777" w:rsidR="00F90FF8" w:rsidRDefault="00F90FF8" w:rsidP="00C76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753"/>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713155"/>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12291A"/>
    <w:multiLevelType w:val="hybridMultilevel"/>
    <w:tmpl w:val="0D12AB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C431569"/>
    <w:multiLevelType w:val="hybridMultilevel"/>
    <w:tmpl w:val="3EEA025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681D7930"/>
    <w:multiLevelType w:val="multilevel"/>
    <w:tmpl w:val="12B883BC"/>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9272088">
    <w:abstractNumId w:val="4"/>
  </w:num>
  <w:num w:numId="2" w16cid:durableId="243535497">
    <w:abstractNumId w:val="0"/>
  </w:num>
  <w:num w:numId="3" w16cid:durableId="1823161789">
    <w:abstractNumId w:val="1"/>
  </w:num>
  <w:num w:numId="4" w16cid:durableId="531772268">
    <w:abstractNumId w:val="3"/>
  </w:num>
  <w:num w:numId="5" w16cid:durableId="724108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activeWritingStyle w:appName="MSWord" w:lang="it-IT" w:vendorID="64" w:dllVersion="6" w:nlCheck="1" w:checkStyle="0"/>
  <w:activeWritingStyle w:appName="MSWord" w:lang="en-GB" w:vendorID="64" w:dllVersion="6" w:nlCheck="1" w:checkStyle="1"/>
  <w:activeWritingStyle w:appName="MSWord" w:lang="de-CH" w:vendorID="64" w:dllVersion="6" w:nlCheck="1" w:checkStyle="1"/>
  <w:activeWritingStyle w:appName="MSWord" w:lang="en-GB" w:vendorID="64" w:dllVersion="0" w:nlCheck="1" w:checkStyle="0"/>
  <w:activeWritingStyle w:appName="MSWord" w:lang="de-CH"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US" w:vendorID="64" w:dllVersion="6"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71C"/>
    <w:rsid w:val="00005131"/>
    <w:rsid w:val="00015EEF"/>
    <w:rsid w:val="00022C84"/>
    <w:rsid w:val="00023F5A"/>
    <w:rsid w:val="00024026"/>
    <w:rsid w:val="00033110"/>
    <w:rsid w:val="00034679"/>
    <w:rsid w:val="0004199D"/>
    <w:rsid w:val="000448D5"/>
    <w:rsid w:val="000772DF"/>
    <w:rsid w:val="00086611"/>
    <w:rsid w:val="000967B3"/>
    <w:rsid w:val="000A5502"/>
    <w:rsid w:val="000A6E81"/>
    <w:rsid w:val="000C0BF9"/>
    <w:rsid w:val="000C0F42"/>
    <w:rsid w:val="000C3240"/>
    <w:rsid w:val="000C4EBD"/>
    <w:rsid w:val="000E609B"/>
    <w:rsid w:val="0010489F"/>
    <w:rsid w:val="00105DBF"/>
    <w:rsid w:val="00106B25"/>
    <w:rsid w:val="0011409A"/>
    <w:rsid w:val="00127F3B"/>
    <w:rsid w:val="00130089"/>
    <w:rsid w:val="00151518"/>
    <w:rsid w:val="001634A1"/>
    <w:rsid w:val="001664BD"/>
    <w:rsid w:val="00171977"/>
    <w:rsid w:val="00177905"/>
    <w:rsid w:val="001853AD"/>
    <w:rsid w:val="00186BC3"/>
    <w:rsid w:val="001C5372"/>
    <w:rsid w:val="001D3117"/>
    <w:rsid w:val="001E0ED5"/>
    <w:rsid w:val="001E2608"/>
    <w:rsid w:val="001E266D"/>
    <w:rsid w:val="001F2023"/>
    <w:rsid w:val="001F44DD"/>
    <w:rsid w:val="001F7420"/>
    <w:rsid w:val="00200F1D"/>
    <w:rsid w:val="00204D18"/>
    <w:rsid w:val="00210DF0"/>
    <w:rsid w:val="00217C36"/>
    <w:rsid w:val="002341B8"/>
    <w:rsid w:val="00234865"/>
    <w:rsid w:val="00240D4D"/>
    <w:rsid w:val="0027347F"/>
    <w:rsid w:val="00280BB5"/>
    <w:rsid w:val="0028616D"/>
    <w:rsid w:val="00291D6A"/>
    <w:rsid w:val="00292721"/>
    <w:rsid w:val="002A542D"/>
    <w:rsid w:val="002A7C9C"/>
    <w:rsid w:val="002B7F9F"/>
    <w:rsid w:val="002C663C"/>
    <w:rsid w:val="002D6437"/>
    <w:rsid w:val="002E1A22"/>
    <w:rsid w:val="002E3E68"/>
    <w:rsid w:val="002F061A"/>
    <w:rsid w:val="00303CA0"/>
    <w:rsid w:val="003140A9"/>
    <w:rsid w:val="00314A78"/>
    <w:rsid w:val="00321E2A"/>
    <w:rsid w:val="00342BA1"/>
    <w:rsid w:val="00351DCC"/>
    <w:rsid w:val="003615EB"/>
    <w:rsid w:val="003631EC"/>
    <w:rsid w:val="00370667"/>
    <w:rsid w:val="0037252E"/>
    <w:rsid w:val="0037559E"/>
    <w:rsid w:val="003901ED"/>
    <w:rsid w:val="00390D9F"/>
    <w:rsid w:val="003A09BE"/>
    <w:rsid w:val="003A60C4"/>
    <w:rsid w:val="003A70D3"/>
    <w:rsid w:val="003C0874"/>
    <w:rsid w:val="003C0D32"/>
    <w:rsid w:val="003C4CA8"/>
    <w:rsid w:val="003D2233"/>
    <w:rsid w:val="003E5865"/>
    <w:rsid w:val="003F4D62"/>
    <w:rsid w:val="003F51B0"/>
    <w:rsid w:val="00401861"/>
    <w:rsid w:val="004033E6"/>
    <w:rsid w:val="00437CFD"/>
    <w:rsid w:val="00447536"/>
    <w:rsid w:val="004476A3"/>
    <w:rsid w:val="004508D1"/>
    <w:rsid w:val="00453DBD"/>
    <w:rsid w:val="004555D5"/>
    <w:rsid w:val="00460C85"/>
    <w:rsid w:val="004643B3"/>
    <w:rsid w:val="00464B20"/>
    <w:rsid w:val="00467FB7"/>
    <w:rsid w:val="00481A7F"/>
    <w:rsid w:val="00482F3D"/>
    <w:rsid w:val="004836D4"/>
    <w:rsid w:val="00486AA0"/>
    <w:rsid w:val="004B20AD"/>
    <w:rsid w:val="004B35DC"/>
    <w:rsid w:val="004B4412"/>
    <w:rsid w:val="004D1198"/>
    <w:rsid w:val="004F0183"/>
    <w:rsid w:val="00500413"/>
    <w:rsid w:val="005022A2"/>
    <w:rsid w:val="00502D5E"/>
    <w:rsid w:val="00507198"/>
    <w:rsid w:val="00532206"/>
    <w:rsid w:val="005324DF"/>
    <w:rsid w:val="00532759"/>
    <w:rsid w:val="00551ADC"/>
    <w:rsid w:val="0056268F"/>
    <w:rsid w:val="0057308E"/>
    <w:rsid w:val="005846B2"/>
    <w:rsid w:val="00594CC2"/>
    <w:rsid w:val="005A3673"/>
    <w:rsid w:val="005B006C"/>
    <w:rsid w:val="005B0901"/>
    <w:rsid w:val="005B30C0"/>
    <w:rsid w:val="005B4893"/>
    <w:rsid w:val="005D2B8B"/>
    <w:rsid w:val="005F12D1"/>
    <w:rsid w:val="005F171A"/>
    <w:rsid w:val="005F17FF"/>
    <w:rsid w:val="005F36D1"/>
    <w:rsid w:val="00600F87"/>
    <w:rsid w:val="00607B09"/>
    <w:rsid w:val="00616443"/>
    <w:rsid w:val="00622D95"/>
    <w:rsid w:val="00623845"/>
    <w:rsid w:val="006268E9"/>
    <w:rsid w:val="00627680"/>
    <w:rsid w:val="006402D4"/>
    <w:rsid w:val="00647E79"/>
    <w:rsid w:val="00652681"/>
    <w:rsid w:val="00652C69"/>
    <w:rsid w:val="00655FC0"/>
    <w:rsid w:val="00656A9F"/>
    <w:rsid w:val="00666CA9"/>
    <w:rsid w:val="00670F64"/>
    <w:rsid w:val="00672920"/>
    <w:rsid w:val="006742A0"/>
    <w:rsid w:val="00676481"/>
    <w:rsid w:val="00677C9D"/>
    <w:rsid w:val="00680728"/>
    <w:rsid w:val="00683009"/>
    <w:rsid w:val="00683A93"/>
    <w:rsid w:val="006853AE"/>
    <w:rsid w:val="00687BD5"/>
    <w:rsid w:val="00687CEA"/>
    <w:rsid w:val="006905F3"/>
    <w:rsid w:val="006A3FA9"/>
    <w:rsid w:val="006A5070"/>
    <w:rsid w:val="006B02AD"/>
    <w:rsid w:val="006B0365"/>
    <w:rsid w:val="006B24F9"/>
    <w:rsid w:val="006B3066"/>
    <w:rsid w:val="006C3D30"/>
    <w:rsid w:val="006C3EB7"/>
    <w:rsid w:val="006D0BCD"/>
    <w:rsid w:val="006D2EE4"/>
    <w:rsid w:val="0070761B"/>
    <w:rsid w:val="007079DA"/>
    <w:rsid w:val="0072371C"/>
    <w:rsid w:val="00730D04"/>
    <w:rsid w:val="00733B13"/>
    <w:rsid w:val="00737927"/>
    <w:rsid w:val="007436E4"/>
    <w:rsid w:val="0074726E"/>
    <w:rsid w:val="00755512"/>
    <w:rsid w:val="00757FA8"/>
    <w:rsid w:val="00772CF9"/>
    <w:rsid w:val="007762BE"/>
    <w:rsid w:val="00777EF5"/>
    <w:rsid w:val="0079246A"/>
    <w:rsid w:val="007942AD"/>
    <w:rsid w:val="007950AE"/>
    <w:rsid w:val="00795982"/>
    <w:rsid w:val="007A1945"/>
    <w:rsid w:val="007A3AE0"/>
    <w:rsid w:val="007B07BF"/>
    <w:rsid w:val="007C19C2"/>
    <w:rsid w:val="007D6379"/>
    <w:rsid w:val="007E4009"/>
    <w:rsid w:val="007E736A"/>
    <w:rsid w:val="007F01B3"/>
    <w:rsid w:val="008041D1"/>
    <w:rsid w:val="00815EB5"/>
    <w:rsid w:val="0082385D"/>
    <w:rsid w:val="008275F1"/>
    <w:rsid w:val="008376D2"/>
    <w:rsid w:val="008402C2"/>
    <w:rsid w:val="008410B9"/>
    <w:rsid w:val="00856FE4"/>
    <w:rsid w:val="00871B54"/>
    <w:rsid w:val="0089552B"/>
    <w:rsid w:val="008A23BF"/>
    <w:rsid w:val="008B2C80"/>
    <w:rsid w:val="008D3881"/>
    <w:rsid w:val="008F2D30"/>
    <w:rsid w:val="008F4A9C"/>
    <w:rsid w:val="008F6C8C"/>
    <w:rsid w:val="00905758"/>
    <w:rsid w:val="00905E1E"/>
    <w:rsid w:val="0090721D"/>
    <w:rsid w:val="0092283B"/>
    <w:rsid w:val="009246A4"/>
    <w:rsid w:val="00926409"/>
    <w:rsid w:val="00930351"/>
    <w:rsid w:val="009368D7"/>
    <w:rsid w:val="00942369"/>
    <w:rsid w:val="00953C57"/>
    <w:rsid w:val="00966E76"/>
    <w:rsid w:val="00967CE8"/>
    <w:rsid w:val="00992678"/>
    <w:rsid w:val="009A2B6E"/>
    <w:rsid w:val="009B16FF"/>
    <w:rsid w:val="009B42B6"/>
    <w:rsid w:val="009D0A73"/>
    <w:rsid w:val="009E0DF1"/>
    <w:rsid w:val="009F1167"/>
    <w:rsid w:val="00A000D2"/>
    <w:rsid w:val="00A01BCA"/>
    <w:rsid w:val="00A12D1E"/>
    <w:rsid w:val="00A23C5F"/>
    <w:rsid w:val="00A46B6C"/>
    <w:rsid w:val="00A50F5A"/>
    <w:rsid w:val="00A50FB0"/>
    <w:rsid w:val="00A541B1"/>
    <w:rsid w:val="00A56367"/>
    <w:rsid w:val="00A60AAA"/>
    <w:rsid w:val="00A62D26"/>
    <w:rsid w:val="00A70F21"/>
    <w:rsid w:val="00A7787F"/>
    <w:rsid w:val="00A807C0"/>
    <w:rsid w:val="00A87F2F"/>
    <w:rsid w:val="00AA0AC3"/>
    <w:rsid w:val="00AA6CD8"/>
    <w:rsid w:val="00AB35AD"/>
    <w:rsid w:val="00AC1002"/>
    <w:rsid w:val="00AD6D28"/>
    <w:rsid w:val="00AE4100"/>
    <w:rsid w:val="00AF1FEF"/>
    <w:rsid w:val="00AF23A0"/>
    <w:rsid w:val="00AF4B70"/>
    <w:rsid w:val="00AF4BF8"/>
    <w:rsid w:val="00B10470"/>
    <w:rsid w:val="00B16E42"/>
    <w:rsid w:val="00B21D18"/>
    <w:rsid w:val="00B21E90"/>
    <w:rsid w:val="00B4043B"/>
    <w:rsid w:val="00B422BB"/>
    <w:rsid w:val="00B455F8"/>
    <w:rsid w:val="00B45C1D"/>
    <w:rsid w:val="00B479A6"/>
    <w:rsid w:val="00B53730"/>
    <w:rsid w:val="00B56607"/>
    <w:rsid w:val="00B65951"/>
    <w:rsid w:val="00B81440"/>
    <w:rsid w:val="00B8195C"/>
    <w:rsid w:val="00B8224A"/>
    <w:rsid w:val="00B83F23"/>
    <w:rsid w:val="00B841BA"/>
    <w:rsid w:val="00B93946"/>
    <w:rsid w:val="00B97DAB"/>
    <w:rsid w:val="00BA3D3B"/>
    <w:rsid w:val="00BA475F"/>
    <w:rsid w:val="00BC032E"/>
    <w:rsid w:val="00BC06F6"/>
    <w:rsid w:val="00BC1902"/>
    <w:rsid w:val="00BD7DF8"/>
    <w:rsid w:val="00BE1373"/>
    <w:rsid w:val="00BE39E4"/>
    <w:rsid w:val="00BF56F2"/>
    <w:rsid w:val="00C002FC"/>
    <w:rsid w:val="00C02ECE"/>
    <w:rsid w:val="00C356E4"/>
    <w:rsid w:val="00C41B5D"/>
    <w:rsid w:val="00C51119"/>
    <w:rsid w:val="00C72619"/>
    <w:rsid w:val="00C76093"/>
    <w:rsid w:val="00C90F4F"/>
    <w:rsid w:val="00CB2467"/>
    <w:rsid w:val="00CB357F"/>
    <w:rsid w:val="00CB71FC"/>
    <w:rsid w:val="00CC5F38"/>
    <w:rsid w:val="00CE0F6E"/>
    <w:rsid w:val="00CE457B"/>
    <w:rsid w:val="00CE77BB"/>
    <w:rsid w:val="00CF0AB6"/>
    <w:rsid w:val="00CF24FB"/>
    <w:rsid w:val="00D039B4"/>
    <w:rsid w:val="00D05CE0"/>
    <w:rsid w:val="00D06AB7"/>
    <w:rsid w:val="00D0711D"/>
    <w:rsid w:val="00D07CDE"/>
    <w:rsid w:val="00D1364C"/>
    <w:rsid w:val="00D25519"/>
    <w:rsid w:val="00D26C6F"/>
    <w:rsid w:val="00D30FE7"/>
    <w:rsid w:val="00D32E25"/>
    <w:rsid w:val="00D33538"/>
    <w:rsid w:val="00D36CE9"/>
    <w:rsid w:val="00D42B4B"/>
    <w:rsid w:val="00D51197"/>
    <w:rsid w:val="00D520FC"/>
    <w:rsid w:val="00D55889"/>
    <w:rsid w:val="00D5655A"/>
    <w:rsid w:val="00D57B13"/>
    <w:rsid w:val="00D607AD"/>
    <w:rsid w:val="00D7017C"/>
    <w:rsid w:val="00D727C4"/>
    <w:rsid w:val="00D73468"/>
    <w:rsid w:val="00D8566A"/>
    <w:rsid w:val="00D92AD0"/>
    <w:rsid w:val="00D95F6A"/>
    <w:rsid w:val="00DA4221"/>
    <w:rsid w:val="00DA4A37"/>
    <w:rsid w:val="00DA4C4D"/>
    <w:rsid w:val="00DA6A66"/>
    <w:rsid w:val="00DA78A9"/>
    <w:rsid w:val="00DB0A67"/>
    <w:rsid w:val="00DB24BD"/>
    <w:rsid w:val="00DB4A45"/>
    <w:rsid w:val="00DB77A7"/>
    <w:rsid w:val="00DD50A9"/>
    <w:rsid w:val="00DD5C04"/>
    <w:rsid w:val="00DD62EC"/>
    <w:rsid w:val="00DD7511"/>
    <w:rsid w:val="00DF4E36"/>
    <w:rsid w:val="00DF4EDC"/>
    <w:rsid w:val="00DF6B90"/>
    <w:rsid w:val="00DF7485"/>
    <w:rsid w:val="00DF7DD3"/>
    <w:rsid w:val="00E006B6"/>
    <w:rsid w:val="00E02082"/>
    <w:rsid w:val="00E04109"/>
    <w:rsid w:val="00E12A1B"/>
    <w:rsid w:val="00E141B4"/>
    <w:rsid w:val="00E1482D"/>
    <w:rsid w:val="00E363DE"/>
    <w:rsid w:val="00E44C8E"/>
    <w:rsid w:val="00E45006"/>
    <w:rsid w:val="00E461AB"/>
    <w:rsid w:val="00E54A9F"/>
    <w:rsid w:val="00E55E72"/>
    <w:rsid w:val="00E60755"/>
    <w:rsid w:val="00E61EF2"/>
    <w:rsid w:val="00E64BA0"/>
    <w:rsid w:val="00E72568"/>
    <w:rsid w:val="00E76775"/>
    <w:rsid w:val="00E84551"/>
    <w:rsid w:val="00E90327"/>
    <w:rsid w:val="00E96A2E"/>
    <w:rsid w:val="00EA4FA2"/>
    <w:rsid w:val="00EC1680"/>
    <w:rsid w:val="00EC18A5"/>
    <w:rsid w:val="00EC5D0F"/>
    <w:rsid w:val="00ED3AB5"/>
    <w:rsid w:val="00ED5040"/>
    <w:rsid w:val="00EE6D5D"/>
    <w:rsid w:val="00EF38B8"/>
    <w:rsid w:val="00F003EF"/>
    <w:rsid w:val="00F1379B"/>
    <w:rsid w:val="00F1487A"/>
    <w:rsid w:val="00F24519"/>
    <w:rsid w:val="00F37AE5"/>
    <w:rsid w:val="00F47B62"/>
    <w:rsid w:val="00F64E66"/>
    <w:rsid w:val="00F72E36"/>
    <w:rsid w:val="00F74B60"/>
    <w:rsid w:val="00F8575A"/>
    <w:rsid w:val="00F90FF8"/>
    <w:rsid w:val="00FB5A3A"/>
    <w:rsid w:val="00FB5E97"/>
    <w:rsid w:val="00FB6090"/>
    <w:rsid w:val="00FB6EF4"/>
    <w:rsid w:val="00FC21EE"/>
    <w:rsid w:val="00FC28F3"/>
    <w:rsid w:val="00FC5380"/>
    <w:rsid w:val="00FC6525"/>
    <w:rsid w:val="00FD2B72"/>
    <w:rsid w:val="00FE2A59"/>
    <w:rsid w:val="00FE2BFF"/>
    <w:rsid w:val="00FF3AB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5B670"/>
  <w15:chartTrackingRefBased/>
  <w15:docId w15:val="{1DB4D53A-DBB8-404F-A2F6-6E0B9EA1E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619"/>
    <w:pPr>
      <w:ind w:firstLine="0"/>
    </w:pPr>
  </w:style>
  <w:style w:type="paragraph" w:styleId="Heading1">
    <w:name w:val="heading 1"/>
    <w:basedOn w:val="Normal"/>
    <w:next w:val="Normal"/>
    <w:link w:val="Heading1Char"/>
    <w:uiPriority w:val="9"/>
    <w:qFormat/>
    <w:rsid w:val="00C51119"/>
    <w:pPr>
      <w:spacing w:before="600" w:after="0" w:line="360" w:lineRule="auto"/>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C51119"/>
    <w:pPr>
      <w:spacing w:before="320" w:after="0" w:line="36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C51119"/>
    <w:pPr>
      <w:spacing w:before="320" w:after="0" w:line="360" w:lineRule="auto"/>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C51119"/>
    <w:pPr>
      <w:spacing w:before="280" w:after="0" w:line="360" w:lineRule="auto"/>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C51119"/>
    <w:pPr>
      <w:spacing w:before="280" w:after="0" w:line="360" w:lineRule="auto"/>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C51119"/>
    <w:pPr>
      <w:spacing w:before="280" w:after="80" w:line="360" w:lineRule="auto"/>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C51119"/>
    <w:pPr>
      <w:spacing w:before="280" w:after="0" w:line="36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C51119"/>
    <w:pPr>
      <w:spacing w:before="280" w:after="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C51119"/>
    <w:pPr>
      <w:spacing w:before="280" w:after="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119"/>
    <w:rPr>
      <w:rFonts w:asciiTheme="majorHAnsi" w:eastAsiaTheme="majorEastAsia" w:hAnsiTheme="majorHAnsi" w:cstheme="majorBidi"/>
      <w:b/>
      <w:bCs/>
      <w:i/>
      <w:iCs/>
      <w:sz w:val="32"/>
      <w:szCs w:val="32"/>
    </w:rPr>
  </w:style>
  <w:style w:type="character" w:styleId="Hyperlink">
    <w:name w:val="Hyperlink"/>
    <w:basedOn w:val="DefaultParagraphFont"/>
    <w:uiPriority w:val="99"/>
    <w:unhideWhenUsed/>
    <w:rsid w:val="0072371C"/>
    <w:rPr>
      <w:color w:val="0563C1" w:themeColor="hyperlink"/>
      <w:u w:val="single"/>
    </w:rPr>
  </w:style>
  <w:style w:type="character" w:customStyle="1" w:styleId="Mencinsinresolver1">
    <w:name w:val="Mención sin resolver1"/>
    <w:basedOn w:val="DefaultParagraphFont"/>
    <w:uiPriority w:val="99"/>
    <w:semiHidden/>
    <w:unhideWhenUsed/>
    <w:rsid w:val="0072371C"/>
    <w:rPr>
      <w:color w:val="605E5C"/>
      <w:shd w:val="clear" w:color="auto" w:fill="E1DFDD"/>
    </w:rPr>
  </w:style>
  <w:style w:type="paragraph" w:styleId="Footer">
    <w:name w:val="footer"/>
    <w:basedOn w:val="Normal"/>
    <w:link w:val="FooterChar"/>
    <w:uiPriority w:val="99"/>
    <w:unhideWhenUsed/>
    <w:rsid w:val="00C76093"/>
    <w:pPr>
      <w:tabs>
        <w:tab w:val="center" w:pos="4513"/>
        <w:tab w:val="right" w:pos="9026"/>
      </w:tabs>
    </w:pPr>
  </w:style>
  <w:style w:type="character" w:customStyle="1" w:styleId="FooterChar">
    <w:name w:val="Footer Char"/>
    <w:basedOn w:val="DefaultParagraphFont"/>
    <w:link w:val="Footer"/>
    <w:uiPriority w:val="99"/>
    <w:rsid w:val="00C76093"/>
    <w:rPr>
      <w:lang w:val="en-US"/>
    </w:rPr>
  </w:style>
  <w:style w:type="character" w:styleId="PageNumber">
    <w:name w:val="page number"/>
    <w:basedOn w:val="DefaultParagraphFont"/>
    <w:uiPriority w:val="99"/>
    <w:semiHidden/>
    <w:unhideWhenUsed/>
    <w:rsid w:val="00C76093"/>
  </w:style>
  <w:style w:type="character" w:styleId="LineNumber">
    <w:name w:val="line number"/>
    <w:basedOn w:val="DefaultParagraphFont"/>
    <w:uiPriority w:val="99"/>
    <w:semiHidden/>
    <w:unhideWhenUsed/>
    <w:rsid w:val="00C76093"/>
  </w:style>
  <w:style w:type="character" w:styleId="CommentReference">
    <w:name w:val="annotation reference"/>
    <w:basedOn w:val="DefaultParagraphFont"/>
    <w:uiPriority w:val="99"/>
    <w:semiHidden/>
    <w:unhideWhenUsed/>
    <w:rsid w:val="00C76093"/>
    <w:rPr>
      <w:sz w:val="16"/>
      <w:szCs w:val="16"/>
    </w:rPr>
  </w:style>
  <w:style w:type="paragraph" w:styleId="ListParagraph">
    <w:name w:val="List Paragraph"/>
    <w:basedOn w:val="Normal"/>
    <w:uiPriority w:val="34"/>
    <w:qFormat/>
    <w:rsid w:val="00C51119"/>
    <w:pPr>
      <w:ind w:left="720"/>
      <w:contextualSpacing/>
    </w:pPr>
  </w:style>
  <w:style w:type="character" w:customStyle="1" w:styleId="Heading3Char">
    <w:name w:val="Heading 3 Char"/>
    <w:basedOn w:val="DefaultParagraphFont"/>
    <w:link w:val="Heading3"/>
    <w:uiPriority w:val="9"/>
    <w:rsid w:val="00C51119"/>
    <w:rPr>
      <w:rFonts w:asciiTheme="majorHAnsi" w:eastAsiaTheme="majorEastAsia" w:hAnsiTheme="majorHAnsi" w:cstheme="majorBidi"/>
      <w:b/>
      <w:bCs/>
      <w:i/>
      <w:iCs/>
      <w:sz w:val="26"/>
      <w:szCs w:val="26"/>
    </w:rPr>
  </w:style>
  <w:style w:type="paragraph" w:styleId="CommentText">
    <w:name w:val="annotation text"/>
    <w:basedOn w:val="Normal"/>
    <w:link w:val="CommentTextChar"/>
    <w:uiPriority w:val="99"/>
    <w:semiHidden/>
    <w:unhideWhenUsed/>
    <w:rsid w:val="00F1487A"/>
    <w:rPr>
      <w:sz w:val="20"/>
      <w:szCs w:val="20"/>
    </w:rPr>
  </w:style>
  <w:style w:type="character" w:customStyle="1" w:styleId="CommentTextChar">
    <w:name w:val="Comment Text Char"/>
    <w:basedOn w:val="DefaultParagraphFont"/>
    <w:link w:val="CommentText"/>
    <w:uiPriority w:val="99"/>
    <w:semiHidden/>
    <w:rsid w:val="00F1487A"/>
    <w:rPr>
      <w:sz w:val="20"/>
      <w:szCs w:val="20"/>
      <w:lang w:val="en-US"/>
    </w:rPr>
  </w:style>
  <w:style w:type="paragraph" w:styleId="CommentSubject">
    <w:name w:val="annotation subject"/>
    <w:basedOn w:val="CommentText"/>
    <w:next w:val="CommentText"/>
    <w:link w:val="CommentSubjectChar"/>
    <w:uiPriority w:val="99"/>
    <w:semiHidden/>
    <w:unhideWhenUsed/>
    <w:rsid w:val="00F1487A"/>
    <w:rPr>
      <w:b/>
      <w:bCs/>
    </w:rPr>
  </w:style>
  <w:style w:type="character" w:customStyle="1" w:styleId="CommentSubjectChar">
    <w:name w:val="Comment Subject Char"/>
    <w:basedOn w:val="CommentTextChar"/>
    <w:link w:val="CommentSubject"/>
    <w:uiPriority w:val="99"/>
    <w:semiHidden/>
    <w:rsid w:val="00F1487A"/>
    <w:rPr>
      <w:b/>
      <w:bCs/>
      <w:sz w:val="20"/>
      <w:szCs w:val="20"/>
      <w:lang w:val="en-US"/>
    </w:rPr>
  </w:style>
  <w:style w:type="table" w:styleId="TableGrid">
    <w:name w:val="Table Grid"/>
    <w:basedOn w:val="TableNormal"/>
    <w:uiPriority w:val="39"/>
    <w:rsid w:val="00DA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C51119"/>
    <w:rPr>
      <w:rFonts w:asciiTheme="majorHAnsi" w:eastAsiaTheme="majorEastAsia" w:hAnsiTheme="majorHAnsi" w:cstheme="majorBidi"/>
      <w:b/>
      <w:bCs/>
      <w:i/>
      <w:iCs/>
      <w:sz w:val="24"/>
      <w:szCs w:val="24"/>
    </w:rPr>
  </w:style>
  <w:style w:type="paragraph" w:styleId="Revision">
    <w:name w:val="Revision"/>
    <w:hidden/>
    <w:uiPriority w:val="99"/>
    <w:semiHidden/>
    <w:rsid w:val="00A50F5A"/>
    <w:rPr>
      <w:lang w:val="en-US"/>
    </w:rPr>
  </w:style>
  <w:style w:type="paragraph" w:styleId="NormalWeb">
    <w:name w:val="Normal (Web)"/>
    <w:basedOn w:val="Normal"/>
    <w:uiPriority w:val="99"/>
    <w:semiHidden/>
    <w:unhideWhenUsed/>
    <w:rsid w:val="001C5372"/>
    <w:pPr>
      <w:spacing w:before="100" w:beforeAutospacing="1" w:after="100" w:afterAutospacing="1"/>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C51119"/>
    <w:rPr>
      <w:rFonts w:asciiTheme="majorHAnsi" w:eastAsiaTheme="majorEastAsia" w:hAnsiTheme="majorHAnsi" w:cstheme="majorBidi"/>
      <w:b/>
      <w:bCs/>
      <w:i/>
      <w:iCs/>
      <w:sz w:val="28"/>
      <w:szCs w:val="28"/>
    </w:rPr>
  </w:style>
  <w:style w:type="character" w:customStyle="1" w:styleId="Heading5Char">
    <w:name w:val="Heading 5 Char"/>
    <w:basedOn w:val="DefaultParagraphFont"/>
    <w:link w:val="Heading5"/>
    <w:uiPriority w:val="9"/>
    <w:semiHidden/>
    <w:rsid w:val="00C51119"/>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C51119"/>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C51119"/>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C51119"/>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C51119"/>
    <w:rPr>
      <w:rFonts w:asciiTheme="majorHAnsi" w:eastAsiaTheme="majorEastAsia" w:hAnsiTheme="majorHAnsi" w:cstheme="majorBidi"/>
      <w:i/>
      <w:iCs/>
      <w:sz w:val="18"/>
      <w:szCs w:val="18"/>
    </w:rPr>
  </w:style>
  <w:style w:type="paragraph" w:styleId="Title">
    <w:name w:val="Title"/>
    <w:basedOn w:val="Normal"/>
    <w:next w:val="Normal"/>
    <w:link w:val="TitleChar"/>
    <w:uiPriority w:val="10"/>
    <w:qFormat/>
    <w:rsid w:val="00C51119"/>
    <w:pPr>
      <w:spacing w:line="240" w:lineRule="auto"/>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C51119"/>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C51119"/>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C51119"/>
    <w:rPr>
      <w:i/>
      <w:iCs/>
      <w:color w:val="808080" w:themeColor="text1" w:themeTint="7F"/>
      <w:spacing w:val="10"/>
      <w:sz w:val="24"/>
      <w:szCs w:val="24"/>
    </w:rPr>
  </w:style>
  <w:style w:type="character" w:styleId="Strong">
    <w:name w:val="Strong"/>
    <w:basedOn w:val="DefaultParagraphFont"/>
    <w:uiPriority w:val="22"/>
    <w:qFormat/>
    <w:rsid w:val="00C51119"/>
    <w:rPr>
      <w:b/>
      <w:bCs/>
      <w:spacing w:val="0"/>
    </w:rPr>
  </w:style>
  <w:style w:type="character" w:styleId="Emphasis">
    <w:name w:val="Emphasis"/>
    <w:uiPriority w:val="20"/>
    <w:qFormat/>
    <w:rsid w:val="00C51119"/>
    <w:rPr>
      <w:b/>
      <w:bCs/>
      <w:i/>
      <w:iCs/>
      <w:color w:val="auto"/>
    </w:rPr>
  </w:style>
  <w:style w:type="paragraph" w:styleId="NoSpacing">
    <w:name w:val="No Spacing"/>
    <w:basedOn w:val="Normal"/>
    <w:link w:val="NoSpacingChar"/>
    <w:uiPriority w:val="1"/>
    <w:qFormat/>
    <w:rsid w:val="00C51119"/>
    <w:pPr>
      <w:spacing w:after="0" w:line="240" w:lineRule="auto"/>
    </w:pPr>
  </w:style>
  <w:style w:type="paragraph" w:styleId="Quote">
    <w:name w:val="Quote"/>
    <w:basedOn w:val="Normal"/>
    <w:next w:val="Normal"/>
    <w:link w:val="QuoteChar"/>
    <w:uiPriority w:val="29"/>
    <w:qFormat/>
    <w:rsid w:val="00C51119"/>
    <w:rPr>
      <w:color w:val="5A5A5A" w:themeColor="text1" w:themeTint="A5"/>
    </w:rPr>
  </w:style>
  <w:style w:type="character" w:customStyle="1" w:styleId="QuoteChar">
    <w:name w:val="Quote Char"/>
    <w:basedOn w:val="DefaultParagraphFont"/>
    <w:link w:val="Quote"/>
    <w:uiPriority w:val="29"/>
    <w:rsid w:val="00C51119"/>
    <w:rPr>
      <w:color w:val="5A5A5A" w:themeColor="text1" w:themeTint="A5"/>
    </w:rPr>
  </w:style>
  <w:style w:type="paragraph" w:styleId="IntenseQuote">
    <w:name w:val="Intense Quote"/>
    <w:basedOn w:val="Normal"/>
    <w:next w:val="Normal"/>
    <w:link w:val="IntenseQuoteChar"/>
    <w:uiPriority w:val="30"/>
    <w:qFormat/>
    <w:rsid w:val="00C51119"/>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C51119"/>
    <w:rPr>
      <w:rFonts w:asciiTheme="majorHAnsi" w:eastAsiaTheme="majorEastAsia" w:hAnsiTheme="majorHAnsi" w:cstheme="majorBidi"/>
      <w:i/>
      <w:iCs/>
      <w:sz w:val="20"/>
      <w:szCs w:val="20"/>
    </w:rPr>
  </w:style>
  <w:style w:type="character" w:styleId="SubtleEmphasis">
    <w:name w:val="Subtle Emphasis"/>
    <w:uiPriority w:val="19"/>
    <w:qFormat/>
    <w:rsid w:val="00C51119"/>
    <w:rPr>
      <w:i/>
      <w:iCs/>
      <w:color w:val="5A5A5A" w:themeColor="text1" w:themeTint="A5"/>
    </w:rPr>
  </w:style>
  <w:style w:type="character" w:styleId="IntenseEmphasis">
    <w:name w:val="Intense Emphasis"/>
    <w:uiPriority w:val="21"/>
    <w:qFormat/>
    <w:rsid w:val="00C51119"/>
    <w:rPr>
      <w:b/>
      <w:bCs/>
      <w:i/>
      <w:iCs/>
      <w:color w:val="auto"/>
      <w:u w:val="single"/>
    </w:rPr>
  </w:style>
  <w:style w:type="character" w:styleId="SubtleReference">
    <w:name w:val="Subtle Reference"/>
    <w:uiPriority w:val="31"/>
    <w:qFormat/>
    <w:rsid w:val="00C51119"/>
    <w:rPr>
      <w:smallCaps/>
    </w:rPr>
  </w:style>
  <w:style w:type="character" w:styleId="IntenseReference">
    <w:name w:val="Intense Reference"/>
    <w:uiPriority w:val="32"/>
    <w:qFormat/>
    <w:rsid w:val="00C51119"/>
    <w:rPr>
      <w:b/>
      <w:bCs/>
      <w:smallCaps/>
      <w:color w:val="auto"/>
    </w:rPr>
  </w:style>
  <w:style w:type="character" w:styleId="BookTitle">
    <w:name w:val="Book Title"/>
    <w:uiPriority w:val="33"/>
    <w:qFormat/>
    <w:rsid w:val="00C51119"/>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C51119"/>
    <w:pPr>
      <w:outlineLvl w:val="9"/>
    </w:pPr>
  </w:style>
  <w:style w:type="paragraph" w:styleId="Caption">
    <w:name w:val="caption"/>
    <w:basedOn w:val="Normal"/>
    <w:next w:val="Normal"/>
    <w:uiPriority w:val="35"/>
    <w:semiHidden/>
    <w:unhideWhenUsed/>
    <w:qFormat/>
    <w:rsid w:val="00C51119"/>
    <w:rPr>
      <w:b/>
      <w:bCs/>
      <w:sz w:val="18"/>
      <w:szCs w:val="18"/>
    </w:rPr>
  </w:style>
  <w:style w:type="paragraph" w:styleId="BalloonText">
    <w:name w:val="Balloon Text"/>
    <w:basedOn w:val="Normal"/>
    <w:link w:val="BalloonTextChar"/>
    <w:uiPriority w:val="99"/>
    <w:semiHidden/>
    <w:unhideWhenUsed/>
    <w:rsid w:val="00FC53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380"/>
    <w:rPr>
      <w:rFonts w:ascii="Segoe UI" w:hAnsi="Segoe UI" w:cs="Segoe UI"/>
      <w:sz w:val="18"/>
      <w:szCs w:val="18"/>
    </w:rPr>
  </w:style>
  <w:style w:type="table" w:styleId="PlainTable2">
    <w:name w:val="Plain Table 2"/>
    <w:basedOn w:val="TableNormal"/>
    <w:uiPriority w:val="42"/>
    <w:rsid w:val="00FB5A3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rsid w:val="00151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233939">
      <w:bodyDiv w:val="1"/>
      <w:marLeft w:val="0"/>
      <w:marRight w:val="0"/>
      <w:marTop w:val="0"/>
      <w:marBottom w:val="0"/>
      <w:divBdr>
        <w:top w:val="none" w:sz="0" w:space="0" w:color="auto"/>
        <w:left w:val="none" w:sz="0" w:space="0" w:color="auto"/>
        <w:bottom w:val="none" w:sz="0" w:space="0" w:color="auto"/>
        <w:right w:val="none" w:sz="0" w:space="0" w:color="auto"/>
      </w:divBdr>
      <w:divsChild>
        <w:div w:id="1366323429">
          <w:marLeft w:val="0"/>
          <w:marRight w:val="0"/>
          <w:marTop w:val="0"/>
          <w:marBottom w:val="0"/>
          <w:divBdr>
            <w:top w:val="none" w:sz="0" w:space="0" w:color="auto"/>
            <w:left w:val="none" w:sz="0" w:space="0" w:color="auto"/>
            <w:bottom w:val="none" w:sz="0" w:space="0" w:color="auto"/>
            <w:right w:val="none" w:sz="0" w:space="0" w:color="auto"/>
          </w:divBdr>
          <w:divsChild>
            <w:div w:id="596671519">
              <w:marLeft w:val="0"/>
              <w:marRight w:val="0"/>
              <w:marTop w:val="0"/>
              <w:marBottom w:val="0"/>
              <w:divBdr>
                <w:top w:val="none" w:sz="0" w:space="0" w:color="auto"/>
                <w:left w:val="none" w:sz="0" w:space="0" w:color="auto"/>
                <w:bottom w:val="none" w:sz="0" w:space="0" w:color="auto"/>
                <w:right w:val="none" w:sz="0" w:space="0" w:color="auto"/>
              </w:divBdr>
              <w:divsChild>
                <w:div w:id="7401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198993">
      <w:bodyDiv w:val="1"/>
      <w:marLeft w:val="0"/>
      <w:marRight w:val="0"/>
      <w:marTop w:val="0"/>
      <w:marBottom w:val="0"/>
      <w:divBdr>
        <w:top w:val="none" w:sz="0" w:space="0" w:color="auto"/>
        <w:left w:val="none" w:sz="0" w:space="0" w:color="auto"/>
        <w:bottom w:val="none" w:sz="0" w:space="0" w:color="auto"/>
        <w:right w:val="none" w:sz="0" w:space="0" w:color="auto"/>
      </w:divBdr>
    </w:div>
    <w:div w:id="1335843260">
      <w:bodyDiv w:val="1"/>
      <w:marLeft w:val="0"/>
      <w:marRight w:val="0"/>
      <w:marTop w:val="0"/>
      <w:marBottom w:val="0"/>
      <w:divBdr>
        <w:top w:val="none" w:sz="0" w:space="0" w:color="auto"/>
        <w:left w:val="none" w:sz="0" w:space="0" w:color="auto"/>
        <w:bottom w:val="none" w:sz="0" w:space="0" w:color="auto"/>
        <w:right w:val="none" w:sz="0" w:space="0" w:color="auto"/>
      </w:divBdr>
    </w:div>
    <w:div w:id="1473674149">
      <w:bodyDiv w:val="1"/>
      <w:marLeft w:val="0"/>
      <w:marRight w:val="0"/>
      <w:marTop w:val="0"/>
      <w:marBottom w:val="0"/>
      <w:divBdr>
        <w:top w:val="none" w:sz="0" w:space="0" w:color="auto"/>
        <w:left w:val="none" w:sz="0" w:space="0" w:color="auto"/>
        <w:bottom w:val="none" w:sz="0" w:space="0" w:color="auto"/>
        <w:right w:val="none" w:sz="0" w:space="0" w:color="auto"/>
      </w:divBdr>
      <w:divsChild>
        <w:div w:id="1052659243">
          <w:marLeft w:val="0"/>
          <w:marRight w:val="0"/>
          <w:marTop w:val="0"/>
          <w:marBottom w:val="0"/>
          <w:divBdr>
            <w:top w:val="none" w:sz="0" w:space="0" w:color="auto"/>
            <w:left w:val="none" w:sz="0" w:space="0" w:color="auto"/>
            <w:bottom w:val="none" w:sz="0" w:space="0" w:color="auto"/>
            <w:right w:val="none" w:sz="0" w:space="0" w:color="auto"/>
          </w:divBdr>
          <w:divsChild>
            <w:div w:id="1976448989">
              <w:marLeft w:val="0"/>
              <w:marRight w:val="0"/>
              <w:marTop w:val="0"/>
              <w:marBottom w:val="0"/>
              <w:divBdr>
                <w:top w:val="none" w:sz="0" w:space="0" w:color="auto"/>
                <w:left w:val="none" w:sz="0" w:space="0" w:color="auto"/>
                <w:bottom w:val="none" w:sz="0" w:space="0" w:color="auto"/>
                <w:right w:val="none" w:sz="0" w:space="0" w:color="auto"/>
              </w:divBdr>
              <w:divsChild>
                <w:div w:id="581333970">
                  <w:marLeft w:val="0"/>
                  <w:marRight w:val="0"/>
                  <w:marTop w:val="0"/>
                  <w:marBottom w:val="0"/>
                  <w:divBdr>
                    <w:top w:val="none" w:sz="0" w:space="0" w:color="auto"/>
                    <w:left w:val="none" w:sz="0" w:space="0" w:color="auto"/>
                    <w:bottom w:val="none" w:sz="0" w:space="0" w:color="auto"/>
                    <w:right w:val="none" w:sz="0" w:space="0" w:color="auto"/>
                  </w:divBdr>
                  <w:divsChild>
                    <w:div w:id="117364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710386">
      <w:bodyDiv w:val="1"/>
      <w:marLeft w:val="0"/>
      <w:marRight w:val="0"/>
      <w:marTop w:val="0"/>
      <w:marBottom w:val="0"/>
      <w:divBdr>
        <w:top w:val="none" w:sz="0" w:space="0" w:color="auto"/>
        <w:left w:val="none" w:sz="0" w:space="0" w:color="auto"/>
        <w:bottom w:val="none" w:sz="0" w:space="0" w:color="auto"/>
        <w:right w:val="none" w:sz="0" w:space="0" w:color="auto"/>
      </w:divBdr>
      <w:divsChild>
        <w:div w:id="555822623">
          <w:marLeft w:val="0"/>
          <w:marRight w:val="0"/>
          <w:marTop w:val="0"/>
          <w:marBottom w:val="0"/>
          <w:divBdr>
            <w:top w:val="none" w:sz="0" w:space="0" w:color="auto"/>
            <w:left w:val="none" w:sz="0" w:space="0" w:color="auto"/>
            <w:bottom w:val="none" w:sz="0" w:space="0" w:color="auto"/>
            <w:right w:val="none" w:sz="0" w:space="0" w:color="auto"/>
          </w:divBdr>
          <w:divsChild>
            <w:div w:id="1448043334">
              <w:marLeft w:val="0"/>
              <w:marRight w:val="0"/>
              <w:marTop w:val="0"/>
              <w:marBottom w:val="0"/>
              <w:divBdr>
                <w:top w:val="none" w:sz="0" w:space="0" w:color="auto"/>
                <w:left w:val="none" w:sz="0" w:space="0" w:color="auto"/>
                <w:bottom w:val="none" w:sz="0" w:space="0" w:color="auto"/>
                <w:right w:val="none" w:sz="0" w:space="0" w:color="auto"/>
              </w:divBdr>
              <w:divsChild>
                <w:div w:id="90207866">
                  <w:marLeft w:val="0"/>
                  <w:marRight w:val="0"/>
                  <w:marTop w:val="0"/>
                  <w:marBottom w:val="0"/>
                  <w:divBdr>
                    <w:top w:val="none" w:sz="0" w:space="0" w:color="auto"/>
                    <w:left w:val="none" w:sz="0" w:space="0" w:color="auto"/>
                    <w:bottom w:val="none" w:sz="0" w:space="0" w:color="auto"/>
                    <w:right w:val="none" w:sz="0" w:space="0" w:color="auto"/>
                  </w:divBdr>
                  <w:divsChild>
                    <w:div w:id="158472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453854">
      <w:bodyDiv w:val="1"/>
      <w:marLeft w:val="0"/>
      <w:marRight w:val="0"/>
      <w:marTop w:val="0"/>
      <w:marBottom w:val="0"/>
      <w:divBdr>
        <w:top w:val="none" w:sz="0" w:space="0" w:color="auto"/>
        <w:left w:val="none" w:sz="0" w:space="0" w:color="auto"/>
        <w:bottom w:val="none" w:sz="0" w:space="0" w:color="auto"/>
        <w:right w:val="none" w:sz="0" w:space="0" w:color="auto"/>
      </w:divBdr>
    </w:div>
    <w:div w:id="1816486671">
      <w:bodyDiv w:val="1"/>
      <w:marLeft w:val="0"/>
      <w:marRight w:val="0"/>
      <w:marTop w:val="0"/>
      <w:marBottom w:val="0"/>
      <w:divBdr>
        <w:top w:val="none" w:sz="0" w:space="0" w:color="auto"/>
        <w:left w:val="none" w:sz="0" w:space="0" w:color="auto"/>
        <w:bottom w:val="none" w:sz="0" w:space="0" w:color="auto"/>
        <w:right w:val="none" w:sz="0" w:space="0" w:color="auto"/>
      </w:divBdr>
    </w:div>
    <w:div w:id="1833787084">
      <w:bodyDiv w:val="1"/>
      <w:marLeft w:val="0"/>
      <w:marRight w:val="0"/>
      <w:marTop w:val="0"/>
      <w:marBottom w:val="0"/>
      <w:divBdr>
        <w:top w:val="none" w:sz="0" w:space="0" w:color="auto"/>
        <w:left w:val="none" w:sz="0" w:space="0" w:color="auto"/>
        <w:bottom w:val="none" w:sz="0" w:space="0" w:color="auto"/>
        <w:right w:val="none" w:sz="0" w:space="0" w:color="auto"/>
      </w:divBdr>
      <w:divsChild>
        <w:div w:id="310907004">
          <w:marLeft w:val="0"/>
          <w:marRight w:val="0"/>
          <w:marTop w:val="0"/>
          <w:marBottom w:val="0"/>
          <w:divBdr>
            <w:top w:val="none" w:sz="0" w:space="0" w:color="auto"/>
            <w:left w:val="none" w:sz="0" w:space="0" w:color="auto"/>
            <w:bottom w:val="none" w:sz="0" w:space="0" w:color="auto"/>
            <w:right w:val="none" w:sz="0" w:space="0" w:color="auto"/>
          </w:divBdr>
        </w:div>
        <w:div w:id="1650356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6ABFC-5CB3-478B-B75E-6D7C9A2E4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1637</Words>
  <Characters>9336</Characters>
  <Application>Microsoft Office Word</Application>
  <DocSecurity>0</DocSecurity>
  <Lines>77</Lines>
  <Paragraphs>21</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Corona Ramirez</dc:creator>
  <cp:keywords/>
  <dc:description/>
  <cp:lastModifiedBy>natacha bodenhausen</cp:lastModifiedBy>
  <cp:revision>2</cp:revision>
  <dcterms:created xsi:type="dcterms:W3CDTF">2023-08-03T20:36:00Z</dcterms:created>
  <dcterms:modified xsi:type="dcterms:W3CDTF">2023-08-03T20:36:00Z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http://www.zotero.org/styles/mycorrhiza</vt:lpwstr>
  </property>
  <property fmtid="{D5CDD505-2E9C-101B-9397-08002B2CF9AE}" pid="19" name="Mendeley Recent Style Name 8_1">
    <vt:lpwstr>Mycorrhiza</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4648aecb-37c2-3056-a0b1-26027011fd37</vt:lpwstr>
  </property>
  <property fmtid="{D5CDD505-2E9C-101B-9397-08002B2CF9AE}" pid="24" name="Mendeley Citation Style_1">
    <vt:lpwstr>http://www.zotero.org/styles/mycorrhiza</vt:lpwstr>
  </property>
</Properties>
</file>