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8E7F7" w14:textId="77777777" w:rsidR="00CF3D85" w:rsidRDefault="00CF3D85" w:rsidP="00CF3D85">
      <w:pPr>
        <w:spacing w:line="360" w:lineRule="auto"/>
        <w:ind w:left="540" w:hanging="5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Supplementary Table 2. </w:t>
      </w:r>
      <w:r>
        <w:rPr>
          <w:rFonts w:ascii="Calibri" w:eastAsia="Calibri" w:hAnsi="Calibri" w:cs="Calibri"/>
          <w:color w:val="000000"/>
        </w:rPr>
        <w:t>Summary of key results from studies evaluating systemic analgesics, systemic analgesic adjuncts and regional analgesia used to support the recommended interventions in patients undergoing lumbar laminectomy.</w:t>
      </w:r>
    </w:p>
    <w:p w14:paraId="08C7C700" w14:textId="77777777" w:rsidR="00CF3D85" w:rsidRDefault="00CF3D85" w:rsidP="00CF3D85">
      <w:pPr>
        <w:spacing w:line="360" w:lineRule="auto"/>
        <w:ind w:left="540" w:hanging="54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360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010"/>
        <w:gridCol w:w="1845"/>
        <w:gridCol w:w="1905"/>
        <w:gridCol w:w="2010"/>
      </w:tblGrid>
      <w:tr w:rsidR="00CF3D85" w14:paraId="4D783B00" w14:textId="77777777" w:rsidTr="00620B70">
        <w:tc>
          <w:tcPr>
            <w:tcW w:w="1590" w:type="dxa"/>
            <w:shd w:val="clear" w:color="auto" w:fill="CCCCCC"/>
          </w:tcPr>
          <w:p w14:paraId="7329FD6D" w14:textId="77777777" w:rsidR="00CF3D85" w:rsidRDefault="00CF3D8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Study</w:t>
            </w:r>
          </w:p>
        </w:tc>
        <w:tc>
          <w:tcPr>
            <w:tcW w:w="2010" w:type="dxa"/>
            <w:shd w:val="clear" w:color="auto" w:fill="CCCCCC"/>
          </w:tcPr>
          <w:p w14:paraId="2CEC21CE" w14:textId="77777777" w:rsidR="00CF3D85" w:rsidRDefault="00CF3D8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Study design</w:t>
            </w:r>
          </w:p>
        </w:tc>
        <w:tc>
          <w:tcPr>
            <w:tcW w:w="1845" w:type="dxa"/>
            <w:shd w:val="clear" w:color="auto" w:fill="CCCCCC"/>
          </w:tcPr>
          <w:p w14:paraId="79D9A231" w14:textId="77777777" w:rsidR="00CF3D85" w:rsidRDefault="00CF3D8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Pain scores</w:t>
            </w:r>
          </w:p>
        </w:tc>
        <w:tc>
          <w:tcPr>
            <w:tcW w:w="1905" w:type="dxa"/>
            <w:shd w:val="clear" w:color="auto" w:fill="CCCCCC"/>
          </w:tcPr>
          <w:p w14:paraId="2D302125" w14:textId="77777777" w:rsidR="00CF3D85" w:rsidRDefault="00CF3D8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Total opioid consumption</w:t>
            </w:r>
          </w:p>
        </w:tc>
        <w:tc>
          <w:tcPr>
            <w:tcW w:w="2010" w:type="dxa"/>
            <w:shd w:val="clear" w:color="auto" w:fill="CCCCCC"/>
          </w:tcPr>
          <w:p w14:paraId="2A745F49" w14:textId="77777777" w:rsidR="00CF3D85" w:rsidRDefault="00CF3D8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Basic analgesia and baseline analgesia</w:t>
            </w:r>
          </w:p>
        </w:tc>
      </w:tr>
      <w:tr w:rsidR="00CF3D85" w14:paraId="74A6DEE5" w14:textId="77777777" w:rsidTr="00620B70">
        <w:tc>
          <w:tcPr>
            <w:tcW w:w="9360" w:type="dxa"/>
            <w:gridSpan w:val="5"/>
          </w:tcPr>
          <w:p w14:paraId="187C53C8" w14:textId="77777777" w:rsidR="00CF3D85" w:rsidRDefault="00CF3D8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Paracetamol</w:t>
            </w:r>
          </w:p>
        </w:tc>
      </w:tr>
      <w:tr w:rsidR="00CF3D85" w14:paraId="3ACA4D1B" w14:textId="77777777" w:rsidTr="00620B70">
        <w:tc>
          <w:tcPr>
            <w:tcW w:w="1590" w:type="dxa"/>
          </w:tcPr>
          <w:p w14:paraId="40C1DCB8" w14:textId="54B4E24D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Cakan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2008 [</w:t>
            </w:r>
            <w:r w:rsidR="008B472A">
              <w:rPr>
                <w:rFonts w:ascii="Calibri" w:eastAsia="Calibri" w:hAnsi="Calibri" w:cs="Calibri"/>
                <w:color w:val="000000"/>
              </w:rPr>
              <w:t>11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683D5D7A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Paracetamol 1000 mg (n=20) vs placebo (n=20)</w:t>
            </w:r>
          </w:p>
        </w:tc>
        <w:tc>
          <w:tcPr>
            <w:tcW w:w="1845" w:type="dxa"/>
          </w:tcPr>
          <w:p w14:paraId="1537FAF9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paracetamol group at 12h, 18h and 24h </w:t>
            </w:r>
          </w:p>
        </w:tc>
        <w:tc>
          <w:tcPr>
            <w:tcW w:w="1905" w:type="dxa"/>
          </w:tcPr>
          <w:p w14:paraId="1FA3DA48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6BF9BBFE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2010" w:type="dxa"/>
          </w:tcPr>
          <w:p w14:paraId="66ADF62F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660819BB" w14:textId="77777777" w:rsidTr="00620B70">
        <w:tc>
          <w:tcPr>
            <w:tcW w:w="9360" w:type="dxa"/>
            <w:gridSpan w:val="5"/>
          </w:tcPr>
          <w:p w14:paraId="7DFCCB16" w14:textId="77777777" w:rsidR="00CF3D85" w:rsidRDefault="00CF3D8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NSAIDs / COX-2 selective inhibitors</w:t>
            </w:r>
          </w:p>
        </w:tc>
      </w:tr>
      <w:tr w:rsidR="00CF3D85" w14:paraId="2C0351BF" w14:textId="77777777" w:rsidTr="00620B70">
        <w:tc>
          <w:tcPr>
            <w:tcW w:w="1590" w:type="dxa"/>
          </w:tcPr>
          <w:p w14:paraId="5FCFF5D2" w14:textId="5DA3A775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Kesimci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2011 [</w:t>
            </w:r>
            <w:r w:rsidR="008B472A">
              <w:rPr>
                <w:rFonts w:ascii="Calibri" w:eastAsia="Calibri" w:hAnsi="Calibri" w:cs="Calibri"/>
                <w:color w:val="000000"/>
              </w:rPr>
              <w:t>12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48165FCA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Dexketoprofen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25 mg (n=25) vs paracetamol 500 mg (n=25) vs placebo (n=25)</w:t>
            </w:r>
          </w:p>
        </w:tc>
        <w:tc>
          <w:tcPr>
            <w:tcW w:w="1845" w:type="dxa"/>
          </w:tcPr>
          <w:p w14:paraId="1D65B4CE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905" w:type="dxa"/>
          </w:tcPr>
          <w:p w14:paraId="61D6164E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6D22958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dexketoprofen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group at 2h, 6h and 24h</w:t>
            </w:r>
          </w:p>
        </w:tc>
        <w:tc>
          <w:tcPr>
            <w:tcW w:w="2010" w:type="dxa"/>
          </w:tcPr>
          <w:p w14:paraId="62CEA0FF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6858B758" w14:textId="77777777" w:rsidTr="00620B70">
        <w:tc>
          <w:tcPr>
            <w:tcW w:w="1590" w:type="dxa"/>
          </w:tcPr>
          <w:p w14:paraId="1663D093" w14:textId="0995E545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Khajavikhan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2016 [</w:t>
            </w:r>
            <w:r w:rsidR="008B472A">
              <w:rPr>
                <w:rFonts w:ascii="Calibri" w:eastAsia="Calibri" w:hAnsi="Calibri" w:cs="Calibri"/>
                <w:color w:val="000000"/>
              </w:rPr>
              <w:t>13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0E45561F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[400 mg preoperatively; 200 mg postop] (n=38) vs placebo (n=38)</w:t>
            </w:r>
          </w:p>
        </w:tc>
        <w:tc>
          <w:tcPr>
            <w:tcW w:w="1845" w:type="dxa"/>
          </w:tcPr>
          <w:p w14:paraId="15059804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group at 2h, 4h, 6h, 8h, 12h, 24h </w:t>
            </w:r>
          </w:p>
        </w:tc>
        <w:tc>
          <w:tcPr>
            <w:tcW w:w="1905" w:type="dxa"/>
          </w:tcPr>
          <w:p w14:paraId="12A58023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72317868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group at 24h </w:t>
            </w:r>
          </w:p>
        </w:tc>
        <w:tc>
          <w:tcPr>
            <w:tcW w:w="2010" w:type="dxa"/>
          </w:tcPr>
          <w:p w14:paraId="6EE528B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2852E724" w14:textId="77777777" w:rsidTr="00620B70">
        <w:tc>
          <w:tcPr>
            <w:tcW w:w="1590" w:type="dxa"/>
          </w:tcPr>
          <w:p w14:paraId="2E7E9F55" w14:textId="7D709841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Attia et al. 2017 [</w:t>
            </w:r>
            <w:r w:rsidR="008B472A">
              <w:rPr>
                <w:rFonts w:ascii="Calibri" w:eastAsia="Calibri" w:hAnsi="Calibri" w:cs="Calibri"/>
                <w:color w:val="000000"/>
              </w:rPr>
              <w:t>14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4AB35D1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Etoricoxib 120 mg (n=30) vs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duloxetine 60 mg (n=30) vs combination of etoricoxib </w:t>
            </w:r>
            <w:r>
              <w:rPr>
                <w:rFonts w:ascii="Calibri" w:eastAsia="Calibri" w:hAnsi="Calibri" w:cs="Calibri"/>
              </w:rPr>
              <w:t>120 mg</w:t>
            </w:r>
            <w:r>
              <w:rPr>
                <w:rFonts w:ascii="Calibri" w:eastAsia="Calibri" w:hAnsi="Calibri" w:cs="Calibri"/>
                <w:color w:val="000000"/>
              </w:rPr>
              <w:t xml:space="preserve"> + duloxetine 60 mg vs placebo</w:t>
            </w:r>
          </w:p>
        </w:tc>
        <w:tc>
          <w:tcPr>
            <w:tcW w:w="1845" w:type="dxa"/>
          </w:tcPr>
          <w:p w14:paraId="5E0713B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the combination of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etoricoxib and duloxetine, as well as etoricoxib at all times </w:t>
            </w:r>
          </w:p>
        </w:tc>
        <w:tc>
          <w:tcPr>
            <w:tcW w:w="1905" w:type="dxa"/>
          </w:tcPr>
          <w:p w14:paraId="508B736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Morphine IV (2mg bolus) post op: </w:t>
            </w:r>
          </w:p>
          <w:p w14:paraId="10D7D55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the combination of etoricoxib and duloxetine </w:t>
            </w:r>
          </w:p>
        </w:tc>
        <w:tc>
          <w:tcPr>
            <w:tcW w:w="2010" w:type="dxa"/>
          </w:tcPr>
          <w:p w14:paraId="431F7186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Basic analgesia: Paracetamol 1g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intraoperative. No additional baseline analgesia</w:t>
            </w:r>
          </w:p>
        </w:tc>
      </w:tr>
      <w:tr w:rsidR="00CF3D85" w14:paraId="017B8947" w14:textId="77777777" w:rsidTr="00620B70">
        <w:tc>
          <w:tcPr>
            <w:tcW w:w="1590" w:type="dxa"/>
          </w:tcPr>
          <w:p w14:paraId="0F7A122B" w14:textId="58DEE32A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Duttchen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2017 [</w:t>
            </w:r>
            <w:r w:rsidR="008B472A">
              <w:rPr>
                <w:rFonts w:ascii="Calibri" w:eastAsia="Calibri" w:hAnsi="Calibri" w:cs="Calibri"/>
                <w:color w:val="000000"/>
              </w:rPr>
              <w:t>15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5917B70A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15 mg (n=25) vs </w:t>
            </w: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30 mg (n=25)</w:t>
            </w:r>
          </w:p>
        </w:tc>
        <w:tc>
          <w:tcPr>
            <w:tcW w:w="1845" w:type="dxa"/>
          </w:tcPr>
          <w:p w14:paraId="7DD5D60B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905" w:type="dxa"/>
          </w:tcPr>
          <w:p w14:paraId="0F8154EB" w14:textId="77777777" w:rsidR="00CF3D85" w:rsidRPr="00CD737B" w:rsidRDefault="00CF3D85" w:rsidP="00620B70">
            <w:pPr>
              <w:rPr>
                <w:rFonts w:ascii="Calibri" w:eastAsia="Calibri" w:hAnsi="Calibri" w:cs="Calibri"/>
                <w:color w:val="000000"/>
                <w:lang w:val="nl-NL"/>
              </w:rPr>
            </w:pPr>
            <w:proofErr w:type="spellStart"/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>Morphine</w:t>
            </w:r>
            <w:proofErr w:type="spellEnd"/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 xml:space="preserve"> IV post op:</w:t>
            </w:r>
          </w:p>
          <w:p w14:paraId="6FA364A7" w14:textId="77777777" w:rsidR="00CF3D85" w:rsidRPr="00CD737B" w:rsidRDefault="00CF3D85" w:rsidP="00620B70">
            <w:pPr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>NS</w:t>
            </w:r>
          </w:p>
        </w:tc>
        <w:tc>
          <w:tcPr>
            <w:tcW w:w="2010" w:type="dxa"/>
          </w:tcPr>
          <w:p w14:paraId="6A595E1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4C15F805" w14:textId="77777777" w:rsidTr="00620B70">
        <w:tc>
          <w:tcPr>
            <w:tcW w:w="1590" w:type="dxa"/>
          </w:tcPr>
          <w:p w14:paraId="7B4E1200" w14:textId="0444F57D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Nikooseresht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2016 [</w:t>
            </w:r>
            <w:r w:rsidR="008B472A">
              <w:rPr>
                <w:rFonts w:ascii="Calibri" w:eastAsia="Calibri" w:hAnsi="Calibri" w:cs="Calibri"/>
                <w:color w:val="000000"/>
              </w:rPr>
              <w:t>16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7D158674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Diclofenac 100 mg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suppo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(n=51) vs acetaminophen 1000 mg IV (n=51)</w:t>
            </w:r>
          </w:p>
        </w:tc>
        <w:tc>
          <w:tcPr>
            <w:tcW w:w="1845" w:type="dxa"/>
          </w:tcPr>
          <w:p w14:paraId="3DD410A5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905" w:type="dxa"/>
          </w:tcPr>
          <w:p w14:paraId="0B8F5134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fentanyl: Favours diclofenac group </w:t>
            </w:r>
          </w:p>
        </w:tc>
        <w:tc>
          <w:tcPr>
            <w:tcW w:w="2010" w:type="dxa"/>
          </w:tcPr>
          <w:p w14:paraId="142AE16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58DB35E2" w14:textId="77777777" w:rsidTr="00620B70">
        <w:tc>
          <w:tcPr>
            <w:tcW w:w="1590" w:type="dxa"/>
          </w:tcPr>
          <w:p w14:paraId="01D8BC39" w14:textId="32FFE5CC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Cassinelli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2008 [</w:t>
            </w:r>
            <w:r w:rsidR="008B472A">
              <w:rPr>
                <w:rFonts w:ascii="Calibri" w:eastAsia="Calibri" w:hAnsi="Calibri" w:cs="Calibri"/>
                <w:color w:val="000000"/>
              </w:rPr>
              <w:t>17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72B9997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30 mg IV [15 mg if age &gt; 65 years] (n=13) vs placebo (n=12)</w:t>
            </w:r>
          </w:p>
        </w:tc>
        <w:tc>
          <w:tcPr>
            <w:tcW w:w="1845" w:type="dxa"/>
          </w:tcPr>
          <w:p w14:paraId="5541645D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group at 0h and 4h </w:t>
            </w:r>
          </w:p>
        </w:tc>
        <w:tc>
          <w:tcPr>
            <w:tcW w:w="1905" w:type="dxa"/>
          </w:tcPr>
          <w:p w14:paraId="48B4378D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IV morphine during the first 24h:</w:t>
            </w:r>
          </w:p>
          <w:p w14:paraId="44C3E80D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group</w:t>
            </w:r>
          </w:p>
        </w:tc>
        <w:tc>
          <w:tcPr>
            <w:tcW w:w="2010" w:type="dxa"/>
          </w:tcPr>
          <w:p w14:paraId="2AAA0DAB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analgesia. Additional baseline analgesia: PO oxycodone after 24h (dose not mentioned)</w:t>
            </w:r>
          </w:p>
        </w:tc>
      </w:tr>
      <w:tr w:rsidR="00CF3D85" w14:paraId="349A284B" w14:textId="77777777" w:rsidTr="00620B70">
        <w:tc>
          <w:tcPr>
            <w:tcW w:w="1590" w:type="dxa"/>
          </w:tcPr>
          <w:p w14:paraId="6CAEF3FE" w14:textId="62E6D50F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Emamhadi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2008 [</w:t>
            </w:r>
            <w:r w:rsidR="008B472A">
              <w:rPr>
                <w:rFonts w:ascii="Calibri" w:eastAsia="Calibri" w:hAnsi="Calibri" w:cs="Calibri"/>
                <w:color w:val="000000"/>
              </w:rPr>
              <w:t>18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0ED34FC3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Diclofenac 100 mg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suppo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(n=50) vs pethidine 0.5 mg/kg 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color w:val="000000"/>
              </w:rPr>
              <w:t xml:space="preserve"> (n=50)</w:t>
            </w:r>
          </w:p>
        </w:tc>
        <w:tc>
          <w:tcPr>
            <w:tcW w:w="1845" w:type="dxa"/>
          </w:tcPr>
          <w:p w14:paraId="5BA7A250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pethidine group </w:t>
            </w:r>
          </w:p>
        </w:tc>
        <w:tc>
          <w:tcPr>
            <w:tcW w:w="1905" w:type="dxa"/>
          </w:tcPr>
          <w:p w14:paraId="490AB2ED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</w:tc>
        <w:tc>
          <w:tcPr>
            <w:tcW w:w="2010" w:type="dxa"/>
          </w:tcPr>
          <w:p w14:paraId="3A7EFC19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7A92633F" w14:textId="77777777" w:rsidTr="00620B70">
        <w:tc>
          <w:tcPr>
            <w:tcW w:w="9360" w:type="dxa"/>
            <w:gridSpan w:val="5"/>
          </w:tcPr>
          <w:p w14:paraId="19089D97" w14:textId="77777777" w:rsidR="00CF3D85" w:rsidRDefault="00CF3D8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lastRenderedPageBreak/>
              <w:t>Surgical wound instillation</w:t>
            </w:r>
            <w:r>
              <w:rPr>
                <w:rFonts w:ascii="Calibri" w:eastAsia="Calibri" w:hAnsi="Calibri" w:cs="Calibri"/>
                <w:b/>
                <w:i/>
              </w:rPr>
              <w:t xml:space="preserve"> and 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>infiltration</w:t>
            </w:r>
          </w:p>
        </w:tc>
      </w:tr>
      <w:tr w:rsidR="00CF3D85" w14:paraId="4E337C6C" w14:textId="77777777" w:rsidTr="00620B70">
        <w:tc>
          <w:tcPr>
            <w:tcW w:w="1590" w:type="dxa"/>
          </w:tcPr>
          <w:p w14:paraId="5CF66D55" w14:textId="2D3B55E2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Saini et al. 2018 [</w:t>
            </w:r>
            <w:r w:rsidR="008B472A">
              <w:rPr>
                <w:rFonts w:ascii="Calibri" w:eastAsia="Calibri" w:hAnsi="Calibri" w:cs="Calibri"/>
                <w:color w:val="000000"/>
              </w:rPr>
              <w:t>41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74CD430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Instillation with 20 ml ropivacaine 0.25% (n=20) vs placebo (n=20)</w:t>
            </w:r>
          </w:p>
        </w:tc>
        <w:tc>
          <w:tcPr>
            <w:tcW w:w="1845" w:type="dxa"/>
          </w:tcPr>
          <w:p w14:paraId="0192162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ropivacaine group </w:t>
            </w:r>
          </w:p>
        </w:tc>
        <w:tc>
          <w:tcPr>
            <w:tcW w:w="1905" w:type="dxa"/>
          </w:tcPr>
          <w:p w14:paraId="5C68942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  <w:p w14:paraId="3307BE83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(However, favours ropivacaine group for total diclofenac consumption)</w:t>
            </w:r>
          </w:p>
        </w:tc>
        <w:tc>
          <w:tcPr>
            <w:tcW w:w="2010" w:type="dxa"/>
          </w:tcPr>
          <w:p w14:paraId="4B246495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Basic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analgesica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: Paracetamol 15 mg/kg; diclofenac 75 mg (if NRS &gt; 4/10). No additional baseline analgesia.</w:t>
            </w:r>
          </w:p>
        </w:tc>
      </w:tr>
      <w:tr w:rsidR="00CF3D85" w14:paraId="2ABD6284" w14:textId="77777777" w:rsidTr="00620B70">
        <w:tc>
          <w:tcPr>
            <w:tcW w:w="1590" w:type="dxa"/>
          </w:tcPr>
          <w:p w14:paraId="28392256" w14:textId="2DCE2094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Jonnavithula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2017 [</w:t>
            </w:r>
            <w:r w:rsidR="008B472A">
              <w:rPr>
                <w:rFonts w:ascii="Calibri" w:eastAsia="Calibri" w:hAnsi="Calibri" w:cs="Calibri"/>
                <w:color w:val="000000"/>
              </w:rPr>
              <w:t>42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32E714AF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Instillation with 20 ml bupivacaine 0.25% (n=16) vs placebo (n=16)</w:t>
            </w:r>
          </w:p>
        </w:tc>
        <w:tc>
          <w:tcPr>
            <w:tcW w:w="1845" w:type="dxa"/>
          </w:tcPr>
          <w:p w14:paraId="66115670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bupivacaine group </w:t>
            </w:r>
          </w:p>
        </w:tc>
        <w:tc>
          <w:tcPr>
            <w:tcW w:w="1905" w:type="dxa"/>
          </w:tcPr>
          <w:p w14:paraId="422DF0D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  <w:p w14:paraId="777E1085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(However, favours bupivacaine group for total diclofenac consumption)</w:t>
            </w:r>
          </w:p>
        </w:tc>
        <w:tc>
          <w:tcPr>
            <w:tcW w:w="2010" w:type="dxa"/>
          </w:tcPr>
          <w:p w14:paraId="3A4CAE09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diclofenac 75 mg IM (if VAS &gt; 3/10). No additional baseline analgesia</w:t>
            </w:r>
          </w:p>
        </w:tc>
      </w:tr>
      <w:tr w:rsidR="00CF3D85" w14:paraId="79CC695B" w14:textId="77777777" w:rsidTr="00620B70">
        <w:tc>
          <w:tcPr>
            <w:tcW w:w="1590" w:type="dxa"/>
          </w:tcPr>
          <w:p w14:paraId="3E79343A" w14:textId="246916F2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Rahmanian et al. 2014 [</w:t>
            </w:r>
            <w:r w:rsidR="008B472A">
              <w:rPr>
                <w:rFonts w:ascii="Calibri" w:eastAsia="Calibri" w:hAnsi="Calibri" w:cs="Calibri"/>
                <w:color w:val="000000"/>
              </w:rPr>
              <w:t>43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4AD5597B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Instillation with 30 ml bupivacaine 0.25% (n=30) vs placebo (n=30)</w:t>
            </w:r>
          </w:p>
        </w:tc>
        <w:tc>
          <w:tcPr>
            <w:tcW w:w="1845" w:type="dxa"/>
          </w:tcPr>
          <w:p w14:paraId="75D6974D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905" w:type="dxa"/>
          </w:tcPr>
          <w:p w14:paraId="44775A16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IV morphine:</w:t>
            </w:r>
          </w:p>
          <w:p w14:paraId="31C7D43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Not mentioned</w:t>
            </w:r>
          </w:p>
        </w:tc>
        <w:tc>
          <w:tcPr>
            <w:tcW w:w="2010" w:type="dxa"/>
          </w:tcPr>
          <w:p w14:paraId="5A25DE4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CF3D85" w14:paraId="7E89D8DB" w14:textId="77777777" w:rsidTr="00620B70">
        <w:tc>
          <w:tcPr>
            <w:tcW w:w="1590" w:type="dxa"/>
          </w:tcPr>
          <w:p w14:paraId="31F2D107" w14:textId="4CBF0B4B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Gurbet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2014 [</w:t>
            </w:r>
            <w:r w:rsidR="008B472A">
              <w:rPr>
                <w:rFonts w:ascii="Calibri" w:eastAsia="Calibri" w:hAnsi="Calibri" w:cs="Calibri"/>
              </w:rPr>
              <w:t>44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4B49D4E1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Infiltration with 20 ml levobupivacaine 0.25% [+ </w:t>
            </w:r>
            <w:r>
              <w:rPr>
                <w:rFonts w:ascii="Calibri" w:eastAsia="Calibri" w:hAnsi="Calibri" w:cs="Calibri"/>
              </w:rPr>
              <w:t>methylprednisolone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40 mg</w:t>
            </w:r>
            <w:r>
              <w:rPr>
                <w:rFonts w:ascii="Calibri" w:eastAsia="Calibri" w:hAnsi="Calibri" w:cs="Calibri"/>
                <w:color w:val="000000"/>
              </w:rPr>
              <w:t xml:space="preserve">] (n=19) vs 20 ml bupivacaine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0.25% [+ </w:t>
            </w:r>
            <w:r>
              <w:rPr>
                <w:rFonts w:ascii="Calibri" w:eastAsia="Calibri" w:hAnsi="Calibri" w:cs="Calibri"/>
              </w:rPr>
              <w:t>methylprednisolone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40 mg</w:t>
            </w:r>
            <w:r>
              <w:rPr>
                <w:rFonts w:ascii="Calibri" w:eastAsia="Calibri" w:hAnsi="Calibri" w:cs="Calibri"/>
                <w:color w:val="000000"/>
              </w:rPr>
              <w:t>] (n=18) vs placebo (n=19)</w:t>
            </w:r>
          </w:p>
        </w:tc>
        <w:tc>
          <w:tcPr>
            <w:tcW w:w="1845" w:type="dxa"/>
          </w:tcPr>
          <w:p w14:paraId="6A78A5AF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levobupivacaine and bupivacaine groups at </w:t>
            </w:r>
            <w:r>
              <w:rPr>
                <w:rFonts w:ascii="Calibri" w:eastAsia="Calibri" w:hAnsi="Calibri" w:cs="Calibri"/>
              </w:rPr>
              <w:t>4 h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905" w:type="dxa"/>
          </w:tcPr>
          <w:p w14:paraId="317924A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0F7F3093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levobupivacaine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and bupivacaine groups </w:t>
            </w:r>
          </w:p>
        </w:tc>
        <w:tc>
          <w:tcPr>
            <w:tcW w:w="2010" w:type="dxa"/>
          </w:tcPr>
          <w:p w14:paraId="1D772317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No basic analgesia and no additional baseline analgesia </w:t>
            </w:r>
          </w:p>
        </w:tc>
      </w:tr>
      <w:tr w:rsidR="00CF3D85" w14:paraId="0C123BAE" w14:textId="77777777" w:rsidTr="00620B70">
        <w:tc>
          <w:tcPr>
            <w:tcW w:w="1590" w:type="dxa"/>
          </w:tcPr>
          <w:p w14:paraId="09514FE9" w14:textId="1E5B7713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Hazarika et al. 2017 [</w:t>
            </w:r>
            <w:r w:rsidR="008B472A">
              <w:rPr>
                <w:rFonts w:ascii="Calibri" w:eastAsia="Calibri" w:hAnsi="Calibri" w:cs="Calibri"/>
                <w:color w:val="000000"/>
              </w:rPr>
              <w:t>45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2010" w:type="dxa"/>
          </w:tcPr>
          <w:p w14:paraId="0F7344F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Infiltration with 20 ml Bupivacaine 0.25% [+ magnesium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sulfate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500 mg] (n=30) vs 20 ml Ropivacaine 0.25% [+ magnesium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sulfate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500 mg] (n=31)</w:t>
            </w:r>
          </w:p>
        </w:tc>
        <w:tc>
          <w:tcPr>
            <w:tcW w:w="1845" w:type="dxa"/>
          </w:tcPr>
          <w:p w14:paraId="542A38E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905" w:type="dxa"/>
          </w:tcPr>
          <w:p w14:paraId="72D51EEC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Continuous IV fentanyl infusion; Nalbuphine IV for breakthrough pain:</w:t>
            </w:r>
          </w:p>
          <w:p w14:paraId="7510485B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color w:val="000000"/>
              </w:rPr>
              <w:t xml:space="preserve">upivacaine group </w:t>
            </w:r>
          </w:p>
        </w:tc>
        <w:tc>
          <w:tcPr>
            <w:tcW w:w="2010" w:type="dxa"/>
          </w:tcPr>
          <w:p w14:paraId="0CB4B862" w14:textId="77777777" w:rsidR="00CF3D85" w:rsidRDefault="00CF3D8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</w:tbl>
    <w:p w14:paraId="32883EE7" w14:textId="77777777" w:rsidR="00CF3D85" w:rsidRDefault="00CF3D85" w:rsidP="00CF3D85">
      <w:pP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FE202B4" w14:textId="77777777" w:rsidR="00CF3D85" w:rsidRDefault="00CF3D85" w:rsidP="00CF3D85">
      <w:pPr>
        <w:spacing w:line="360" w:lineRule="auto"/>
        <w:ind w:left="54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Abbreviations: COX-2 (</w:t>
      </w:r>
      <w:r>
        <w:rPr>
          <w:rFonts w:ascii="Calibri" w:eastAsia="Calibri" w:hAnsi="Calibri" w:cs="Calibri"/>
          <w:sz w:val="20"/>
          <w:szCs w:val="20"/>
        </w:rPr>
        <w:t>cyclooxygenase</w:t>
      </w:r>
      <w:r>
        <w:rPr>
          <w:rFonts w:ascii="Calibri" w:eastAsia="Calibri" w:hAnsi="Calibri" w:cs="Calibri"/>
          <w:color w:val="000000"/>
          <w:sz w:val="20"/>
          <w:szCs w:val="20"/>
        </w:rPr>
        <w:t>-2); h (hours); I</w:t>
      </w:r>
      <w:r>
        <w:rPr>
          <w:rFonts w:ascii="Calibri" w:eastAsia="Calibri" w:hAnsi="Calibri" w:cs="Calibri"/>
          <w:sz w:val="20"/>
          <w:szCs w:val="20"/>
        </w:rPr>
        <w:t>M (intramuscular);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IV (intravenous); ml (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milliliter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); N/A (not applicable); NRS (numeric rating score); NS (not significant); NSAIDs (non-steroidal anti-inflammatory drugs); PO (per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); post op (postoperatively);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suppo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(suppository); VAS (visual analogue scale)</w:t>
      </w:r>
    </w:p>
    <w:p w14:paraId="0C8E849E" w14:textId="77777777" w:rsidR="00CF3D85" w:rsidRDefault="00CF3D85"/>
    <w:sectPr w:rsidR="00CF3D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85"/>
    <w:rsid w:val="008B472A"/>
    <w:rsid w:val="00C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145D72"/>
  <w15:chartTrackingRefBased/>
  <w15:docId w15:val="{ECCFA9C3-B7FA-3F44-B7CA-10F90AD4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Calibri (Body)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F3D85"/>
    <w:pPr>
      <w:spacing w:line="480" w:lineRule="auto"/>
    </w:pPr>
    <w:rPr>
      <w:rFonts w:ascii="Arial" w:eastAsia="Arial" w:hAnsi="Arial" w:cs="Arial"/>
      <w:sz w:val="22"/>
      <w:szCs w:val="22"/>
      <w:lang w:val="en-NZ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Peene</dc:creator>
  <cp:keywords/>
  <dc:description/>
  <cp:lastModifiedBy>Laurens Peene</cp:lastModifiedBy>
  <cp:revision>2</cp:revision>
  <dcterms:created xsi:type="dcterms:W3CDTF">2020-06-08T19:10:00Z</dcterms:created>
  <dcterms:modified xsi:type="dcterms:W3CDTF">2020-10-09T19:33:00Z</dcterms:modified>
</cp:coreProperties>
</file>