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B140F" w14:textId="1B70C92B" w:rsidR="00C635FA" w:rsidRDefault="00C635FA" w:rsidP="00066A6D">
      <w:pPr>
        <w:autoSpaceDE w:val="0"/>
        <w:autoSpaceDN w:val="0"/>
        <w:adjustRightInd w:val="0"/>
        <w:spacing w:line="360" w:lineRule="auto"/>
        <w:rPr>
          <w:b/>
          <w:bCs/>
          <w:sz w:val="20"/>
          <w:szCs w:val="20"/>
        </w:rPr>
      </w:pPr>
      <w:r>
        <w:rPr>
          <w:b/>
          <w:bCs/>
          <w:sz w:val="20"/>
          <w:szCs w:val="20"/>
        </w:rPr>
        <w:t xml:space="preserve">Supplementary Material 1.0 for </w:t>
      </w:r>
      <w:r w:rsidRPr="00C635FA">
        <w:rPr>
          <w:b/>
          <w:bCs/>
          <w:sz w:val="20"/>
          <w:szCs w:val="20"/>
        </w:rPr>
        <w:t>ISSLS PRIZE in Clinical Science 2023: comparison of degenerative MRI features of the intervertebral disc between those with and without chronic low back pain. An exploratory study of two large female populations using automated annotation</w:t>
      </w:r>
      <w:r>
        <w:rPr>
          <w:b/>
          <w:bCs/>
          <w:sz w:val="20"/>
          <w:szCs w:val="20"/>
        </w:rPr>
        <w:t>.</w:t>
      </w:r>
    </w:p>
    <w:p w14:paraId="671C1614" w14:textId="77777777" w:rsidR="00C635FA" w:rsidRDefault="00C635FA" w:rsidP="00066A6D">
      <w:pPr>
        <w:autoSpaceDE w:val="0"/>
        <w:autoSpaceDN w:val="0"/>
        <w:adjustRightInd w:val="0"/>
        <w:spacing w:line="360" w:lineRule="auto"/>
        <w:rPr>
          <w:b/>
          <w:bCs/>
          <w:sz w:val="20"/>
          <w:szCs w:val="20"/>
        </w:rPr>
      </w:pPr>
    </w:p>
    <w:p w14:paraId="039715F9" w14:textId="3ECD5AAB" w:rsidR="00066A6D" w:rsidRPr="00066A6D" w:rsidRDefault="00066A6D" w:rsidP="00066A6D">
      <w:pPr>
        <w:autoSpaceDE w:val="0"/>
        <w:autoSpaceDN w:val="0"/>
        <w:adjustRightInd w:val="0"/>
        <w:spacing w:line="360" w:lineRule="auto"/>
        <w:rPr>
          <w:b/>
          <w:bCs/>
          <w:sz w:val="20"/>
          <w:szCs w:val="20"/>
        </w:rPr>
      </w:pPr>
      <w:r w:rsidRPr="00066A6D">
        <w:rPr>
          <w:b/>
          <w:bCs/>
          <w:sz w:val="20"/>
          <w:szCs w:val="20"/>
        </w:rPr>
        <w:t>Validation of SpineNet and other grading systems</w:t>
      </w:r>
    </w:p>
    <w:p w14:paraId="10D2159F" w14:textId="0BB709A4" w:rsidR="005F52C9" w:rsidRPr="00066A6D" w:rsidRDefault="005F52C9" w:rsidP="00066A6D">
      <w:pPr>
        <w:autoSpaceDE w:val="0"/>
        <w:autoSpaceDN w:val="0"/>
        <w:adjustRightInd w:val="0"/>
        <w:spacing w:line="360" w:lineRule="auto"/>
        <w:rPr>
          <w:sz w:val="20"/>
          <w:szCs w:val="20"/>
        </w:rPr>
      </w:pPr>
      <w:r w:rsidRPr="00066A6D">
        <w:rPr>
          <w:sz w:val="20"/>
          <w:szCs w:val="20"/>
        </w:rPr>
        <w:t xml:space="preserve">Grading systems are normally published in journals, with example images presented on paper or digital format, so it is rare for more than a few example images to be shown. This makes it difficult for annotators to convert these images into gradings of images from diverse MRI machines, acquisition protocols and sequence choices. The human observers are then asked to be consistent when annotating hundreds or thousands of images. It is unsurprising that reliability is only ‘moderate at best”, even with multiple observers </w:t>
      </w:r>
      <w:r w:rsidR="00056507">
        <w:rPr>
          <w:sz w:val="20"/>
          <w:szCs w:val="20"/>
        </w:rPr>
        <w:fldChar w:fldCharType="begin"/>
      </w:r>
      <w:r w:rsidR="00056507">
        <w:rPr>
          <w:sz w:val="20"/>
          <w:szCs w:val="20"/>
        </w:rPr>
        <w:instrText xml:space="preserve"> ADDIN EN.CITE &lt;EndNote&gt;&lt;Cite&gt;&lt;Author&gt;Brinjikji&lt;/Author&gt;&lt;Year&gt;2015&lt;/Year&gt;&lt;RecNum&gt;1954&lt;/RecNum&gt;&lt;DisplayText&gt;[1]&lt;/DisplayText&gt;&lt;record&gt;&lt;rec-number&gt;1954&lt;/rec-number&gt;&lt;foreign-keys&gt;&lt;key app="EN" db-id="wxzvzaat9pdzf7efw27xawzq9fptedv5fvax" timestamp="1425104472"&gt;1954&lt;/key&gt;&lt;/foreign-keys&gt;&lt;ref-type name="Journal Article"&gt;17&lt;/ref-type&gt;&lt;contributors&gt;&lt;authors&gt;&lt;author&gt;Brinjikji, W&lt;/author&gt;&lt;author&gt;Luetmer, PH&lt;/author&gt;&lt;author&gt;Comstock, B&lt;/author&gt;&lt;author&gt;Bresnahan, BW&lt;/author&gt;&lt;author&gt;Chen, LE&lt;/author&gt;&lt;author&gt;Deyo, RA&lt;/author&gt;&lt;author&gt;Halabi, S&lt;/author&gt;&lt;author&gt;Turner, JA&lt;/author&gt;&lt;author&gt;James, AK&lt;/author&gt;&lt;author&gt;Wald, JT&lt;/author&gt;&lt;author&gt;Kallmes, DF&lt;/author&gt;&lt;author&gt;Jarvik, JG&lt;/author&gt;&lt;/authors&gt;&lt;/contributors&gt;&lt;titles&gt;&lt;title&gt;Systematic Literature Review of Imaging Features of Spinal Degeneration in Asymptomatic Populations&lt;/title&gt;&lt;secondary-title&gt;American Journal of Neuroradiology April 2015, &lt;/secondary-title&gt;&lt;/titles&gt;&lt;pages&gt;811-816&lt;/pages&gt;&lt;volume&gt;36&lt;/volume&gt;&lt;number&gt;4&lt;/number&gt;&lt;dates&gt;&lt;year&gt;2015&lt;/year&gt;&lt;pub-dates&gt;&lt;date&gt;April 2015&lt;/date&gt;&lt;/pub-dates&gt;&lt;/dates&gt;&lt;urls&gt;&lt;/urls&gt;&lt;electronic-resource-num&gt;http://dx.doi.org/10.3174/ajnr.A4173&lt;/electronic-resource-num&gt;&lt;/record&gt;&lt;/Cite&gt;&lt;/EndNote&gt;</w:instrText>
      </w:r>
      <w:r w:rsidR="00056507">
        <w:rPr>
          <w:sz w:val="20"/>
          <w:szCs w:val="20"/>
        </w:rPr>
        <w:fldChar w:fldCharType="separate"/>
      </w:r>
      <w:r w:rsidR="00056507">
        <w:rPr>
          <w:noProof/>
          <w:sz w:val="20"/>
          <w:szCs w:val="20"/>
        </w:rPr>
        <w:t>[1]</w:t>
      </w:r>
      <w:r w:rsidR="00056507">
        <w:rPr>
          <w:sz w:val="20"/>
          <w:szCs w:val="20"/>
        </w:rPr>
        <w:fldChar w:fldCharType="end"/>
      </w:r>
      <w:r w:rsidRPr="00066A6D">
        <w:rPr>
          <w:sz w:val="20"/>
          <w:szCs w:val="20"/>
        </w:rPr>
        <w:t>.</w:t>
      </w:r>
    </w:p>
    <w:p w14:paraId="66942D8E" w14:textId="77777777" w:rsidR="005F52C9" w:rsidRPr="00066A6D" w:rsidRDefault="005F52C9" w:rsidP="00066A6D">
      <w:pPr>
        <w:autoSpaceDE w:val="0"/>
        <w:autoSpaceDN w:val="0"/>
        <w:adjustRightInd w:val="0"/>
        <w:spacing w:line="360" w:lineRule="auto"/>
        <w:rPr>
          <w:sz w:val="20"/>
          <w:szCs w:val="20"/>
        </w:rPr>
      </w:pPr>
    </w:p>
    <w:p w14:paraId="5DA494A6" w14:textId="69DC25D7" w:rsidR="005F52C9" w:rsidRPr="00066A6D" w:rsidRDefault="005F52C9" w:rsidP="00066A6D">
      <w:pPr>
        <w:autoSpaceDE w:val="0"/>
        <w:autoSpaceDN w:val="0"/>
        <w:adjustRightInd w:val="0"/>
        <w:spacing w:line="360" w:lineRule="auto"/>
        <w:rPr>
          <w:sz w:val="20"/>
          <w:szCs w:val="20"/>
        </w:rPr>
      </w:pPr>
      <w:r w:rsidRPr="00066A6D">
        <w:rPr>
          <w:sz w:val="20"/>
          <w:szCs w:val="20"/>
        </w:rPr>
        <w:t xml:space="preserve">Another confounder is variability in human annotation. A common strategy to mitigate this is to use more than one observer. Unfortunately, the </w:t>
      </w:r>
      <w:r w:rsidRPr="00CC4748">
        <w:rPr>
          <w:sz w:val="20"/>
          <w:szCs w:val="20"/>
        </w:rPr>
        <w:t>systematic view</w:t>
      </w:r>
      <w:r w:rsidRPr="00066A6D">
        <w:rPr>
          <w:sz w:val="20"/>
          <w:szCs w:val="20"/>
        </w:rPr>
        <w:t xml:space="preserve"> found correspondence between observers to be ‘moderate at best’ </w:t>
      </w:r>
      <w:r w:rsidR="00056507">
        <w:rPr>
          <w:sz w:val="20"/>
          <w:szCs w:val="20"/>
        </w:rPr>
        <w:fldChar w:fldCharType="begin"/>
      </w:r>
      <w:r w:rsidR="00056507">
        <w:rPr>
          <w:sz w:val="20"/>
          <w:szCs w:val="20"/>
        </w:rPr>
        <w:instrText xml:space="preserve"> ADDIN EN.CITE &lt;EndNote&gt;&lt;Cite&gt;&lt;Author&gt;Brinjikji&lt;/Author&gt;&lt;Year&gt;2015&lt;/Year&gt;&lt;RecNum&gt;1954&lt;/RecNum&gt;&lt;DisplayText&gt;[1]&lt;/DisplayText&gt;&lt;record&gt;&lt;rec-number&gt;1954&lt;/rec-number&gt;&lt;foreign-keys&gt;&lt;key app="EN" db-id="wxzvzaat9pdzf7efw27xawzq9fptedv5fvax" timestamp="1425104472"&gt;1954&lt;/key&gt;&lt;/foreign-keys&gt;&lt;ref-type name="Journal Article"&gt;17&lt;/ref-type&gt;&lt;contributors&gt;&lt;authors&gt;&lt;author&gt;Brinjikji, W&lt;/author&gt;&lt;author&gt;Luetmer, PH&lt;/author&gt;&lt;author&gt;Comstock, B&lt;/author&gt;&lt;author&gt;Bresnahan, BW&lt;/author&gt;&lt;author&gt;Chen, LE&lt;/author&gt;&lt;author&gt;Deyo, RA&lt;/author&gt;&lt;author&gt;Halabi, S&lt;/author&gt;&lt;author&gt;Turner, JA&lt;/author&gt;&lt;author&gt;James, AK&lt;/author&gt;&lt;author&gt;Wald, JT&lt;/author&gt;&lt;author&gt;Kallmes, DF&lt;/author&gt;&lt;author&gt;Jarvik, JG&lt;/author&gt;&lt;/authors&gt;&lt;/contributors&gt;&lt;titles&gt;&lt;title&gt;Systematic Literature Review of Imaging Features of Spinal Degeneration in Asymptomatic Populations&lt;/title&gt;&lt;secondary-title&gt;American Journal of Neuroradiology April 2015, &lt;/secondary-title&gt;&lt;/titles&gt;&lt;pages&gt;811-816&lt;/pages&gt;&lt;volume&gt;36&lt;/volume&gt;&lt;number&gt;4&lt;/number&gt;&lt;dates&gt;&lt;year&gt;2015&lt;/year&gt;&lt;pub-dates&gt;&lt;date&gt;April 2015&lt;/date&gt;&lt;/pub-dates&gt;&lt;/dates&gt;&lt;urls&gt;&lt;/urls&gt;&lt;electronic-resource-num&gt;http://dx.doi.org/10.3174/ajnr.A4173&lt;/electronic-resource-num&gt;&lt;/record&gt;&lt;/Cite&gt;&lt;/EndNote&gt;</w:instrText>
      </w:r>
      <w:r w:rsidR="00056507">
        <w:rPr>
          <w:sz w:val="20"/>
          <w:szCs w:val="20"/>
        </w:rPr>
        <w:fldChar w:fldCharType="separate"/>
      </w:r>
      <w:r w:rsidR="00056507">
        <w:rPr>
          <w:noProof/>
          <w:sz w:val="20"/>
          <w:szCs w:val="20"/>
        </w:rPr>
        <w:t>[1]</w:t>
      </w:r>
      <w:r w:rsidR="00056507">
        <w:rPr>
          <w:sz w:val="20"/>
          <w:szCs w:val="20"/>
        </w:rPr>
        <w:fldChar w:fldCharType="end"/>
      </w:r>
      <w:r w:rsidRPr="00066A6D">
        <w:rPr>
          <w:sz w:val="20"/>
          <w:szCs w:val="20"/>
        </w:rPr>
        <w:t xml:space="preserve">. </w:t>
      </w:r>
    </w:p>
    <w:p w14:paraId="0DE78C02" w14:textId="77777777" w:rsidR="005F52C9" w:rsidRPr="00066A6D" w:rsidRDefault="005F52C9" w:rsidP="00066A6D">
      <w:pPr>
        <w:autoSpaceDE w:val="0"/>
        <w:autoSpaceDN w:val="0"/>
        <w:adjustRightInd w:val="0"/>
        <w:spacing w:line="360" w:lineRule="auto"/>
        <w:rPr>
          <w:sz w:val="20"/>
          <w:szCs w:val="20"/>
        </w:rPr>
      </w:pPr>
    </w:p>
    <w:p w14:paraId="06F2EB31" w14:textId="1836AA47" w:rsidR="005F52C9" w:rsidRPr="00066A6D" w:rsidRDefault="005F52C9" w:rsidP="00066A6D">
      <w:pPr>
        <w:autoSpaceDE w:val="0"/>
        <w:autoSpaceDN w:val="0"/>
        <w:adjustRightInd w:val="0"/>
        <w:spacing w:line="360" w:lineRule="auto"/>
        <w:rPr>
          <w:sz w:val="20"/>
          <w:szCs w:val="20"/>
        </w:rPr>
      </w:pPr>
      <w:r w:rsidRPr="00066A6D">
        <w:rPr>
          <w:sz w:val="20"/>
          <w:szCs w:val="20"/>
        </w:rPr>
        <w:t xml:space="preserve">It is our view that automated image annotation overcomes most of these biases. SpineNet standardises the grading systems. It reflects the annotations of a single expert Professor of Radiology whose validation was an effectively masked internal control of 121 repeat presentations of randomly selected studies to annotate months after the original annotation without knowledge that he had seen them already. SpineNet takes ~5 seconds to analyse each spine image fully, compared to 30-40 minutes for manual analysis in the Genodisc training set, making re-annotation of large groups feasible.  It took Prof. McCall 2 years to annotate the full dataset and random repeats. SpineNet provides a report giving Pfirrmann gradings </w:t>
      </w:r>
      <w:r w:rsidR="00056507">
        <w:rPr>
          <w:sz w:val="20"/>
          <w:szCs w:val="20"/>
        </w:rPr>
        <w:fldChar w:fldCharType="begin"/>
      </w:r>
      <w:r w:rsidR="00056507">
        <w:rPr>
          <w:sz w:val="20"/>
          <w:szCs w:val="20"/>
        </w:rPr>
        <w:instrText xml:space="preserve"> ADDIN EN.CITE &lt;EndNote&gt;&lt;Cite&gt;&lt;Author&gt;Jamaludin&lt;/Author&gt;&lt;Year&gt;2017&lt;/Year&gt;&lt;RecNum&gt;2085&lt;/RecNum&gt;&lt;DisplayText&gt;[2]&lt;/DisplayText&gt;&lt;record&gt;&lt;rec-number&gt;2085&lt;/rec-number&gt;&lt;foreign-keys&gt;&lt;key app="EN" db-id="wxzvzaat9pdzf7efw27xawzq9fptedv5fvax" timestamp="1670346836"&gt;2085&lt;/key&gt;&lt;/foreign-keys&gt;&lt;ref-type name="Journal Article"&gt;17&lt;/ref-type&gt;&lt;contributors&gt;&lt;authors&gt;&lt;author&gt;Jamaludin, Amir&lt;/author&gt;&lt;author&gt;Lootus, Meelis&lt;/author&gt;&lt;author&gt;Kadir, Timor&lt;/author&gt;&lt;author&gt;Zisserman, Andrew&lt;/author&gt;&lt;author&gt;Urban, Jill&lt;/author&gt;&lt;author&gt;Battié, Michele C.&lt;/author&gt;&lt;author&gt;Fairbank, Jeremy&lt;/author&gt;&lt;author&gt;McCall, Iain&lt;/author&gt;&lt;author&gt;The Genodisc, Consortium&lt;/author&gt;&lt;/authors&gt;&lt;/contributors&gt;&lt;titles&gt;&lt;title&gt;ISSLS PRIZE IN BIOENGINEERING SCIENCE 2017: Automation of reading of radiological features from magnetic resonance images (MRIs) of the lumbar spine without human intervention is comparable with an expert radiologist&lt;/title&gt;&lt;secondary-title&gt;European Spine Journal&lt;/secondary-title&gt;&lt;/titles&gt;&lt;periodical&gt;&lt;full-title&gt;European Spine Journal&lt;/full-title&gt;&lt;/periodical&gt;&lt;pages&gt;1374-1383&lt;/pages&gt;&lt;volume&gt;26&lt;/volume&gt;&lt;number&gt;5&lt;/number&gt;&lt;dates&gt;&lt;year&gt;2017&lt;/year&gt;&lt;pub-dates&gt;&lt;date&gt;2017/05/01&lt;/date&gt;&lt;/pub-dates&gt;&lt;/dates&gt;&lt;isbn&gt;1432-0932&lt;/isbn&gt;&lt;urls&gt;&lt;related-urls&gt;&lt;url&gt;https://doi.org/10.1007/s00586-017-4956-3&lt;/url&gt;&lt;/related-urls&gt;&lt;/urls&gt;&lt;electronic-resource-num&gt;10.1007/s00586-017-4956-3&lt;/electronic-resource-num&gt;&lt;/record&gt;&lt;/Cite&gt;&lt;/EndNote&gt;</w:instrText>
      </w:r>
      <w:r w:rsidR="00056507">
        <w:rPr>
          <w:sz w:val="20"/>
          <w:szCs w:val="20"/>
        </w:rPr>
        <w:fldChar w:fldCharType="separate"/>
      </w:r>
      <w:r w:rsidR="00056507">
        <w:rPr>
          <w:noProof/>
          <w:sz w:val="20"/>
          <w:szCs w:val="20"/>
        </w:rPr>
        <w:t>[2]</w:t>
      </w:r>
      <w:r w:rsidR="00056507">
        <w:rPr>
          <w:sz w:val="20"/>
          <w:szCs w:val="20"/>
        </w:rPr>
        <w:fldChar w:fldCharType="end"/>
      </w:r>
      <w:r w:rsidRPr="00066A6D">
        <w:rPr>
          <w:sz w:val="20"/>
          <w:szCs w:val="20"/>
        </w:rPr>
        <w:t xml:space="preserve"> and scores other degenerative features (</w:t>
      </w:r>
      <w:hyperlink r:id="rId7" w:history="1">
        <w:r w:rsidRPr="00066A6D">
          <w:rPr>
            <w:rStyle w:val="Hyperlink"/>
            <w:sz w:val="20"/>
            <w:szCs w:val="20"/>
          </w:rPr>
          <w:t>https://zeus.robots.ox.ac.uk/spinenet2/</w:t>
        </w:r>
      </w:hyperlink>
      <w:r w:rsidRPr="00066A6D">
        <w:rPr>
          <w:sz w:val="20"/>
          <w:szCs w:val="20"/>
        </w:rPr>
        <w:t>).</w:t>
      </w:r>
    </w:p>
    <w:p w14:paraId="30356EB3" w14:textId="77777777" w:rsidR="005F52C9" w:rsidRPr="00066A6D" w:rsidRDefault="005F52C9" w:rsidP="00066A6D">
      <w:pPr>
        <w:autoSpaceDE w:val="0"/>
        <w:autoSpaceDN w:val="0"/>
        <w:adjustRightInd w:val="0"/>
        <w:spacing w:line="360" w:lineRule="auto"/>
        <w:rPr>
          <w:sz w:val="20"/>
          <w:szCs w:val="20"/>
        </w:rPr>
      </w:pPr>
    </w:p>
    <w:p w14:paraId="28B7F01E" w14:textId="6E092F83" w:rsidR="000D5E8D" w:rsidRPr="00066A6D" w:rsidRDefault="005F52C9" w:rsidP="00066A6D">
      <w:pPr>
        <w:spacing w:line="360" w:lineRule="auto"/>
        <w:rPr>
          <w:sz w:val="20"/>
          <w:szCs w:val="20"/>
        </w:rPr>
      </w:pPr>
      <w:r w:rsidRPr="00066A6D">
        <w:rPr>
          <w:sz w:val="20"/>
          <w:szCs w:val="20"/>
        </w:rPr>
        <w:t>SpineNet has not been found wanting in a number of different validation studies using various methodologies</w:t>
      </w:r>
      <w:r w:rsidR="00CC4748">
        <w:rPr>
          <w:sz w:val="20"/>
          <w:szCs w:val="20"/>
        </w:rPr>
        <w:t>,</w:t>
      </w:r>
      <w:r w:rsidRPr="00066A6D">
        <w:rPr>
          <w:sz w:val="20"/>
          <w:szCs w:val="20"/>
        </w:rPr>
        <w:t xml:space="preserve"> achieving 91% agreement with the original training dataset </w:t>
      </w:r>
      <w:r w:rsidR="00056507">
        <w:rPr>
          <w:sz w:val="20"/>
          <w:szCs w:val="20"/>
        </w:rPr>
        <w:fldChar w:fldCharType="begin"/>
      </w:r>
      <w:r w:rsidR="00056507">
        <w:rPr>
          <w:sz w:val="20"/>
          <w:szCs w:val="20"/>
        </w:rPr>
        <w:instrText xml:space="preserve"> ADDIN EN.CITE &lt;EndNote&gt;&lt;Cite&gt;&lt;Author&gt;Jamaludin&lt;/Author&gt;&lt;Year&gt;2017&lt;/Year&gt;&lt;RecNum&gt;2085&lt;/RecNum&gt;&lt;DisplayText&gt;[2]&lt;/DisplayText&gt;&lt;record&gt;&lt;rec-number&gt;2085&lt;/rec-number&gt;&lt;foreign-keys&gt;&lt;key app="EN" db-id="wxzvzaat9pdzf7efw27xawzq9fptedv5fvax" timestamp="1670346836"&gt;2085&lt;/key&gt;&lt;/foreign-keys&gt;&lt;ref-type name="Journal Article"&gt;17&lt;/ref-type&gt;&lt;contributors&gt;&lt;authors&gt;&lt;author&gt;Jamaludin, Amir&lt;/author&gt;&lt;author&gt;Lootus, Meelis&lt;/author&gt;&lt;author&gt;Kadir, Timor&lt;/author&gt;&lt;author&gt;Zisserman, Andrew&lt;/author&gt;&lt;author&gt;Urban, Jill&lt;/author&gt;&lt;author&gt;Battié, Michele C.&lt;/author&gt;&lt;author&gt;Fairbank, Jeremy&lt;/author&gt;&lt;author&gt;McCall, Iain&lt;/author&gt;&lt;author&gt;The Genodisc, Consortium&lt;/author&gt;&lt;/authors&gt;&lt;/contributors&gt;&lt;titles&gt;&lt;title&gt;ISSLS PRIZE IN BIOENGINEERING SCIENCE 2017: Automation of reading of radiological features from magnetic resonance images (MRIs) of the lumbar spine without human intervention is comparable with an expert radiologist&lt;/title&gt;&lt;secondary-title&gt;European Spine Journal&lt;/secondary-title&gt;&lt;/titles&gt;&lt;periodical&gt;&lt;full-title&gt;European Spine Journal&lt;/full-title&gt;&lt;/periodical&gt;&lt;pages&gt;1374-1383&lt;/pages&gt;&lt;volume&gt;26&lt;/volume&gt;&lt;number&gt;5&lt;/number&gt;&lt;dates&gt;&lt;year&gt;2017&lt;/year&gt;&lt;pub-dates&gt;&lt;date&gt;2017/05/01&lt;/date&gt;&lt;/pub-dates&gt;&lt;/dates&gt;&lt;isbn&gt;1432-0932&lt;/isbn&gt;&lt;urls&gt;&lt;related-urls&gt;&lt;url&gt;https://doi.org/10.1007/s00586-017-4956-3&lt;/url&gt;&lt;/related-urls&gt;&lt;/urls&gt;&lt;electronic-resource-num&gt;10.1007/s00586-017-4956-3&lt;/electronic-resource-num&gt;&lt;/record&gt;&lt;/Cite&gt;&lt;/EndNote&gt;</w:instrText>
      </w:r>
      <w:r w:rsidR="00056507">
        <w:rPr>
          <w:sz w:val="20"/>
          <w:szCs w:val="20"/>
        </w:rPr>
        <w:fldChar w:fldCharType="separate"/>
      </w:r>
      <w:r w:rsidR="00056507">
        <w:rPr>
          <w:noProof/>
          <w:sz w:val="20"/>
          <w:szCs w:val="20"/>
        </w:rPr>
        <w:t>[2]</w:t>
      </w:r>
      <w:r w:rsidR="00056507">
        <w:rPr>
          <w:sz w:val="20"/>
          <w:szCs w:val="20"/>
        </w:rPr>
        <w:fldChar w:fldCharType="end"/>
      </w:r>
      <w:r w:rsidRPr="00066A6D">
        <w:rPr>
          <w:sz w:val="20"/>
          <w:szCs w:val="20"/>
        </w:rPr>
        <w:t xml:space="preserve">. We and others have validated SpineNet in other settings: We compared SpineNet with a Japanese annotator (who was part of the Wakayama group). Agreement was 70%. We then retrained SpineNet on Wakayama material and agreement between this modified SpineNet and the original annotation was 91% </w:t>
      </w:r>
      <w:r w:rsidR="00056507">
        <w:rPr>
          <w:sz w:val="20"/>
          <w:szCs w:val="20"/>
        </w:rPr>
        <w:fldChar w:fldCharType="begin"/>
      </w:r>
      <w:r w:rsidR="00056507">
        <w:rPr>
          <w:sz w:val="20"/>
          <w:szCs w:val="20"/>
        </w:rPr>
        <w:instrText xml:space="preserve"> ADDIN EN.CITE &lt;EndNote&gt;&lt;Cite&gt;&lt;Author&gt;Ishimoto&lt;/Author&gt;&lt;Year&gt;2020&lt;/Year&gt;&lt;RecNum&gt;2076&lt;/RecNum&gt;&lt;DisplayText&gt;[3]&lt;/DisplayText&gt;&lt;record&gt;&lt;rec-number&gt;2076&lt;/rec-number&gt;&lt;foreign-keys&gt;&lt;key app="EN" db-id="wxzvzaat9pdzf7efw27xawzq9fptedv5fvax" timestamp="1669467209"&gt;2076&lt;/key&gt;&lt;/foreign-keys&gt;&lt;ref-type name="Journal Article"&gt;17&lt;/ref-type&gt;&lt;contributors&gt;&lt;authors&gt;&lt;author&gt;Ishimoto, Y&lt;/author&gt;&lt;author&gt;Jamaludin, A&lt;/author&gt;&lt;author&gt;Cooper, C&lt;/author&gt;&lt;author&gt;Walker-Bone, K&lt;/author&gt;&lt;author&gt;Yamada, H&lt;/author&gt;&lt;author&gt;Hashizume, H&lt;/author&gt;&lt;author&gt;Oka, H&lt;/author&gt;&lt;author&gt;Tanaka, S&lt;/author&gt;&lt;author&gt;Yoshimura, N&lt;/author&gt;&lt;author&gt;Yoshida, M&lt;/author&gt;&lt;author&gt;Urban, J&lt;/author&gt;&lt;author&gt;Kadir, T&lt;/author&gt;&lt;author&gt;Fairbank, J&lt;/author&gt;&lt;/authors&gt;&lt;/contributors&gt;&lt;titles&gt;&lt;title&gt;Could automated machine-learned MRI grading aid epidemiological studies of lumbar spinal stenosis? Validation within the Wakayama spine study&lt;/title&gt;&lt;secondary-title&gt;BMC Musculoskeletal Disorders&lt;/secondary-title&gt;&lt;/titles&gt;&lt;periodical&gt;&lt;full-title&gt;BMC Musculoskeletal Disorders&lt;/full-title&gt;&lt;/periodical&gt;&lt;pages&gt;158&lt;/pages&gt;&lt;volume&gt;21&lt;/volume&gt;&lt;dates&gt;&lt;year&gt;2020&lt;/year&gt;&lt;/dates&gt;&lt;urls&gt;&lt;/urls&gt;&lt;electronic-resource-num&gt;https://doi.org/10.1186/s12891-020-3164-1&lt;/electronic-resource-num&gt;&lt;/record&gt;&lt;/Cite&gt;&lt;/EndNote&gt;</w:instrText>
      </w:r>
      <w:r w:rsidR="00056507">
        <w:rPr>
          <w:sz w:val="20"/>
          <w:szCs w:val="20"/>
        </w:rPr>
        <w:fldChar w:fldCharType="separate"/>
      </w:r>
      <w:r w:rsidR="00056507">
        <w:rPr>
          <w:noProof/>
          <w:sz w:val="20"/>
          <w:szCs w:val="20"/>
        </w:rPr>
        <w:t>[3]</w:t>
      </w:r>
      <w:r w:rsidR="00056507">
        <w:rPr>
          <w:sz w:val="20"/>
          <w:szCs w:val="20"/>
        </w:rPr>
        <w:fldChar w:fldCharType="end"/>
      </w:r>
      <w:r w:rsidRPr="00066A6D">
        <w:rPr>
          <w:sz w:val="20"/>
          <w:szCs w:val="20"/>
        </w:rPr>
        <w:t xml:space="preserve">. Investigators in Wake Forest compared SpineNet annotation of spinal stenosis with the level chosen for spinal decompressive surgery </w:t>
      </w:r>
      <w:r w:rsidR="00056507">
        <w:rPr>
          <w:sz w:val="20"/>
          <w:szCs w:val="20"/>
        </w:rPr>
        <w:fldChar w:fldCharType="begin"/>
      </w:r>
      <w:r w:rsidR="00056507">
        <w:rPr>
          <w:sz w:val="20"/>
          <w:szCs w:val="20"/>
        </w:rPr>
        <w:instrText xml:space="preserve"> ADDIN EN.CITE &lt;EndNote&gt;&lt;Cite&gt;&lt;Author&gt;Roller&lt;/Author&gt;&lt;Year&gt;2021&lt;/Year&gt;&lt;RecNum&gt;2075&lt;/RecNum&gt;&lt;DisplayText&gt;[4]&lt;/DisplayText&gt;&lt;record&gt;&lt;rec-number&gt;2075&lt;/rec-number&gt;&lt;foreign-keys&gt;&lt;key app="EN" db-id="wxzvzaat9pdzf7efw27xawzq9fptedv5fvax" timestamp="1669466550"&gt;2075&lt;/key&gt;&lt;/foreign-keys&gt;&lt;ref-type name="Journal Article"&gt;17&lt;/ref-type&gt;&lt;contributors&gt;&lt;authors&gt;&lt;author&gt;Roller, BL&lt;/author&gt;&lt;author&gt;Boutin, RD&lt;/author&gt;&lt;author&gt;O&amp;apos;Gara, TJ&lt;/author&gt;&lt;author&gt;Knio, ZO&lt;/author&gt;&lt;author&gt;Jamaludin, A&lt;/author&gt;&lt;author&gt;Tan, J&lt;/author&gt;&lt;author&gt;Lenchik, L&lt;/author&gt;&lt;/authors&gt;&lt;/contributors&gt;&lt;titles&gt;&lt;title&gt;Accurate prediction of lumbar microdecompression level with an automated MRI grading system&lt;/title&gt;&lt;secondary-title&gt;Skeletal Radiol.&lt;/secondary-title&gt;&lt;/titles&gt;&lt;periodical&gt;&lt;full-title&gt;Skeletal Radiol.&lt;/full-title&gt;&lt;/periodical&gt;&lt;pages&gt;69-78&lt;/pages&gt;&lt;volume&gt;50&lt;/volume&gt;&lt;number&gt;1&lt;/number&gt;&lt;dates&gt;&lt;year&gt;2021&lt;/year&gt;&lt;pub-dates&gt;&lt;date&gt;January 2021&lt;/date&gt;&lt;/pub-dates&gt;&lt;/dates&gt;&lt;urls&gt;&lt;/urls&gt;&lt;custom2&gt;PMID: 32607805  &lt;/custom2&gt;&lt;electronic-resource-num&gt;DOI: 10.1007/s00256-020-03505-w&lt;/electronic-resource-num&gt;&lt;/record&gt;&lt;/Cite&gt;&lt;/EndNote&gt;</w:instrText>
      </w:r>
      <w:r w:rsidR="00056507">
        <w:rPr>
          <w:sz w:val="20"/>
          <w:szCs w:val="20"/>
        </w:rPr>
        <w:fldChar w:fldCharType="separate"/>
      </w:r>
      <w:r w:rsidR="00056507">
        <w:rPr>
          <w:noProof/>
          <w:sz w:val="20"/>
          <w:szCs w:val="20"/>
        </w:rPr>
        <w:t>[4]</w:t>
      </w:r>
      <w:r w:rsidR="00056507">
        <w:rPr>
          <w:sz w:val="20"/>
          <w:szCs w:val="20"/>
        </w:rPr>
        <w:fldChar w:fldCharType="end"/>
      </w:r>
      <w:r w:rsidR="000D5E8D" w:rsidRPr="00066A6D">
        <w:rPr>
          <w:sz w:val="20"/>
          <w:szCs w:val="20"/>
        </w:rPr>
        <w:t>.</w:t>
      </w:r>
      <w:r w:rsidRPr="00066A6D">
        <w:rPr>
          <w:sz w:val="20"/>
          <w:szCs w:val="20"/>
        </w:rPr>
        <w:t xml:space="preserve"> In another study a dataset annotated in Zurich was used to validate SpineNet annotation, concluding </w:t>
      </w:r>
      <w:r w:rsidRPr="00066A6D">
        <w:rPr>
          <w:color w:val="000000"/>
          <w:sz w:val="20"/>
          <w:szCs w:val="20"/>
          <w:lang w:eastAsia="ja-JP"/>
        </w:rPr>
        <w:t>SpineNet is a valuable alternative for analysing MRIs from large cohorts for d</w:t>
      </w:r>
      <w:r w:rsidR="000D5E8D" w:rsidRPr="00066A6D">
        <w:rPr>
          <w:color w:val="000000"/>
          <w:sz w:val="20"/>
          <w:szCs w:val="20"/>
          <w:lang w:eastAsia="ja-JP"/>
        </w:rPr>
        <w:t>iagnostic and research purposes</w:t>
      </w:r>
      <w:r w:rsidRPr="00066A6D">
        <w:rPr>
          <w:color w:val="000000"/>
          <w:sz w:val="20"/>
          <w:szCs w:val="20"/>
          <w:lang w:eastAsia="ja-JP"/>
        </w:rPr>
        <w:t xml:space="preserve"> </w:t>
      </w:r>
      <w:r w:rsidR="00056507">
        <w:rPr>
          <w:color w:val="000000"/>
          <w:sz w:val="20"/>
          <w:szCs w:val="20"/>
          <w:lang w:eastAsia="ja-JP"/>
        </w:rPr>
        <w:fldChar w:fldCharType="begin"/>
      </w:r>
      <w:r w:rsidR="00056507">
        <w:rPr>
          <w:color w:val="000000"/>
          <w:sz w:val="20"/>
          <w:szCs w:val="20"/>
          <w:lang w:eastAsia="ja-JP"/>
        </w:rPr>
        <w:instrText xml:space="preserve"> ADDIN EN.CITE &lt;EndNote&gt;&lt;Cite&gt;&lt;Author&gt;Grob&lt;/Author&gt;&lt;Year&gt;2022&lt;/Year&gt;&lt;RecNum&gt;2060&lt;/RecNum&gt;&lt;DisplayText&gt;[5]&lt;/DisplayText&gt;&lt;record&gt;&lt;rec-number&gt;2060&lt;/rec-number&gt;&lt;foreign-keys&gt;&lt;key app="EN" db-id="wxzvzaat9pdzf7efw27xawzq9fptedv5fvax" timestamp="1666174620"&gt;2060&lt;/key&gt;&lt;/foreign-keys&gt;&lt;ref-type name="Journal Article"&gt;17&lt;/ref-type&gt;&lt;contributors&gt;&lt;authors&gt;&lt;author&gt;Grob, A&lt;/author&gt;&lt;author&gt;Loibl, M&lt;/author&gt;&lt;author&gt;Jamaludin, A&lt;/author&gt;&lt;author&gt;Winklhofer, S&lt;/author&gt;&lt;author&gt;Fairbank, JCT&lt;/author&gt;&lt;author&gt;Fekete, T&lt;/author&gt;&lt;author&gt;Porchet, F&lt;/author&gt;&lt;author&gt;Mannion, AF&lt;/author&gt;&lt;/authors&gt;&lt;/contributors&gt;&lt;titles&gt;&lt;title&gt;External validation of the deep learning system “SpineNet” for grading radiological features of degeneration on MRIs of the lumbar spine&lt;/title&gt;&lt;secondary-title&gt;European Spine Journal (2022) 31:&lt;/secondary-title&gt;&lt;/titles&gt;&lt;periodical&gt;&lt;full-title&gt;European Spine Journal (2022) 31:&lt;/full-title&gt;&lt;/periodical&gt;&lt;pages&gt;2137–2148&lt;/pages&gt;&lt;volume&gt;31&lt;/volume&gt;&lt;keywords&gt;&lt;keyword&gt;Degenerative spinal disorders · Diagnostic imaging · Inter-rater agreement · Automated software · Machine&lt;/keyword&gt;&lt;keyword&gt;learning · Disc degeneration&lt;/keyword&gt;&lt;/keywords&gt;&lt;dates&gt;&lt;year&gt;2022&lt;/year&gt;&lt;/dates&gt;&lt;urls&gt;&lt;/urls&gt;&lt;electronic-resource-num&gt;https://doi.org/10.1007/s00586-022-07311-x&lt;/electronic-resource-num&gt;&lt;/record&gt;&lt;/Cite&gt;&lt;/EndNote&gt;</w:instrText>
      </w:r>
      <w:r w:rsidR="00056507">
        <w:rPr>
          <w:color w:val="000000"/>
          <w:sz w:val="20"/>
          <w:szCs w:val="20"/>
          <w:lang w:eastAsia="ja-JP"/>
        </w:rPr>
        <w:fldChar w:fldCharType="separate"/>
      </w:r>
      <w:r w:rsidR="00056507">
        <w:rPr>
          <w:noProof/>
          <w:color w:val="000000"/>
          <w:sz w:val="20"/>
          <w:szCs w:val="20"/>
          <w:lang w:eastAsia="ja-JP"/>
        </w:rPr>
        <w:t>[5]</w:t>
      </w:r>
      <w:r w:rsidR="00056507">
        <w:rPr>
          <w:color w:val="000000"/>
          <w:sz w:val="20"/>
          <w:szCs w:val="20"/>
          <w:lang w:eastAsia="ja-JP"/>
        </w:rPr>
        <w:fldChar w:fldCharType="end"/>
      </w:r>
      <w:r w:rsidRPr="00066A6D">
        <w:rPr>
          <w:sz w:val="20"/>
          <w:szCs w:val="20"/>
        </w:rPr>
        <w:t xml:space="preserve">. A study from Finland applied SpineNet to an existing human annotated population cohort, concluding: ‘SpineNet demonstrates acceptable performance in external validation for lumbar disc degeneration MRI grading in spite of multiple challenges facing the generalisability of a Deep </w:t>
      </w:r>
      <w:r w:rsidR="000D5E8D" w:rsidRPr="00066A6D">
        <w:rPr>
          <w:sz w:val="20"/>
          <w:szCs w:val="20"/>
        </w:rPr>
        <w:t>Learning model in this context’</w:t>
      </w:r>
      <w:r w:rsidRPr="00066A6D">
        <w:rPr>
          <w:sz w:val="20"/>
          <w:szCs w:val="20"/>
        </w:rPr>
        <w:t xml:space="preserve"> </w:t>
      </w:r>
      <w:r w:rsidR="00056507">
        <w:rPr>
          <w:color w:val="000000"/>
          <w:sz w:val="20"/>
          <w:szCs w:val="20"/>
          <w:lang w:eastAsia="ja-JP"/>
        </w:rPr>
        <w:fldChar w:fldCharType="begin"/>
      </w:r>
      <w:r w:rsidR="00056507">
        <w:rPr>
          <w:color w:val="000000"/>
          <w:sz w:val="20"/>
          <w:szCs w:val="20"/>
          <w:lang w:eastAsia="ja-JP"/>
        </w:rPr>
        <w:instrText xml:space="preserve"> ADDIN EN.CITE &lt;EndNote&gt;&lt;Cite&gt;&lt;Author&gt;McSweeney&lt;/Author&gt;&lt;Year&gt;2022&lt;/Year&gt;&lt;RecNum&gt;2078&lt;/RecNum&gt;&lt;DisplayText&gt;[6]&lt;/DisplayText&gt;&lt;record&gt;&lt;rec-number&gt;2078&lt;/rec-number&gt;&lt;foreign-keys&gt;&lt;key app="EN" db-id="wxzvzaat9pdzf7efw27xawzq9fptedv5fvax" timestamp="1669809447"&gt;2078&lt;/key&gt;&lt;/foreign-keys&gt;&lt;ref-type name="Journal Article"&gt;17&lt;/ref-type&gt;&lt;contributors&gt;&lt;authors&gt;&lt;author&gt;McSweeney, T. P.&lt;/author&gt;&lt;author&gt;Saarakkala, S.&lt;/author&gt;&lt;author&gt;Tiulpin, A.&lt;/author&gt;&lt;author&gt;Jamaludin, A.&lt;/author&gt;&lt;author&gt;Kadir, T.&lt;/author&gt;&lt;author&gt;Niinimäki, J.&lt;/author&gt;&lt;author&gt;Karppinen, J.&lt;/author&gt;&lt;author&gt;Määttä, J.&lt;/author&gt;&lt;/authors&gt;&lt;/contributors&gt;&lt;titles&gt;&lt;title&gt;External validation of SpineNet, a deep learning model for automated grading of lumbar disc degeneration MRI features, using the Northern Finland Birth Cohort&lt;/title&gt;&lt;secondary-title&gt;Osteoarthritis and Cartilage&lt;/secondary-title&gt;&lt;/titles&gt;&lt;periodical&gt;&lt;full-title&gt;Osteoarthritis and Cartilage&lt;/full-title&gt;&lt;/periodical&gt;&lt;pages&gt;S86&lt;/pages&gt;&lt;volume&gt;30&lt;/volume&gt;&lt;dates&gt;&lt;year&gt;2022&lt;/year&gt;&lt;pub-dates&gt;&lt;date&gt;2022/04/01/&lt;/date&gt;&lt;/pub-dates&gt;&lt;/dates&gt;&lt;isbn&gt;1063-4584&lt;/isbn&gt;&lt;urls&gt;&lt;related-urls&gt;&lt;url&gt;https://www.sciencedirect.com/science/article/pii/S1063458422001406&lt;/url&gt;&lt;/related-urls&gt;&lt;/urls&gt;&lt;electronic-resource-num&gt;https://doi.org/10.1016/j.joca.2022.02.106&lt;/electronic-resource-num&gt;&lt;/record&gt;&lt;/Cite&gt;&lt;/EndNote&gt;</w:instrText>
      </w:r>
      <w:r w:rsidR="00056507">
        <w:rPr>
          <w:color w:val="000000"/>
          <w:sz w:val="20"/>
          <w:szCs w:val="20"/>
          <w:lang w:eastAsia="ja-JP"/>
        </w:rPr>
        <w:fldChar w:fldCharType="separate"/>
      </w:r>
      <w:r w:rsidR="00056507">
        <w:rPr>
          <w:noProof/>
          <w:color w:val="000000"/>
          <w:sz w:val="20"/>
          <w:szCs w:val="20"/>
          <w:lang w:eastAsia="ja-JP"/>
        </w:rPr>
        <w:t>[6]</w:t>
      </w:r>
      <w:r w:rsidR="00056507">
        <w:rPr>
          <w:color w:val="000000"/>
          <w:sz w:val="20"/>
          <w:szCs w:val="20"/>
          <w:lang w:eastAsia="ja-JP"/>
        </w:rPr>
        <w:fldChar w:fldCharType="end"/>
      </w:r>
      <w:r w:rsidR="000D5E8D" w:rsidRPr="00066A6D">
        <w:rPr>
          <w:color w:val="000000"/>
          <w:sz w:val="20"/>
          <w:szCs w:val="20"/>
          <w:lang w:eastAsia="ja-JP"/>
        </w:rPr>
        <w:t>.</w:t>
      </w:r>
      <w:r w:rsidRPr="00066A6D">
        <w:rPr>
          <w:sz w:val="20"/>
          <w:szCs w:val="20"/>
        </w:rPr>
        <w:t xml:space="preserve"> </w:t>
      </w:r>
    </w:p>
    <w:p w14:paraId="2621953D" w14:textId="77777777" w:rsidR="000C2E52" w:rsidRPr="00066A6D" w:rsidRDefault="000C2E52" w:rsidP="00066A6D">
      <w:pPr>
        <w:widowControl w:val="0"/>
        <w:autoSpaceDE w:val="0"/>
        <w:autoSpaceDN w:val="0"/>
        <w:adjustRightInd w:val="0"/>
        <w:spacing w:line="360" w:lineRule="auto"/>
        <w:rPr>
          <w:b/>
          <w:sz w:val="20"/>
          <w:szCs w:val="20"/>
        </w:rPr>
      </w:pPr>
    </w:p>
    <w:p w14:paraId="71671435" w14:textId="7E2C0477" w:rsidR="000C2E52" w:rsidRPr="00C635FA" w:rsidRDefault="000C2E52" w:rsidP="00D70228">
      <w:pPr>
        <w:autoSpaceDE w:val="0"/>
        <w:autoSpaceDN w:val="0"/>
        <w:adjustRightInd w:val="0"/>
        <w:spacing w:line="360" w:lineRule="auto"/>
        <w:rPr>
          <w:sz w:val="20"/>
          <w:szCs w:val="20"/>
        </w:rPr>
      </w:pPr>
      <w:r w:rsidRPr="00066A6D">
        <w:rPr>
          <w:sz w:val="20"/>
          <w:szCs w:val="20"/>
        </w:rPr>
        <w:t xml:space="preserve">Spinal MRIs are widely used in clinical practice but do not intrinsically deliver diagnoses. The scan must be interpreted by annotation, and this process is flawed in terms of consistency and low-quality evidence. Grading systems abound but are generally published in journals. Human annotation demands interpreting images either on paper or by digital transfer to other media and then subject to human interpretation and comparison </w:t>
      </w:r>
      <w:r w:rsidR="00554FFC" w:rsidRPr="00066A6D">
        <w:rPr>
          <w:sz w:val="20"/>
          <w:szCs w:val="20"/>
        </w:rPr>
        <w:t>with</w:t>
      </w:r>
      <w:r w:rsidRPr="00066A6D">
        <w:rPr>
          <w:sz w:val="20"/>
          <w:szCs w:val="20"/>
        </w:rPr>
        <w:t xml:space="preserve"> </w:t>
      </w:r>
      <w:r w:rsidRPr="00066A6D">
        <w:rPr>
          <w:sz w:val="20"/>
          <w:szCs w:val="20"/>
        </w:rPr>
        <w:lastRenderedPageBreak/>
        <w:t xml:space="preserve">digital images on screen. Unsurprisingly, errors accumulate during this process. One method to try to overcome this is to use multiple observers. Unfortunately, this tends to exacerbate the problem. The Brinjikji systematic review found in lumbar spine MRI that multiple annotations showed ‘moderate at best’ correlations between observers (~70% agreement). This problem is exacerbated in large datasets when human observers are subject to fatigue and inconsistency, and it is probably impossible to use this method in very large datasets with any hope </w:t>
      </w:r>
      <w:r w:rsidRPr="00C635FA">
        <w:rPr>
          <w:sz w:val="20"/>
          <w:szCs w:val="20"/>
        </w:rPr>
        <w:t xml:space="preserve">of obtaining a valid result in a reasonable space of time. </w:t>
      </w:r>
      <w:r w:rsidR="00C423EF">
        <w:rPr>
          <w:sz w:val="20"/>
          <w:szCs w:val="20"/>
        </w:rPr>
        <w:t>(</w:t>
      </w:r>
      <w:r w:rsidR="00D70228">
        <w:rPr>
          <w:sz w:val="20"/>
          <w:szCs w:val="20"/>
        </w:rPr>
        <w:t>In Genodisc s</w:t>
      </w:r>
      <w:r w:rsidR="0048102A" w:rsidRPr="00C635FA">
        <w:rPr>
          <w:sz w:val="20"/>
          <w:szCs w:val="20"/>
        </w:rPr>
        <w:t>pinal images</w:t>
      </w:r>
      <w:r w:rsidRPr="00C635FA">
        <w:rPr>
          <w:sz w:val="20"/>
          <w:szCs w:val="20"/>
        </w:rPr>
        <w:t xml:space="preserve"> took 2 years to annotate manually</w:t>
      </w:r>
      <w:r w:rsidR="00D70228">
        <w:rPr>
          <w:sz w:val="20"/>
          <w:szCs w:val="20"/>
        </w:rPr>
        <w:t xml:space="preserve">. </w:t>
      </w:r>
      <w:r w:rsidR="00D70228">
        <w:rPr>
          <w:sz w:val="20"/>
          <w:szCs w:val="20"/>
        </w:rPr>
        <w:t>Iain McCall, Private Communication</w:t>
      </w:r>
      <w:r w:rsidR="00D70228">
        <w:rPr>
          <w:sz w:val="20"/>
          <w:szCs w:val="20"/>
        </w:rPr>
        <w:t>)</w:t>
      </w:r>
      <w:r w:rsidRPr="00C635FA">
        <w:rPr>
          <w:sz w:val="20"/>
          <w:szCs w:val="20"/>
        </w:rPr>
        <w:t>. This may well</w:t>
      </w:r>
      <w:r w:rsidR="00C635FA" w:rsidRPr="00C635FA">
        <w:rPr>
          <w:sz w:val="20"/>
          <w:szCs w:val="20"/>
        </w:rPr>
        <w:t xml:space="preserve"> be</w:t>
      </w:r>
      <w:r w:rsidRPr="00C635FA">
        <w:rPr>
          <w:sz w:val="20"/>
          <w:szCs w:val="20"/>
        </w:rPr>
        <w:t xml:space="preserve"> the reason why all the series in </w:t>
      </w:r>
      <w:proofErr w:type="spellStart"/>
      <w:r w:rsidRPr="00C635FA">
        <w:rPr>
          <w:sz w:val="20"/>
          <w:szCs w:val="20"/>
        </w:rPr>
        <w:t>Brinjikji’s</w:t>
      </w:r>
      <w:proofErr w:type="spellEnd"/>
      <w:r w:rsidRPr="00C635FA">
        <w:rPr>
          <w:sz w:val="20"/>
          <w:szCs w:val="20"/>
        </w:rPr>
        <w:t xml:space="preserve"> systematic review were small (no large cohorts in literature</w:t>
      </w:r>
      <w:r w:rsidR="00554FFC" w:rsidRPr="00C635FA">
        <w:rPr>
          <w:sz w:val="20"/>
          <w:szCs w:val="20"/>
        </w:rPr>
        <w:t xml:space="preserve"> </w:t>
      </w:r>
      <w:r w:rsidR="00C635FA" w:rsidRPr="00C635FA">
        <w:rPr>
          <w:sz w:val="20"/>
          <w:szCs w:val="20"/>
        </w:rPr>
        <w:t xml:space="preserve">were </w:t>
      </w:r>
      <w:r w:rsidR="00554FFC" w:rsidRPr="00C635FA">
        <w:rPr>
          <w:sz w:val="20"/>
          <w:szCs w:val="20"/>
        </w:rPr>
        <w:t>available in 2014.</w:t>
      </w:r>
      <w:r w:rsidR="00C635FA" w:rsidRPr="00C635FA">
        <w:rPr>
          <w:sz w:val="20"/>
          <w:szCs w:val="20"/>
        </w:rPr>
        <w:t>)</w:t>
      </w:r>
    </w:p>
    <w:p w14:paraId="4917E494" w14:textId="77777777" w:rsidR="00C635FA" w:rsidRPr="00C635FA" w:rsidRDefault="00C635FA" w:rsidP="00066A6D">
      <w:pPr>
        <w:autoSpaceDE w:val="0"/>
        <w:autoSpaceDN w:val="0"/>
        <w:adjustRightInd w:val="0"/>
        <w:spacing w:line="360" w:lineRule="auto"/>
        <w:rPr>
          <w:sz w:val="20"/>
          <w:szCs w:val="20"/>
        </w:rPr>
      </w:pPr>
    </w:p>
    <w:p w14:paraId="3FF49EEC" w14:textId="34A8E0DA" w:rsidR="00C956A4" w:rsidRPr="00066A6D" w:rsidRDefault="00C956A4" w:rsidP="00066A6D">
      <w:pPr>
        <w:autoSpaceDE w:val="0"/>
        <w:autoSpaceDN w:val="0"/>
        <w:adjustRightInd w:val="0"/>
        <w:spacing w:line="360" w:lineRule="auto"/>
        <w:rPr>
          <w:sz w:val="20"/>
          <w:szCs w:val="20"/>
        </w:rPr>
      </w:pPr>
      <w:r w:rsidRPr="00C635FA">
        <w:rPr>
          <w:sz w:val="20"/>
          <w:szCs w:val="20"/>
        </w:rPr>
        <w:t>Niemeyer et al (2021)</w:t>
      </w:r>
      <w:r w:rsidR="0048102A" w:rsidRPr="00C635FA">
        <w:t xml:space="preserve"> </w:t>
      </w:r>
      <w:r w:rsidR="00056507" w:rsidRPr="00C635FA">
        <w:rPr>
          <w:sz w:val="20"/>
          <w:szCs w:val="20"/>
        </w:rPr>
        <w:fldChar w:fldCharType="begin"/>
      </w:r>
      <w:r w:rsidR="00056507" w:rsidRPr="00C635FA">
        <w:rPr>
          <w:sz w:val="20"/>
          <w:szCs w:val="20"/>
        </w:rPr>
        <w:instrText xml:space="preserve"> ADDIN EN.CITE &lt;EndNote&gt;&lt;Cite&gt;&lt;Author&gt;Niemeyer&lt;/Author&gt;&lt;Year&gt;2021&lt;/Year&gt;&lt;RecNum&gt;2079&lt;/RecNum&gt;&lt;DisplayText&gt;[7]&lt;/DisplayText&gt;&lt;record&gt;&lt;rec-number&gt;2079&lt;/rec-number&gt;&lt;foreign-keys&gt;&lt;key app="EN" db-id="wxzvzaat9pdzf7efw27xawzq9fptedv5fvax" timestamp="1669811159"&gt;2079&lt;/key&gt;&lt;/foreign-keys&gt;&lt;ref-type name="Journal Article"&gt;17&lt;/ref-type&gt;&lt;contributors&gt;&lt;authors&gt;&lt;author&gt;Niemeyer, Frank&lt;/author&gt;&lt;author&gt;Galbusera, Fabio&lt;/author&gt;&lt;author&gt;Tao, Youping&lt;/author&gt;&lt;author&gt;Kienle, Annette&lt;/author&gt;&lt;author&gt;Beer, Meinrad&lt;/author&gt;&lt;author&gt;Wilke, Hans-Joachim&lt;/author&gt;&lt;/authors&gt;&lt;/contributors&gt;&lt;titles&gt;&lt;title&gt;A Deep Learning Model for the Accurate and Reliable Classification of Disc Degeneration Based on MRI Data&lt;/title&gt;&lt;secondary-title&gt;Investigative Radiology&lt;/secondary-title&gt;&lt;/titles&gt;&lt;periodical&gt;&lt;full-title&gt;Investigative Radiology&lt;/full-title&gt;&lt;/periodical&gt;&lt;pages&gt;78-85&lt;/pages&gt;&lt;volume&gt;56&lt;/volume&gt;&lt;number&gt;2&lt;/number&gt;&lt;keywords&gt;&lt;keyword&gt;spine&lt;/keyword&gt;&lt;keyword&gt;intervertebral disc degeneration&lt;/keyword&gt;&lt;keyword&gt;radiological classification&lt;/keyword&gt;&lt;keyword&gt;deep learning&lt;/keyword&gt;&lt;keyword&gt;machine learning&lt;/keyword&gt;&lt;keyword&gt;image analysis&lt;/keyword&gt;&lt;/keywords&gt;&lt;dates&gt;&lt;year&gt;2021&lt;/year&gt;&lt;/dates&gt;&lt;isbn&gt;0020-9996&lt;/isbn&gt;&lt;accession-num&gt;00004424-202102000-00002&lt;/accession-num&gt;&lt;urls&gt;&lt;related-urls&gt;&lt;url&gt;https://journals.lww.com/investigativeradiology/Fulltext/2021/02000/A_Deep_Learning_Model_for_the_Accurate_and.2.aspx&lt;/url&gt;&lt;/related-urls&gt;&lt;/urls&gt;&lt;electronic-resource-num&gt;10.1097/rli.0000000000000709&lt;/electronic-resource-num&gt;&lt;/record&gt;&lt;/Cite&gt;&lt;/EndNote&gt;</w:instrText>
      </w:r>
      <w:r w:rsidR="00056507" w:rsidRPr="00C635FA">
        <w:rPr>
          <w:sz w:val="20"/>
          <w:szCs w:val="20"/>
        </w:rPr>
        <w:fldChar w:fldCharType="separate"/>
      </w:r>
      <w:r w:rsidR="00056507" w:rsidRPr="00C635FA">
        <w:rPr>
          <w:noProof/>
          <w:sz w:val="20"/>
          <w:szCs w:val="20"/>
        </w:rPr>
        <w:t>[7]</w:t>
      </w:r>
      <w:r w:rsidR="00056507" w:rsidRPr="00C635FA">
        <w:rPr>
          <w:sz w:val="20"/>
          <w:szCs w:val="20"/>
        </w:rPr>
        <w:fldChar w:fldCharType="end"/>
      </w:r>
      <w:r w:rsidRPr="00C635FA">
        <w:rPr>
          <w:sz w:val="20"/>
          <w:szCs w:val="20"/>
        </w:rPr>
        <w:t xml:space="preserve"> have reported a </w:t>
      </w:r>
      <w:r w:rsidR="00C111F8" w:rsidRPr="00C635FA">
        <w:rPr>
          <w:sz w:val="20"/>
          <w:szCs w:val="20"/>
        </w:rPr>
        <w:t>D</w:t>
      </w:r>
      <w:r w:rsidRPr="00C635FA">
        <w:rPr>
          <w:sz w:val="20"/>
          <w:szCs w:val="20"/>
        </w:rPr>
        <w:t xml:space="preserve">eep </w:t>
      </w:r>
      <w:r w:rsidR="00C111F8" w:rsidRPr="00C635FA">
        <w:rPr>
          <w:sz w:val="20"/>
          <w:szCs w:val="20"/>
        </w:rPr>
        <w:t>L</w:t>
      </w:r>
      <w:r w:rsidRPr="00C635FA">
        <w:rPr>
          <w:sz w:val="20"/>
          <w:szCs w:val="20"/>
        </w:rPr>
        <w:t xml:space="preserve">earning Model based on an </w:t>
      </w:r>
      <w:r w:rsidR="00C111F8" w:rsidRPr="00C635FA">
        <w:rPr>
          <w:sz w:val="20"/>
          <w:szCs w:val="20"/>
        </w:rPr>
        <w:t>intensely</w:t>
      </w:r>
      <w:r w:rsidRPr="00C635FA">
        <w:rPr>
          <w:sz w:val="20"/>
          <w:szCs w:val="20"/>
        </w:rPr>
        <w:t xml:space="preserve"> </w:t>
      </w:r>
      <w:r w:rsidR="00C111F8" w:rsidRPr="00C635FA">
        <w:rPr>
          <w:sz w:val="20"/>
          <w:szCs w:val="20"/>
        </w:rPr>
        <w:t>annotated training set with high kappa scores (&gt;0.9) with 1599 patients. It may be that this creates a ‘better’ ground truth, but requires more validation studies to prove this</w:t>
      </w:r>
      <w:r w:rsidR="00554FFC" w:rsidRPr="00C635FA">
        <w:rPr>
          <w:sz w:val="20"/>
          <w:szCs w:val="20"/>
        </w:rPr>
        <w:t xml:space="preserve">, including accounting for age and spinal level. </w:t>
      </w:r>
      <w:r w:rsidR="00C111F8" w:rsidRPr="00C635FA">
        <w:rPr>
          <w:sz w:val="20"/>
          <w:szCs w:val="20"/>
        </w:rPr>
        <w:t xml:space="preserve">One of their objectives was to detect small to medium effects in longitudinal </w:t>
      </w:r>
      <w:r w:rsidR="0048102A" w:rsidRPr="00C635FA">
        <w:rPr>
          <w:sz w:val="20"/>
          <w:szCs w:val="20"/>
        </w:rPr>
        <w:t>studies but</w:t>
      </w:r>
      <w:r w:rsidR="00C111F8" w:rsidRPr="00C635FA">
        <w:rPr>
          <w:sz w:val="20"/>
          <w:szCs w:val="20"/>
        </w:rPr>
        <w:t xml:space="preserve"> has not been tested yet on </w:t>
      </w:r>
      <w:r w:rsidR="00554FFC" w:rsidRPr="00C635FA">
        <w:rPr>
          <w:sz w:val="20"/>
          <w:szCs w:val="20"/>
        </w:rPr>
        <w:t>this</w:t>
      </w:r>
      <w:r w:rsidR="00C635FA">
        <w:rPr>
          <w:sz w:val="20"/>
          <w:szCs w:val="20"/>
        </w:rPr>
        <w:t>,</w:t>
      </w:r>
      <w:r w:rsidR="00554FFC" w:rsidRPr="00C635FA">
        <w:rPr>
          <w:sz w:val="20"/>
          <w:szCs w:val="20"/>
        </w:rPr>
        <w:t xml:space="preserve"> or another</w:t>
      </w:r>
      <w:r w:rsidR="00C111F8" w:rsidRPr="00C635FA">
        <w:rPr>
          <w:sz w:val="20"/>
          <w:szCs w:val="20"/>
        </w:rPr>
        <w:t xml:space="preserve"> training cohort</w:t>
      </w:r>
      <w:r w:rsidR="00554FFC" w:rsidRPr="00C635FA">
        <w:rPr>
          <w:sz w:val="20"/>
          <w:szCs w:val="20"/>
        </w:rPr>
        <w:t>.</w:t>
      </w:r>
    </w:p>
    <w:p w14:paraId="767CBC93" w14:textId="77777777" w:rsidR="0009207B" w:rsidRPr="00066A6D" w:rsidRDefault="0009207B" w:rsidP="00066A6D">
      <w:pPr>
        <w:spacing w:line="360" w:lineRule="auto"/>
        <w:rPr>
          <w:sz w:val="20"/>
          <w:szCs w:val="20"/>
        </w:rPr>
      </w:pPr>
    </w:p>
    <w:p w14:paraId="2CAB9A5D" w14:textId="50270984" w:rsidR="0009207B" w:rsidRPr="00056507" w:rsidRDefault="00056507" w:rsidP="00066A6D">
      <w:pPr>
        <w:spacing w:line="360" w:lineRule="auto"/>
        <w:rPr>
          <w:b/>
          <w:bCs/>
          <w:sz w:val="20"/>
          <w:szCs w:val="20"/>
        </w:rPr>
      </w:pPr>
      <w:r w:rsidRPr="00056507">
        <w:rPr>
          <w:b/>
          <w:bCs/>
          <w:sz w:val="20"/>
          <w:szCs w:val="20"/>
        </w:rPr>
        <w:t>Conclusion</w:t>
      </w:r>
    </w:p>
    <w:p w14:paraId="0D1163A2" w14:textId="77777777" w:rsidR="00C635FA" w:rsidRDefault="00056507" w:rsidP="00056507">
      <w:pPr>
        <w:spacing w:line="360" w:lineRule="auto"/>
        <w:rPr>
          <w:sz w:val="20"/>
          <w:szCs w:val="20"/>
        </w:rPr>
      </w:pPr>
      <w:r w:rsidRPr="00066A6D">
        <w:rPr>
          <w:sz w:val="20"/>
          <w:szCs w:val="20"/>
        </w:rPr>
        <w:t xml:space="preserve">At this stage we conclude that SpineNet annotation should be considered as equivalent to a single expert human annotator, </w:t>
      </w:r>
      <w:r w:rsidR="00C635FA">
        <w:rPr>
          <w:sz w:val="20"/>
          <w:szCs w:val="20"/>
        </w:rPr>
        <w:t xml:space="preserve">or as a common language, like Esperanto, </w:t>
      </w:r>
      <w:r w:rsidRPr="00066A6D">
        <w:rPr>
          <w:sz w:val="20"/>
          <w:szCs w:val="20"/>
        </w:rPr>
        <w:t xml:space="preserve">with the advantage that annotation can be completed in 5 seconds in comparison with an expert human who takes 30-40 minutes to complete a detailed annotation. This paper provides another example of a validation study. This process is not </w:t>
      </w:r>
      <w:r w:rsidR="00C635FA">
        <w:rPr>
          <w:sz w:val="20"/>
          <w:szCs w:val="20"/>
        </w:rPr>
        <w:t xml:space="preserve">yet </w:t>
      </w:r>
      <w:r w:rsidRPr="00066A6D">
        <w:rPr>
          <w:sz w:val="20"/>
          <w:szCs w:val="20"/>
        </w:rPr>
        <w:t>complete, but we conclude that it is reasonable to apply SpineNet</w:t>
      </w:r>
      <w:r w:rsidR="00C635FA">
        <w:rPr>
          <w:sz w:val="20"/>
          <w:szCs w:val="20"/>
        </w:rPr>
        <w:t>,</w:t>
      </w:r>
      <w:r w:rsidRPr="00066A6D">
        <w:rPr>
          <w:sz w:val="20"/>
          <w:szCs w:val="20"/>
        </w:rPr>
        <w:t xml:space="preserve"> as we have here</w:t>
      </w:r>
      <w:r w:rsidR="00C635FA">
        <w:rPr>
          <w:sz w:val="20"/>
          <w:szCs w:val="20"/>
        </w:rPr>
        <w:t>,</w:t>
      </w:r>
      <w:r w:rsidRPr="00066A6D">
        <w:rPr>
          <w:sz w:val="20"/>
          <w:szCs w:val="20"/>
        </w:rPr>
        <w:t xml:space="preserve"> in a research setting. </w:t>
      </w:r>
    </w:p>
    <w:p w14:paraId="43709FDA" w14:textId="384E7435" w:rsidR="00056507" w:rsidRPr="00066A6D" w:rsidRDefault="00056507" w:rsidP="00056507">
      <w:pPr>
        <w:spacing w:line="360" w:lineRule="auto"/>
        <w:rPr>
          <w:sz w:val="20"/>
          <w:szCs w:val="20"/>
        </w:rPr>
      </w:pPr>
      <w:r w:rsidRPr="00066A6D">
        <w:rPr>
          <w:sz w:val="20"/>
          <w:szCs w:val="20"/>
        </w:rPr>
        <w:t xml:space="preserve">MRI </w:t>
      </w:r>
      <w:r w:rsidR="00C635FA">
        <w:rPr>
          <w:sz w:val="20"/>
          <w:szCs w:val="20"/>
        </w:rPr>
        <w:t xml:space="preserve">annotation </w:t>
      </w:r>
      <w:r w:rsidRPr="00066A6D">
        <w:rPr>
          <w:sz w:val="20"/>
          <w:szCs w:val="20"/>
        </w:rPr>
        <w:t>can be used for stratification, which may eventually have clinical implications.</w:t>
      </w:r>
    </w:p>
    <w:p w14:paraId="7D566FF6" w14:textId="46BCF0A8" w:rsidR="00056507" w:rsidRDefault="00056507" w:rsidP="00066A6D">
      <w:pPr>
        <w:spacing w:line="360" w:lineRule="auto"/>
        <w:rPr>
          <w:sz w:val="20"/>
          <w:szCs w:val="20"/>
        </w:rPr>
      </w:pPr>
    </w:p>
    <w:p w14:paraId="59693AC4" w14:textId="77777777" w:rsidR="00DB7AF4" w:rsidRDefault="00DB7AF4" w:rsidP="00066A6D">
      <w:pPr>
        <w:spacing w:line="360" w:lineRule="auto"/>
        <w:rPr>
          <w:sz w:val="20"/>
          <w:szCs w:val="20"/>
        </w:rPr>
      </w:pPr>
    </w:p>
    <w:p w14:paraId="6B90B1C9" w14:textId="38AB1B63" w:rsidR="00056507" w:rsidRPr="00056507" w:rsidRDefault="00056507" w:rsidP="00066A6D">
      <w:pPr>
        <w:spacing w:line="360" w:lineRule="auto"/>
        <w:rPr>
          <w:b/>
          <w:bCs/>
          <w:sz w:val="20"/>
          <w:szCs w:val="20"/>
        </w:rPr>
      </w:pPr>
      <w:r w:rsidRPr="00056507">
        <w:rPr>
          <w:b/>
          <w:bCs/>
          <w:sz w:val="20"/>
          <w:szCs w:val="20"/>
        </w:rPr>
        <w:t>References</w:t>
      </w:r>
    </w:p>
    <w:p w14:paraId="2E3D4857" w14:textId="3636D383" w:rsidR="00056507" w:rsidRPr="00056507" w:rsidRDefault="00056507" w:rsidP="00056507">
      <w:pPr>
        <w:pStyle w:val="EndNoteBibliography"/>
        <w:rPr>
          <w:noProof/>
          <w:sz w:val="20"/>
          <w:szCs w:val="20"/>
        </w:rPr>
      </w:pPr>
      <w:r w:rsidRPr="00056507">
        <w:rPr>
          <w:sz w:val="20"/>
          <w:szCs w:val="20"/>
        </w:rPr>
        <w:fldChar w:fldCharType="begin"/>
      </w:r>
      <w:r w:rsidRPr="00056507">
        <w:rPr>
          <w:sz w:val="20"/>
          <w:szCs w:val="20"/>
        </w:rPr>
        <w:instrText xml:space="preserve"> ADDIN EN.REFLIST </w:instrText>
      </w:r>
      <w:r w:rsidRPr="00056507">
        <w:rPr>
          <w:sz w:val="20"/>
          <w:szCs w:val="20"/>
        </w:rPr>
        <w:fldChar w:fldCharType="separate"/>
      </w:r>
      <w:r w:rsidRPr="00056507">
        <w:rPr>
          <w:noProof/>
          <w:sz w:val="20"/>
          <w:szCs w:val="20"/>
        </w:rPr>
        <w:t xml:space="preserve">1. Brinjikji W, Luetmer P, Comstock B, Bresnahan B, Chen L, Deyo R, Halabi S, Turner J, James A, Wald J, Kallmes D, Jarvik J (2015) Systematic Literature Review of Imaging Features of Spinal Degeneration in Asymptomatic Populations. American Journal of Neuroradiology April 2015, 36:811-816. doi: </w:t>
      </w:r>
      <w:hyperlink r:id="rId8" w:history="1">
        <w:r w:rsidRPr="00056507">
          <w:rPr>
            <w:rStyle w:val="Hyperlink"/>
            <w:noProof/>
            <w:sz w:val="20"/>
            <w:szCs w:val="20"/>
          </w:rPr>
          <w:t>http://dx.doi.org/10.3174/ajnr.A4173</w:t>
        </w:r>
      </w:hyperlink>
    </w:p>
    <w:p w14:paraId="69C18E3E" w14:textId="77777777" w:rsidR="00056507" w:rsidRPr="00056507" w:rsidRDefault="00056507" w:rsidP="00056507">
      <w:pPr>
        <w:pStyle w:val="EndNoteBibliography"/>
        <w:rPr>
          <w:noProof/>
          <w:sz w:val="20"/>
          <w:szCs w:val="20"/>
        </w:rPr>
      </w:pPr>
      <w:r w:rsidRPr="00056507">
        <w:rPr>
          <w:noProof/>
          <w:sz w:val="20"/>
          <w:szCs w:val="20"/>
        </w:rPr>
        <w:t>2. Jamaludin A, Lootus M, Kadir T, Zisserman A, Urban J, Battié MC, Fairbank J, McCall I, The Genodisc C (2017) ISSLS PRIZE IN BIOENGINEERING SCIENCE 2017: Automation of reading of radiological features from magnetic resonance images (MRIs) of the lumbar spine without human intervention is comparable with an expert radiologist. European Spine Journal 26:1374-1383. doi: 10.1007/s00586-017-4956-3</w:t>
      </w:r>
    </w:p>
    <w:p w14:paraId="765C084F" w14:textId="27356562" w:rsidR="00056507" w:rsidRPr="00056507" w:rsidRDefault="00056507" w:rsidP="00056507">
      <w:pPr>
        <w:pStyle w:val="EndNoteBibliography"/>
        <w:rPr>
          <w:noProof/>
          <w:sz w:val="20"/>
          <w:szCs w:val="20"/>
        </w:rPr>
      </w:pPr>
      <w:r w:rsidRPr="00056507">
        <w:rPr>
          <w:noProof/>
          <w:sz w:val="20"/>
          <w:szCs w:val="20"/>
        </w:rPr>
        <w:t xml:space="preserve">3. Ishimoto Y, Jamaludin A, Cooper C, Walker-Bone K, Yamada H, Hashizume H, Oka H, Tanaka S, Yoshimura N, Yoshida M, Urban J, Kadir T, Fairbank J (2020) Could automated machine-learned MRI grading aid epidemiological studies of lumbar spinal stenosis? Validation within the Wakayama spine study. BMC Musculoskeletal Disorders 21:158. doi: </w:t>
      </w:r>
      <w:hyperlink r:id="rId9" w:history="1">
        <w:r w:rsidRPr="00056507">
          <w:rPr>
            <w:rStyle w:val="Hyperlink"/>
            <w:noProof/>
            <w:sz w:val="20"/>
            <w:szCs w:val="20"/>
          </w:rPr>
          <w:t>https://doi.org/10.1186/s12891-020-3164-1</w:t>
        </w:r>
      </w:hyperlink>
    </w:p>
    <w:p w14:paraId="4D8C9C46" w14:textId="77777777" w:rsidR="00056507" w:rsidRPr="00056507" w:rsidRDefault="00056507" w:rsidP="00056507">
      <w:pPr>
        <w:pStyle w:val="EndNoteBibliography"/>
        <w:rPr>
          <w:noProof/>
          <w:sz w:val="20"/>
          <w:szCs w:val="20"/>
        </w:rPr>
      </w:pPr>
      <w:r w:rsidRPr="00056507">
        <w:rPr>
          <w:noProof/>
          <w:sz w:val="20"/>
          <w:szCs w:val="20"/>
        </w:rPr>
        <w:t>4. Roller B, Boutin R, O'Gara T, Knio Z, Jamaludin A, Tan J, Lenchik L (2021) Accurate prediction of lumbar microdecompression level with an automated MRI grading system. Skeletal Radiol 50:69-78. doi: DOI: 10.1007/s00256-020-03505-w</w:t>
      </w:r>
    </w:p>
    <w:p w14:paraId="47AEF7CC" w14:textId="7F2E4507" w:rsidR="00056507" w:rsidRPr="00056507" w:rsidRDefault="00056507" w:rsidP="00056507">
      <w:pPr>
        <w:pStyle w:val="EndNoteBibliography"/>
        <w:rPr>
          <w:noProof/>
          <w:sz w:val="20"/>
          <w:szCs w:val="20"/>
        </w:rPr>
      </w:pPr>
      <w:r w:rsidRPr="00056507">
        <w:rPr>
          <w:noProof/>
          <w:sz w:val="20"/>
          <w:szCs w:val="20"/>
        </w:rPr>
        <w:t xml:space="preserve">5. Grob A, Loibl M, Jamaludin A, Winklhofer S, Fairbank J, Fekete T, Porchet F, Mannion A (2022) External validation of the deep learning system “SpineNet” for grading radiological features of degeneration on MRIs of the lumbar spine. European Spine Journal (2022) 31: 31:2137–2148. doi: </w:t>
      </w:r>
      <w:hyperlink r:id="rId10" w:history="1">
        <w:r w:rsidRPr="00056507">
          <w:rPr>
            <w:rStyle w:val="Hyperlink"/>
            <w:noProof/>
            <w:sz w:val="20"/>
            <w:szCs w:val="20"/>
          </w:rPr>
          <w:t>https://doi.org/10.1007/s00586-022-07311-x</w:t>
        </w:r>
      </w:hyperlink>
    </w:p>
    <w:p w14:paraId="17C12943" w14:textId="1261527D" w:rsidR="00056507" w:rsidRPr="00056507" w:rsidRDefault="00056507" w:rsidP="00056507">
      <w:pPr>
        <w:pStyle w:val="EndNoteBibliography"/>
        <w:rPr>
          <w:noProof/>
          <w:sz w:val="20"/>
          <w:szCs w:val="20"/>
        </w:rPr>
      </w:pPr>
      <w:r w:rsidRPr="00056507">
        <w:rPr>
          <w:noProof/>
          <w:sz w:val="20"/>
          <w:szCs w:val="20"/>
        </w:rPr>
        <w:t xml:space="preserve">6. McSweeney TP, Saarakkala S, Tiulpin A, Jamaludin A, Kadir T, Niinimäki J, Karppinen J, Määttä J (2022) External validation of SpineNet, a deep learning model for automated grading of lumbar disc degeneration MRI features, using the Northern Finland Birth Cohort. Osteoarthritis and Cartilage 30:S86. doi: </w:t>
      </w:r>
      <w:hyperlink r:id="rId11" w:history="1">
        <w:r w:rsidRPr="00056507">
          <w:rPr>
            <w:rStyle w:val="Hyperlink"/>
            <w:noProof/>
            <w:sz w:val="20"/>
            <w:szCs w:val="20"/>
          </w:rPr>
          <w:t>https://doi.org/10.1016/j.joca.2022.02.106</w:t>
        </w:r>
      </w:hyperlink>
    </w:p>
    <w:p w14:paraId="14FE7DE7" w14:textId="16ECF774" w:rsidR="00056507" w:rsidRPr="00056507" w:rsidRDefault="00056507" w:rsidP="00056507">
      <w:pPr>
        <w:pStyle w:val="EndNoteBibliography"/>
        <w:rPr>
          <w:noProof/>
          <w:sz w:val="20"/>
          <w:szCs w:val="20"/>
        </w:rPr>
      </w:pPr>
      <w:r w:rsidRPr="00056507">
        <w:rPr>
          <w:noProof/>
          <w:sz w:val="20"/>
          <w:szCs w:val="20"/>
        </w:rPr>
        <w:lastRenderedPageBreak/>
        <w:t xml:space="preserve">7. Niemeyer F, Galbusera F, Tao Y, Kienle A, Beer M, Wilke H-J (2021) A Deep Learning Model for the Accurate and Reliable Classification of Disc Degeneration Based on MRI Data. Investigative Radiology 56:78-85. </w:t>
      </w:r>
      <w:r w:rsidR="002415E0">
        <w:rPr>
          <w:noProof/>
          <w:sz w:val="20"/>
          <w:szCs w:val="20"/>
        </w:rPr>
        <w:t>https://</w:t>
      </w:r>
      <w:r w:rsidRPr="00056507">
        <w:rPr>
          <w:noProof/>
          <w:sz w:val="20"/>
          <w:szCs w:val="20"/>
        </w:rPr>
        <w:t>doi</w:t>
      </w:r>
      <w:r w:rsidR="002415E0">
        <w:rPr>
          <w:noProof/>
          <w:sz w:val="20"/>
          <w:szCs w:val="20"/>
        </w:rPr>
        <w:t>.org/</w:t>
      </w:r>
      <w:r w:rsidRPr="00056507">
        <w:rPr>
          <w:noProof/>
          <w:sz w:val="20"/>
          <w:szCs w:val="20"/>
        </w:rPr>
        <w:t>10.1097/rli.0000000000000709</w:t>
      </w:r>
    </w:p>
    <w:p w14:paraId="39D83F2F" w14:textId="77777777" w:rsidR="009B25A8" w:rsidRDefault="00056507" w:rsidP="009B25A8">
      <w:pPr>
        <w:rPr>
          <w:b/>
          <w:bCs/>
          <w:color w:val="000000"/>
          <w:sz w:val="20"/>
          <w:szCs w:val="20"/>
        </w:rPr>
      </w:pPr>
      <w:r w:rsidRPr="00056507">
        <w:rPr>
          <w:sz w:val="20"/>
          <w:szCs w:val="20"/>
        </w:rPr>
        <w:fldChar w:fldCharType="end"/>
      </w:r>
      <w:r w:rsidR="009B25A8" w:rsidRPr="009B25A8">
        <w:rPr>
          <w:b/>
          <w:bCs/>
          <w:color w:val="000000"/>
          <w:sz w:val="20"/>
          <w:szCs w:val="20"/>
        </w:rPr>
        <w:t xml:space="preserve"> </w:t>
      </w:r>
    </w:p>
    <w:p w14:paraId="742A14BC" w14:textId="77777777" w:rsidR="009B25A8" w:rsidRDefault="009B25A8" w:rsidP="009B25A8">
      <w:pPr>
        <w:rPr>
          <w:b/>
          <w:bCs/>
          <w:color w:val="000000"/>
          <w:sz w:val="20"/>
          <w:szCs w:val="20"/>
        </w:rPr>
      </w:pPr>
    </w:p>
    <w:p w14:paraId="44235603" w14:textId="77777777" w:rsidR="009B25A8" w:rsidRDefault="009B25A8" w:rsidP="009B25A8">
      <w:pPr>
        <w:rPr>
          <w:b/>
          <w:bCs/>
          <w:color w:val="000000"/>
          <w:sz w:val="20"/>
          <w:szCs w:val="20"/>
        </w:rPr>
      </w:pPr>
    </w:p>
    <w:p w14:paraId="25E05CC9" w14:textId="77777777" w:rsidR="009B25A8" w:rsidRDefault="009B25A8" w:rsidP="009B25A8">
      <w:pPr>
        <w:rPr>
          <w:b/>
          <w:bCs/>
          <w:color w:val="000000"/>
          <w:sz w:val="20"/>
          <w:szCs w:val="20"/>
        </w:rPr>
      </w:pPr>
    </w:p>
    <w:p w14:paraId="6C51038D" w14:textId="77777777" w:rsidR="009B25A8" w:rsidRDefault="009B25A8" w:rsidP="009B25A8">
      <w:pPr>
        <w:rPr>
          <w:b/>
          <w:bCs/>
          <w:color w:val="000000"/>
          <w:sz w:val="20"/>
          <w:szCs w:val="20"/>
        </w:rPr>
      </w:pPr>
      <w:r>
        <w:rPr>
          <w:b/>
          <w:bCs/>
          <w:color w:val="000000"/>
          <w:sz w:val="20"/>
          <w:szCs w:val="20"/>
        </w:rPr>
        <w:t>Table S1</w:t>
      </w:r>
    </w:p>
    <w:p w14:paraId="7B02168E" w14:textId="77777777" w:rsidR="009B25A8" w:rsidRPr="00764771" w:rsidRDefault="009B25A8" w:rsidP="009B25A8">
      <w:pPr>
        <w:rPr>
          <w:b/>
          <w:bCs/>
          <w:color w:val="000000"/>
          <w:sz w:val="20"/>
          <w:szCs w:val="20"/>
        </w:rPr>
      </w:pPr>
      <w:r w:rsidRPr="00764771">
        <w:rPr>
          <w:b/>
          <w:bCs/>
          <w:color w:val="000000"/>
          <w:sz w:val="20"/>
          <w:szCs w:val="20"/>
          <w:lang w:val="en-US"/>
        </w:rPr>
        <w:t>Prevalence of Disc Degeneration versus Age</w:t>
      </w:r>
      <w:r>
        <w:rPr>
          <w:b/>
          <w:bCs/>
          <w:color w:val="000000"/>
          <w:sz w:val="20"/>
          <w:szCs w:val="20"/>
        </w:rPr>
        <w:t xml:space="preserve"> - </w:t>
      </w:r>
      <w:r w:rsidRPr="00764771">
        <w:rPr>
          <w:b/>
          <w:bCs/>
          <w:color w:val="000000"/>
          <w:sz w:val="20"/>
          <w:szCs w:val="20"/>
          <w:lang w:val="en-US"/>
        </w:rPr>
        <w:t>Comparison of 4 studies of asymptomatic females</w:t>
      </w:r>
      <w:r>
        <w:rPr>
          <w:b/>
          <w:bCs/>
          <w:color w:val="000000"/>
          <w:sz w:val="20"/>
          <w:szCs w:val="20"/>
          <w:lang w:val="en-US"/>
        </w:rPr>
        <w:t xml:space="preserve">. </w:t>
      </w:r>
    </w:p>
    <w:tbl>
      <w:tblPr>
        <w:tblStyle w:val="TableGrid"/>
        <w:tblW w:w="0" w:type="auto"/>
        <w:tblLook w:val="04A0" w:firstRow="1" w:lastRow="0" w:firstColumn="1" w:lastColumn="0" w:noHBand="0" w:noVBand="1"/>
      </w:tblPr>
      <w:tblGrid>
        <w:gridCol w:w="1797"/>
        <w:gridCol w:w="1793"/>
        <w:gridCol w:w="1820"/>
        <w:gridCol w:w="1834"/>
        <w:gridCol w:w="1766"/>
      </w:tblGrid>
      <w:tr w:rsidR="009B25A8" w14:paraId="27E7EF5A" w14:textId="77777777" w:rsidTr="000B2FB5">
        <w:tc>
          <w:tcPr>
            <w:tcW w:w="1880" w:type="dxa"/>
          </w:tcPr>
          <w:p w14:paraId="1A2839CD" w14:textId="77777777" w:rsidR="009B25A8" w:rsidRDefault="009B25A8" w:rsidP="000B2FB5">
            <w:pPr>
              <w:rPr>
                <w:b/>
                <w:bCs/>
                <w:color w:val="000000"/>
              </w:rPr>
            </w:pPr>
            <w:r>
              <w:rPr>
                <w:b/>
                <w:bCs/>
                <w:color w:val="000000"/>
              </w:rPr>
              <w:t>Study</w:t>
            </w:r>
          </w:p>
        </w:tc>
        <w:tc>
          <w:tcPr>
            <w:tcW w:w="1880" w:type="dxa"/>
          </w:tcPr>
          <w:p w14:paraId="143E3CD3" w14:textId="77777777" w:rsidR="009B25A8" w:rsidRDefault="009B25A8" w:rsidP="000B2FB5">
            <w:pPr>
              <w:rPr>
                <w:b/>
                <w:bCs/>
                <w:color w:val="000000"/>
              </w:rPr>
            </w:pPr>
            <w:r>
              <w:rPr>
                <w:b/>
                <w:bCs/>
                <w:color w:val="000000"/>
              </w:rPr>
              <w:t>Study type</w:t>
            </w:r>
          </w:p>
        </w:tc>
        <w:tc>
          <w:tcPr>
            <w:tcW w:w="1880" w:type="dxa"/>
          </w:tcPr>
          <w:p w14:paraId="32B02BD7" w14:textId="77777777" w:rsidR="009B25A8" w:rsidRDefault="009B25A8" w:rsidP="000B2FB5">
            <w:pPr>
              <w:rPr>
                <w:b/>
                <w:bCs/>
                <w:color w:val="000000"/>
              </w:rPr>
            </w:pPr>
            <w:r>
              <w:rPr>
                <w:b/>
                <w:bCs/>
                <w:color w:val="000000"/>
              </w:rPr>
              <w:t>Number of female participants</w:t>
            </w:r>
          </w:p>
        </w:tc>
        <w:tc>
          <w:tcPr>
            <w:tcW w:w="1881" w:type="dxa"/>
          </w:tcPr>
          <w:p w14:paraId="2B8EB1FF" w14:textId="77777777" w:rsidR="009B25A8" w:rsidRDefault="009B25A8" w:rsidP="000B2FB5">
            <w:pPr>
              <w:rPr>
                <w:b/>
                <w:bCs/>
                <w:color w:val="000000"/>
              </w:rPr>
            </w:pPr>
            <w:r>
              <w:rPr>
                <w:b/>
                <w:bCs/>
                <w:color w:val="000000"/>
              </w:rPr>
              <w:t>MRI Definition of Disc degeneration</w:t>
            </w:r>
          </w:p>
        </w:tc>
        <w:tc>
          <w:tcPr>
            <w:tcW w:w="1881" w:type="dxa"/>
          </w:tcPr>
          <w:p w14:paraId="1C4F43C7" w14:textId="77777777" w:rsidR="009B25A8" w:rsidRDefault="009B25A8" w:rsidP="000B2FB5">
            <w:pPr>
              <w:rPr>
                <w:b/>
                <w:bCs/>
                <w:color w:val="000000"/>
              </w:rPr>
            </w:pPr>
            <w:r>
              <w:rPr>
                <w:b/>
                <w:bCs/>
                <w:color w:val="000000"/>
              </w:rPr>
              <w:t>Lumbar Levels</w:t>
            </w:r>
          </w:p>
        </w:tc>
      </w:tr>
      <w:tr w:rsidR="009B25A8" w14:paraId="5F4ACDCA" w14:textId="77777777" w:rsidTr="000B2FB5">
        <w:tc>
          <w:tcPr>
            <w:tcW w:w="1880" w:type="dxa"/>
          </w:tcPr>
          <w:p w14:paraId="07D6232B" w14:textId="77777777" w:rsidR="009B25A8" w:rsidRPr="00EF0713" w:rsidRDefault="009B25A8" w:rsidP="000B2FB5">
            <w:pPr>
              <w:rPr>
                <w:color w:val="000000"/>
              </w:rPr>
            </w:pPr>
            <w:r w:rsidRPr="00EF0713">
              <w:rPr>
                <w:color w:val="000000"/>
              </w:rPr>
              <w:t>Greifswald</w:t>
            </w:r>
            <w:r>
              <w:rPr>
                <w:color w:val="000000"/>
              </w:rPr>
              <w:t xml:space="preserve"> [2]</w:t>
            </w:r>
          </w:p>
        </w:tc>
        <w:tc>
          <w:tcPr>
            <w:tcW w:w="1880" w:type="dxa"/>
          </w:tcPr>
          <w:p w14:paraId="3D0FE96F" w14:textId="77777777" w:rsidR="009B25A8" w:rsidRPr="00997A18" w:rsidRDefault="009B25A8" w:rsidP="000B2FB5">
            <w:pPr>
              <w:rPr>
                <w:color w:val="000000"/>
              </w:rPr>
            </w:pPr>
            <w:r w:rsidRPr="00997A18">
              <w:rPr>
                <w:color w:val="000000"/>
              </w:rPr>
              <w:t>Population cohort</w:t>
            </w:r>
          </w:p>
        </w:tc>
        <w:tc>
          <w:tcPr>
            <w:tcW w:w="1880" w:type="dxa"/>
          </w:tcPr>
          <w:p w14:paraId="267B25BC" w14:textId="77777777" w:rsidR="009B25A8" w:rsidRPr="00997A18" w:rsidRDefault="009B25A8" w:rsidP="000B2FB5">
            <w:pPr>
              <w:rPr>
                <w:color w:val="000000"/>
              </w:rPr>
            </w:pPr>
            <w:r>
              <w:rPr>
                <w:color w:val="000000"/>
              </w:rPr>
              <w:t>~628</w:t>
            </w:r>
          </w:p>
        </w:tc>
        <w:tc>
          <w:tcPr>
            <w:tcW w:w="1881" w:type="dxa"/>
          </w:tcPr>
          <w:p w14:paraId="5D63720A" w14:textId="77777777" w:rsidR="009B25A8" w:rsidRPr="00997A18" w:rsidRDefault="009B25A8" w:rsidP="000B2FB5">
            <w:pPr>
              <w:rPr>
                <w:color w:val="000000"/>
              </w:rPr>
            </w:pPr>
            <w:r>
              <w:rPr>
                <w:color w:val="000000"/>
              </w:rPr>
              <w:t>Pfirrmann 4+5 pooled with other degenerative features</w:t>
            </w:r>
          </w:p>
        </w:tc>
        <w:tc>
          <w:tcPr>
            <w:tcW w:w="1881" w:type="dxa"/>
          </w:tcPr>
          <w:p w14:paraId="4B1AD42E" w14:textId="77777777" w:rsidR="009B25A8" w:rsidRPr="00997A18" w:rsidRDefault="009B25A8" w:rsidP="000B2FB5">
            <w:pPr>
              <w:rPr>
                <w:color w:val="000000"/>
              </w:rPr>
            </w:pPr>
            <w:r>
              <w:rPr>
                <w:color w:val="000000"/>
              </w:rPr>
              <w:t>All levels pooled</w:t>
            </w:r>
          </w:p>
        </w:tc>
      </w:tr>
      <w:tr w:rsidR="009B25A8" w14:paraId="459F0F0E" w14:textId="77777777" w:rsidTr="000B2FB5">
        <w:tc>
          <w:tcPr>
            <w:tcW w:w="1880" w:type="dxa"/>
          </w:tcPr>
          <w:p w14:paraId="53C5997F" w14:textId="77777777" w:rsidR="009B25A8" w:rsidRPr="00EF0713" w:rsidRDefault="009B25A8" w:rsidP="000B2FB5">
            <w:pPr>
              <w:rPr>
                <w:color w:val="000000"/>
              </w:rPr>
            </w:pPr>
            <w:r w:rsidRPr="00EF0713">
              <w:rPr>
                <w:color w:val="000000"/>
              </w:rPr>
              <w:t>Wakayama</w:t>
            </w:r>
            <w:r>
              <w:rPr>
                <w:color w:val="000000"/>
              </w:rPr>
              <w:t xml:space="preserve"> [7]</w:t>
            </w:r>
          </w:p>
        </w:tc>
        <w:tc>
          <w:tcPr>
            <w:tcW w:w="1880" w:type="dxa"/>
          </w:tcPr>
          <w:p w14:paraId="5E9E722E" w14:textId="77777777" w:rsidR="009B25A8" w:rsidRPr="00997A18" w:rsidRDefault="009B25A8" w:rsidP="000B2FB5">
            <w:pPr>
              <w:rPr>
                <w:color w:val="000000"/>
              </w:rPr>
            </w:pPr>
            <w:r>
              <w:rPr>
                <w:color w:val="000000"/>
              </w:rPr>
              <w:t>Population Cohort</w:t>
            </w:r>
          </w:p>
        </w:tc>
        <w:tc>
          <w:tcPr>
            <w:tcW w:w="1880" w:type="dxa"/>
          </w:tcPr>
          <w:p w14:paraId="7F8F2EC4" w14:textId="77777777" w:rsidR="009B25A8" w:rsidRPr="00997A18" w:rsidRDefault="009B25A8" w:rsidP="000B2FB5">
            <w:pPr>
              <w:rPr>
                <w:color w:val="000000"/>
              </w:rPr>
            </w:pPr>
            <w:r>
              <w:rPr>
                <w:color w:val="000000"/>
              </w:rPr>
              <w:t>~274</w:t>
            </w:r>
          </w:p>
        </w:tc>
        <w:tc>
          <w:tcPr>
            <w:tcW w:w="1881" w:type="dxa"/>
          </w:tcPr>
          <w:p w14:paraId="33021029" w14:textId="77777777" w:rsidR="009B25A8" w:rsidRPr="00997A18" w:rsidRDefault="009B25A8" w:rsidP="000B2FB5">
            <w:pPr>
              <w:rPr>
                <w:color w:val="000000"/>
              </w:rPr>
            </w:pPr>
            <w:r>
              <w:rPr>
                <w:color w:val="000000"/>
              </w:rPr>
              <w:t>Pfirrmann 4+5</w:t>
            </w:r>
          </w:p>
        </w:tc>
        <w:tc>
          <w:tcPr>
            <w:tcW w:w="1881" w:type="dxa"/>
          </w:tcPr>
          <w:p w14:paraId="7132D194" w14:textId="77777777" w:rsidR="009B25A8" w:rsidRPr="00997A18" w:rsidRDefault="009B25A8" w:rsidP="000B2FB5">
            <w:pPr>
              <w:rPr>
                <w:color w:val="000000"/>
              </w:rPr>
            </w:pPr>
            <w:r>
              <w:rPr>
                <w:color w:val="000000"/>
              </w:rPr>
              <w:t>All levels pooled</w:t>
            </w:r>
          </w:p>
        </w:tc>
      </w:tr>
      <w:tr w:rsidR="009B25A8" w14:paraId="2DABCE7E" w14:textId="77777777" w:rsidTr="000B2FB5">
        <w:tc>
          <w:tcPr>
            <w:tcW w:w="1880" w:type="dxa"/>
          </w:tcPr>
          <w:p w14:paraId="02116255" w14:textId="77777777" w:rsidR="009B25A8" w:rsidRPr="00EF0713" w:rsidRDefault="009B25A8" w:rsidP="000B2FB5">
            <w:pPr>
              <w:rPr>
                <w:color w:val="000000"/>
              </w:rPr>
            </w:pPr>
            <w:r w:rsidRPr="00EF0713">
              <w:rPr>
                <w:color w:val="000000"/>
              </w:rPr>
              <w:t>TwinsUK</w:t>
            </w:r>
            <w:r>
              <w:rPr>
                <w:color w:val="000000"/>
              </w:rPr>
              <w:t xml:space="preserve"> [This report]</w:t>
            </w:r>
          </w:p>
        </w:tc>
        <w:tc>
          <w:tcPr>
            <w:tcW w:w="1880" w:type="dxa"/>
          </w:tcPr>
          <w:p w14:paraId="6FF60CF9" w14:textId="77777777" w:rsidR="009B25A8" w:rsidRPr="00997A18" w:rsidRDefault="009B25A8" w:rsidP="000B2FB5">
            <w:pPr>
              <w:rPr>
                <w:color w:val="000000"/>
              </w:rPr>
            </w:pPr>
            <w:r>
              <w:rPr>
                <w:color w:val="000000"/>
              </w:rPr>
              <w:t>Population cohort</w:t>
            </w:r>
          </w:p>
        </w:tc>
        <w:tc>
          <w:tcPr>
            <w:tcW w:w="1880" w:type="dxa"/>
          </w:tcPr>
          <w:p w14:paraId="4D5CB235" w14:textId="77777777" w:rsidR="009B25A8" w:rsidRPr="00997A18" w:rsidRDefault="009B25A8" w:rsidP="000B2FB5">
            <w:pPr>
              <w:rPr>
                <w:color w:val="000000"/>
              </w:rPr>
            </w:pPr>
            <w:r>
              <w:rPr>
                <w:color w:val="000000"/>
              </w:rPr>
              <w:t>763</w:t>
            </w:r>
          </w:p>
        </w:tc>
        <w:tc>
          <w:tcPr>
            <w:tcW w:w="1881" w:type="dxa"/>
          </w:tcPr>
          <w:p w14:paraId="782D6E7F" w14:textId="77777777" w:rsidR="009B25A8" w:rsidRPr="00997A18" w:rsidRDefault="009B25A8" w:rsidP="000B2FB5">
            <w:pPr>
              <w:rPr>
                <w:color w:val="000000"/>
              </w:rPr>
            </w:pPr>
            <w:r>
              <w:rPr>
                <w:color w:val="000000"/>
              </w:rPr>
              <w:t>Pfirrmann 4+5</w:t>
            </w:r>
          </w:p>
        </w:tc>
        <w:tc>
          <w:tcPr>
            <w:tcW w:w="1881" w:type="dxa"/>
          </w:tcPr>
          <w:p w14:paraId="01F4F6C7" w14:textId="77777777" w:rsidR="009B25A8" w:rsidRPr="00997A18" w:rsidRDefault="009B25A8" w:rsidP="000B2FB5">
            <w:pPr>
              <w:rPr>
                <w:color w:val="000000"/>
              </w:rPr>
            </w:pPr>
            <w:r>
              <w:rPr>
                <w:color w:val="000000"/>
              </w:rPr>
              <w:t>L4/5 + L5/S1</w:t>
            </w:r>
          </w:p>
        </w:tc>
      </w:tr>
      <w:tr w:rsidR="009B25A8" w14:paraId="03E270E7" w14:textId="77777777" w:rsidTr="000B2FB5">
        <w:tc>
          <w:tcPr>
            <w:tcW w:w="1880" w:type="dxa"/>
          </w:tcPr>
          <w:p w14:paraId="331D72F8" w14:textId="77777777" w:rsidR="009B25A8" w:rsidRPr="00EF0713" w:rsidRDefault="009B25A8" w:rsidP="000B2FB5">
            <w:pPr>
              <w:rPr>
                <w:color w:val="000000"/>
              </w:rPr>
            </w:pPr>
            <w:r w:rsidRPr="00EF0713">
              <w:rPr>
                <w:color w:val="000000"/>
              </w:rPr>
              <w:t xml:space="preserve">Brinjikji </w:t>
            </w:r>
            <w:r>
              <w:rPr>
                <w:color w:val="000000"/>
              </w:rPr>
              <w:t>[1]</w:t>
            </w:r>
          </w:p>
        </w:tc>
        <w:tc>
          <w:tcPr>
            <w:tcW w:w="1880" w:type="dxa"/>
          </w:tcPr>
          <w:p w14:paraId="0BD0719C" w14:textId="77777777" w:rsidR="009B25A8" w:rsidRPr="00997A18" w:rsidRDefault="009B25A8" w:rsidP="000B2FB5">
            <w:pPr>
              <w:rPr>
                <w:color w:val="000000"/>
              </w:rPr>
            </w:pPr>
            <w:r w:rsidRPr="00EF0713">
              <w:rPr>
                <w:color w:val="000000"/>
              </w:rPr>
              <w:t>Systematic Review</w:t>
            </w:r>
            <w:r>
              <w:rPr>
                <w:color w:val="000000"/>
              </w:rPr>
              <w:t xml:space="preserve"> (33 studies)</w:t>
            </w:r>
          </w:p>
        </w:tc>
        <w:tc>
          <w:tcPr>
            <w:tcW w:w="1880" w:type="dxa"/>
          </w:tcPr>
          <w:p w14:paraId="56A31528" w14:textId="77777777" w:rsidR="009B25A8" w:rsidRPr="00997A18" w:rsidRDefault="009B25A8" w:rsidP="000B2FB5">
            <w:pPr>
              <w:rPr>
                <w:color w:val="000000"/>
              </w:rPr>
            </w:pPr>
            <w:r>
              <w:rPr>
                <w:color w:val="000000"/>
              </w:rPr>
              <w:t>Males and females pooled by age</w:t>
            </w:r>
          </w:p>
        </w:tc>
        <w:tc>
          <w:tcPr>
            <w:tcW w:w="1881" w:type="dxa"/>
          </w:tcPr>
          <w:p w14:paraId="496F952B" w14:textId="77777777" w:rsidR="009B25A8" w:rsidRPr="00997A18" w:rsidRDefault="009B25A8" w:rsidP="000B2FB5">
            <w:pPr>
              <w:rPr>
                <w:color w:val="000000"/>
              </w:rPr>
            </w:pPr>
            <w:r>
              <w:rPr>
                <w:color w:val="000000"/>
              </w:rPr>
              <w:t>Not defined</w:t>
            </w:r>
          </w:p>
        </w:tc>
        <w:tc>
          <w:tcPr>
            <w:tcW w:w="1881" w:type="dxa"/>
          </w:tcPr>
          <w:p w14:paraId="58BA7334" w14:textId="77777777" w:rsidR="009B25A8" w:rsidRPr="00997A18" w:rsidRDefault="009B25A8" w:rsidP="000B2FB5">
            <w:pPr>
              <w:rPr>
                <w:color w:val="000000"/>
              </w:rPr>
            </w:pPr>
            <w:r>
              <w:rPr>
                <w:color w:val="000000"/>
              </w:rPr>
              <w:t>All levels pooled</w:t>
            </w:r>
          </w:p>
        </w:tc>
      </w:tr>
    </w:tbl>
    <w:p w14:paraId="21120DAF" w14:textId="77777777" w:rsidR="009B25A8" w:rsidRDefault="009B25A8" w:rsidP="009B25A8">
      <w:pPr>
        <w:rPr>
          <w:color w:val="000000" w:themeColor="text1"/>
          <w:sz w:val="20"/>
          <w:szCs w:val="20"/>
          <w:lang w:val="en-US"/>
        </w:rPr>
        <w:sectPr w:rsidR="009B25A8" w:rsidSect="009B25A8">
          <w:headerReference w:type="even" r:id="rId12"/>
          <w:headerReference w:type="default" r:id="rId13"/>
          <w:pgSz w:w="11900" w:h="16820"/>
          <w:pgMar w:top="1440" w:right="1440" w:bottom="1440" w:left="1440" w:header="708" w:footer="708" w:gutter="0"/>
          <w:cols w:space="708"/>
          <w:docGrid w:linePitch="360"/>
        </w:sectPr>
      </w:pPr>
    </w:p>
    <w:p w14:paraId="4CA3BC27" w14:textId="77777777" w:rsidR="009B25A8" w:rsidRPr="00660059" w:rsidRDefault="009B25A8" w:rsidP="009B25A8">
      <w:pPr>
        <w:rPr>
          <w:b/>
          <w:bCs/>
          <w:color w:val="000000" w:themeColor="text1"/>
          <w:sz w:val="20"/>
          <w:szCs w:val="20"/>
          <w:lang w:val="en-US"/>
        </w:rPr>
      </w:pPr>
      <w:r w:rsidRPr="00660059">
        <w:rPr>
          <w:b/>
          <w:bCs/>
          <w:color w:val="000000" w:themeColor="text1"/>
          <w:sz w:val="20"/>
          <w:szCs w:val="20"/>
          <w:lang w:val="en-US"/>
        </w:rPr>
        <w:lastRenderedPageBreak/>
        <w:t>Figure S1</w:t>
      </w:r>
    </w:p>
    <w:p w14:paraId="40760C3E" w14:textId="77777777" w:rsidR="009B25A8" w:rsidRPr="00552393" w:rsidRDefault="009B25A8" w:rsidP="009B25A8">
      <w:pPr>
        <w:rPr>
          <w:color w:val="000000" w:themeColor="text1"/>
          <w:sz w:val="20"/>
          <w:szCs w:val="20"/>
          <w:lang w:val="en-US"/>
        </w:rPr>
      </w:pPr>
      <w:r w:rsidRPr="00552393">
        <w:rPr>
          <w:color w:val="000000" w:themeColor="text1"/>
          <w:sz w:val="20"/>
          <w:szCs w:val="20"/>
          <w:lang w:val="en-US"/>
        </w:rPr>
        <w:t>This graph compares prevalence of disc degeneration</w:t>
      </w:r>
      <w:r>
        <w:rPr>
          <w:color w:val="000000" w:themeColor="text1"/>
          <w:sz w:val="20"/>
          <w:szCs w:val="20"/>
          <w:lang w:val="en-US"/>
        </w:rPr>
        <w:t xml:space="preserve"> in females by age in the 4 unrelated studies in Table S1. Large variations are seen. 3 of the 4 studies follow epidemiological practice and pool data from all lumbar levels. The current study is selective by level of involvement. Other unaccounted factors include variation in annotation practice, pooling of degenerative features and ethnicity</w:t>
      </w:r>
    </w:p>
    <w:p w14:paraId="0BC08BD4" w14:textId="77777777" w:rsidR="009B25A8" w:rsidRDefault="009B25A8" w:rsidP="009B25A8">
      <w:pPr>
        <w:rPr>
          <w:color w:val="000000" w:themeColor="text1"/>
          <w:sz w:val="20"/>
          <w:szCs w:val="20"/>
          <w:lang w:val="en-US"/>
        </w:rPr>
      </w:pPr>
    </w:p>
    <w:p w14:paraId="74C10DAB" w14:textId="77777777" w:rsidR="009B25A8" w:rsidRDefault="009B25A8" w:rsidP="009B25A8">
      <w:pPr>
        <w:rPr>
          <w:color w:val="000000" w:themeColor="text1"/>
          <w:sz w:val="20"/>
          <w:szCs w:val="20"/>
          <w:lang w:val="en-US"/>
        </w:rPr>
      </w:pPr>
      <w:r w:rsidRPr="00660059">
        <w:rPr>
          <w:noProof/>
          <w:color w:val="000000" w:themeColor="text1"/>
          <w:sz w:val="20"/>
          <w:szCs w:val="20"/>
        </w:rPr>
        <w:drawing>
          <wp:inline distT="0" distB="0" distL="0" distR="0" wp14:anchorId="1468FCD3" wp14:editId="1AB7E792">
            <wp:extent cx="8376886" cy="4459541"/>
            <wp:effectExtent l="0" t="0" r="18415" b="11430"/>
            <wp:docPr id="1" name="Chart 1">
              <a:extLst xmlns:a="http://schemas.openxmlformats.org/drawingml/2006/main">
                <a:ext uri="{FF2B5EF4-FFF2-40B4-BE49-F238E27FC236}">
                  <a16:creationId xmlns:a16="http://schemas.microsoft.com/office/drawing/2014/main" id="{F60D0642-7E97-8C39-77E6-CAF8D1B126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D36482B" w14:textId="77777777" w:rsidR="009B25A8" w:rsidRDefault="009B25A8" w:rsidP="009B25A8"/>
    <w:p w14:paraId="04A4DAF5" w14:textId="167B5498" w:rsidR="00056507" w:rsidRPr="00066A6D" w:rsidRDefault="00056507" w:rsidP="00056507">
      <w:pPr>
        <w:spacing w:line="360" w:lineRule="auto"/>
        <w:rPr>
          <w:sz w:val="20"/>
          <w:szCs w:val="20"/>
        </w:rPr>
      </w:pPr>
    </w:p>
    <w:sectPr w:rsidR="00056507" w:rsidRPr="00066A6D" w:rsidSect="009B25A8">
      <w:pgSz w:w="16820" w:h="11900" w:orient="landscape"/>
      <w:pgMar w:top="1247" w:right="1304" w:bottom="124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C02F6" w14:textId="77777777" w:rsidR="009348A6" w:rsidRDefault="009348A6" w:rsidP="00CC4748">
      <w:r>
        <w:separator/>
      </w:r>
    </w:p>
  </w:endnote>
  <w:endnote w:type="continuationSeparator" w:id="0">
    <w:p w14:paraId="1F207C03" w14:textId="77777777" w:rsidR="009348A6" w:rsidRDefault="009348A6" w:rsidP="00CC4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76614" w14:textId="77777777" w:rsidR="009348A6" w:rsidRDefault="009348A6" w:rsidP="00CC4748">
      <w:r>
        <w:separator/>
      </w:r>
    </w:p>
  </w:footnote>
  <w:footnote w:type="continuationSeparator" w:id="0">
    <w:p w14:paraId="41A8D81D" w14:textId="77777777" w:rsidR="009348A6" w:rsidRDefault="009348A6" w:rsidP="00CC47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38489254"/>
      <w:docPartObj>
        <w:docPartGallery w:val="Page Numbers (Top of Page)"/>
        <w:docPartUnique/>
      </w:docPartObj>
    </w:sdtPr>
    <w:sdtContent>
      <w:p w14:paraId="1E56B887" w14:textId="7D7B7E65" w:rsidR="00CC4748" w:rsidRDefault="00CC4748" w:rsidP="005D520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A30689" w14:textId="77777777" w:rsidR="00CC4748" w:rsidRDefault="00CC4748" w:rsidP="00CC474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44757967"/>
      <w:docPartObj>
        <w:docPartGallery w:val="Page Numbers (Top of Page)"/>
        <w:docPartUnique/>
      </w:docPartObj>
    </w:sdtPr>
    <w:sdtContent>
      <w:p w14:paraId="3F2F68CF" w14:textId="7028D765" w:rsidR="00CC4748" w:rsidRDefault="00CC4748" w:rsidP="005D520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8A55607" w14:textId="77777777" w:rsidR="00CC4748" w:rsidRDefault="00CC4748" w:rsidP="00CC4748">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168DC"/>
    <w:multiLevelType w:val="hybridMultilevel"/>
    <w:tmpl w:val="31E8FD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7969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Euro Spine J&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zvzaat9pdzf7efw27xawzq9fptedv5fvax&quot;&gt;back pain Copy28803-Converted Copy-Converted&lt;record-ids&gt;&lt;item&gt;1954&lt;/item&gt;&lt;item&gt;2060&lt;/item&gt;&lt;item&gt;2075&lt;/item&gt;&lt;item&gt;2076&lt;/item&gt;&lt;item&gt;2078&lt;/item&gt;&lt;item&gt;2079&lt;/item&gt;&lt;item&gt;2085&lt;/item&gt;&lt;/record-ids&gt;&lt;/item&gt;&lt;/Libraries&gt;"/>
  </w:docVars>
  <w:rsids>
    <w:rsidRoot w:val="00944D92"/>
    <w:rsid w:val="00054CFA"/>
    <w:rsid w:val="00056507"/>
    <w:rsid w:val="0006610E"/>
    <w:rsid w:val="00066A6D"/>
    <w:rsid w:val="0009207B"/>
    <w:rsid w:val="000C2E52"/>
    <w:rsid w:val="000D5E8D"/>
    <w:rsid w:val="000D605D"/>
    <w:rsid w:val="000F0E75"/>
    <w:rsid w:val="002415E0"/>
    <w:rsid w:val="00315A5C"/>
    <w:rsid w:val="0048102A"/>
    <w:rsid w:val="00554FFC"/>
    <w:rsid w:val="005A72CD"/>
    <w:rsid w:val="005F52C9"/>
    <w:rsid w:val="00767AC0"/>
    <w:rsid w:val="00767C5D"/>
    <w:rsid w:val="007C2E91"/>
    <w:rsid w:val="009348A6"/>
    <w:rsid w:val="00944D92"/>
    <w:rsid w:val="009B25A8"/>
    <w:rsid w:val="00C111F8"/>
    <w:rsid w:val="00C423EF"/>
    <w:rsid w:val="00C635FA"/>
    <w:rsid w:val="00C956A4"/>
    <w:rsid w:val="00CC4748"/>
    <w:rsid w:val="00D70228"/>
    <w:rsid w:val="00DB7AF4"/>
    <w:rsid w:val="00E0611C"/>
    <w:rsid w:val="00E41029"/>
    <w:rsid w:val="00EA76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15B42F4"/>
  <w14:defaultImageDpi w14:val="300"/>
  <w15:docId w15:val="{A12D1BF4-5321-6E44-9FA4-E6A6D93A6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color w:val="000000"/>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2C9"/>
    <w:rPr>
      <w:rFonts w:ascii="Times New Roman" w:eastAsia="Times New Roman" w:hAnsi="Times New Roman" w:cs="Times New Roman"/>
      <w:color w:val="auto"/>
      <w:sz w:val="24"/>
      <w:szCs w:val="24"/>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52C9"/>
    <w:rPr>
      <w:color w:val="0000FF" w:themeColor="hyperlink"/>
      <w:u w:val="single"/>
    </w:rPr>
  </w:style>
  <w:style w:type="paragraph" w:styleId="ListParagraph">
    <w:name w:val="List Paragraph"/>
    <w:basedOn w:val="Normal"/>
    <w:uiPriority w:val="34"/>
    <w:qFormat/>
    <w:rsid w:val="0009207B"/>
    <w:pPr>
      <w:ind w:left="720"/>
      <w:contextualSpacing/>
    </w:pPr>
  </w:style>
  <w:style w:type="paragraph" w:customStyle="1" w:styleId="EndNoteBibliographyTitle">
    <w:name w:val="EndNote Bibliography Title"/>
    <w:basedOn w:val="Normal"/>
    <w:link w:val="EndNoteBibliographyTitleChar"/>
    <w:rsid w:val="00056507"/>
    <w:pPr>
      <w:jc w:val="center"/>
    </w:pPr>
  </w:style>
  <w:style w:type="character" w:customStyle="1" w:styleId="EndNoteBibliographyTitleChar">
    <w:name w:val="EndNote Bibliography Title Char"/>
    <w:basedOn w:val="DefaultParagraphFont"/>
    <w:link w:val="EndNoteBibliographyTitle"/>
    <w:rsid w:val="00056507"/>
    <w:rPr>
      <w:rFonts w:ascii="Times New Roman" w:eastAsia="Times New Roman" w:hAnsi="Times New Roman" w:cs="Times New Roman"/>
      <w:color w:val="auto"/>
      <w:sz w:val="24"/>
      <w:szCs w:val="24"/>
      <w:lang w:val="en-GB" w:eastAsia="zh-CN"/>
    </w:rPr>
  </w:style>
  <w:style w:type="paragraph" w:customStyle="1" w:styleId="EndNoteBibliography">
    <w:name w:val="EndNote Bibliography"/>
    <w:basedOn w:val="Normal"/>
    <w:link w:val="EndNoteBibliographyChar"/>
    <w:rsid w:val="00056507"/>
  </w:style>
  <w:style w:type="character" w:customStyle="1" w:styleId="EndNoteBibliographyChar">
    <w:name w:val="EndNote Bibliography Char"/>
    <w:basedOn w:val="DefaultParagraphFont"/>
    <w:link w:val="EndNoteBibliography"/>
    <w:rsid w:val="00056507"/>
    <w:rPr>
      <w:rFonts w:ascii="Times New Roman" w:eastAsia="Times New Roman" w:hAnsi="Times New Roman" w:cs="Times New Roman"/>
      <w:color w:val="auto"/>
      <w:sz w:val="24"/>
      <w:szCs w:val="24"/>
      <w:lang w:val="en-GB" w:eastAsia="zh-CN"/>
    </w:rPr>
  </w:style>
  <w:style w:type="character" w:styleId="UnresolvedMention">
    <w:name w:val="Unresolved Mention"/>
    <w:basedOn w:val="DefaultParagraphFont"/>
    <w:uiPriority w:val="99"/>
    <w:semiHidden/>
    <w:unhideWhenUsed/>
    <w:rsid w:val="00056507"/>
    <w:rPr>
      <w:color w:val="605E5C"/>
      <w:shd w:val="clear" w:color="auto" w:fill="E1DFDD"/>
    </w:rPr>
  </w:style>
  <w:style w:type="table" w:styleId="TableGrid">
    <w:name w:val="Table Grid"/>
    <w:basedOn w:val="TableNormal"/>
    <w:uiPriority w:val="59"/>
    <w:rsid w:val="009B25A8"/>
    <w:rPr>
      <w:rFonts w:ascii="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4748"/>
    <w:pPr>
      <w:tabs>
        <w:tab w:val="center" w:pos="4513"/>
        <w:tab w:val="right" w:pos="9026"/>
      </w:tabs>
    </w:pPr>
  </w:style>
  <w:style w:type="character" w:customStyle="1" w:styleId="HeaderChar">
    <w:name w:val="Header Char"/>
    <w:basedOn w:val="DefaultParagraphFont"/>
    <w:link w:val="Header"/>
    <w:uiPriority w:val="99"/>
    <w:rsid w:val="00CC4748"/>
    <w:rPr>
      <w:rFonts w:ascii="Times New Roman" w:eastAsia="Times New Roman" w:hAnsi="Times New Roman" w:cs="Times New Roman"/>
      <w:color w:val="auto"/>
      <w:sz w:val="24"/>
      <w:szCs w:val="24"/>
      <w:lang w:val="en-GB" w:eastAsia="zh-CN"/>
    </w:rPr>
  </w:style>
  <w:style w:type="paragraph" w:styleId="Footer">
    <w:name w:val="footer"/>
    <w:basedOn w:val="Normal"/>
    <w:link w:val="FooterChar"/>
    <w:uiPriority w:val="99"/>
    <w:unhideWhenUsed/>
    <w:rsid w:val="00CC4748"/>
    <w:pPr>
      <w:tabs>
        <w:tab w:val="center" w:pos="4513"/>
        <w:tab w:val="right" w:pos="9026"/>
      </w:tabs>
    </w:pPr>
  </w:style>
  <w:style w:type="character" w:customStyle="1" w:styleId="FooterChar">
    <w:name w:val="Footer Char"/>
    <w:basedOn w:val="DefaultParagraphFont"/>
    <w:link w:val="Footer"/>
    <w:uiPriority w:val="99"/>
    <w:rsid w:val="00CC4748"/>
    <w:rPr>
      <w:rFonts w:ascii="Times New Roman" w:eastAsia="Times New Roman" w:hAnsi="Times New Roman" w:cs="Times New Roman"/>
      <w:color w:val="auto"/>
      <w:sz w:val="24"/>
      <w:szCs w:val="24"/>
      <w:lang w:val="en-GB" w:eastAsia="zh-CN"/>
    </w:rPr>
  </w:style>
  <w:style w:type="character" w:styleId="PageNumber">
    <w:name w:val="page number"/>
    <w:basedOn w:val="DefaultParagraphFont"/>
    <w:uiPriority w:val="99"/>
    <w:semiHidden/>
    <w:unhideWhenUsed/>
    <w:rsid w:val="00CC4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3174/ajnr.A4173"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zeus.robots.ox.ac.uk/spinenet2/"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joca.2022.02.10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1007/s00586-022-07311-x" TargetMode="External"/><Relationship Id="rId4" Type="http://schemas.openxmlformats.org/officeDocument/2006/relationships/webSettings" Target="webSettings.xml"/><Relationship Id="rId9" Type="http://schemas.openxmlformats.org/officeDocument/2006/relationships/hyperlink" Target="https://doi.org/10.1186/s12891-020-3164-1"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Mac%20HDD:Users:jillurban:Desktop:MRI%20paper%20revision:Comparison%20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200" baseline="0"/>
            </a:pPr>
            <a:r>
              <a:rPr lang="en-US" sz="1200" baseline="0" dirty="0"/>
              <a:t>Prevalence of </a:t>
            </a:r>
            <a:r>
              <a:rPr lang="en-US" sz="1200" baseline="0" dirty="0">
                <a:solidFill>
                  <a:srgbClr val="00B050"/>
                </a:solidFill>
              </a:rPr>
              <a:t> </a:t>
            </a:r>
            <a:r>
              <a:rPr lang="en-US" sz="1200" b="1" i="0" u="none" strike="noStrike" baseline="0" dirty="0">
                <a:solidFill>
                  <a:srgbClr val="00B050"/>
                </a:solidFill>
                <a:effectLst/>
              </a:rPr>
              <a:t>asymptomatic</a:t>
            </a:r>
            <a:r>
              <a:rPr lang="en-US" sz="1200" b="1" i="0" u="none" strike="noStrike" baseline="0" dirty="0">
                <a:solidFill>
                  <a:srgbClr val="00B050"/>
                </a:solidFill>
              </a:rPr>
              <a:t> </a:t>
            </a:r>
            <a:r>
              <a:rPr lang="en-US" sz="1200" baseline="0" dirty="0"/>
              <a:t>Disc Degeneration  versus Age (decades) in 4 studies</a:t>
            </a:r>
          </a:p>
        </c:rich>
      </c:tx>
      <c:layout>
        <c:manualLayout>
          <c:xMode val="edge"/>
          <c:yMode val="edge"/>
          <c:x val="0.30962771147026774"/>
          <c:y val="4.8243408127076934E-2"/>
        </c:manualLayout>
      </c:layout>
      <c:overlay val="0"/>
    </c:title>
    <c:autoTitleDeleted val="0"/>
    <c:plotArea>
      <c:layout>
        <c:manualLayout>
          <c:layoutTarget val="inner"/>
          <c:xMode val="edge"/>
          <c:yMode val="edge"/>
          <c:x val="0.107700523283646"/>
          <c:y val="0.168311461067367"/>
          <c:w val="0.84417191051955298"/>
          <c:h val="0.587531448836071"/>
        </c:manualLayout>
      </c:layout>
      <c:scatterChart>
        <c:scatterStyle val="smoothMarker"/>
        <c:varyColors val="0"/>
        <c:ser>
          <c:idx val="1"/>
          <c:order val="0"/>
          <c:tx>
            <c:v>Kasch [7].  female asymptomatics</c:v>
          </c:tx>
          <c:spPr>
            <a:ln>
              <a:solidFill>
                <a:srgbClr val="3366FF"/>
              </a:solidFill>
              <a:prstDash val="sysDash"/>
            </a:ln>
          </c:spPr>
          <c:marker>
            <c:spPr>
              <a:solidFill>
                <a:srgbClr val="3366FF"/>
              </a:solidFill>
            </c:spPr>
          </c:marker>
          <c:dPt>
            <c:idx val="1"/>
            <c:marker>
              <c:spPr>
                <a:solidFill>
                  <a:srgbClr val="3366FF"/>
                </a:solidFill>
                <a:ln>
                  <a:prstDash val="sysDash"/>
                </a:ln>
              </c:spPr>
            </c:marker>
            <c:bubble3D val="0"/>
            <c:extLst>
              <c:ext xmlns:c16="http://schemas.microsoft.com/office/drawing/2014/chart" uri="{C3380CC4-5D6E-409C-BE32-E72D297353CC}">
                <c16:uniqueId val="{00000000-8CB4-3A49-8FCC-9B8B514C876E}"/>
              </c:ext>
            </c:extLst>
          </c:dPt>
          <c:xVal>
            <c:numRef>
              <c:f>Sheet1!$B$12:$B$16</c:f>
              <c:numCache>
                <c:formatCode>General</c:formatCode>
                <c:ptCount val="5"/>
                <c:pt idx="0">
                  <c:v>30</c:v>
                </c:pt>
                <c:pt idx="1">
                  <c:v>45</c:v>
                </c:pt>
                <c:pt idx="2">
                  <c:v>55</c:v>
                </c:pt>
                <c:pt idx="3">
                  <c:v>65</c:v>
                </c:pt>
                <c:pt idx="4">
                  <c:v>80</c:v>
                </c:pt>
              </c:numCache>
            </c:numRef>
          </c:xVal>
          <c:yVal>
            <c:numRef>
              <c:f>Sheet1!$D$12:$D$16</c:f>
              <c:numCache>
                <c:formatCode>General</c:formatCode>
                <c:ptCount val="5"/>
                <c:pt idx="0">
                  <c:v>17.899999999999999</c:v>
                </c:pt>
                <c:pt idx="1">
                  <c:v>38.1</c:v>
                </c:pt>
                <c:pt idx="2">
                  <c:v>58.1</c:v>
                </c:pt>
                <c:pt idx="3">
                  <c:v>81.900000000000006</c:v>
                </c:pt>
                <c:pt idx="4">
                  <c:v>86.2</c:v>
                </c:pt>
              </c:numCache>
            </c:numRef>
          </c:yVal>
          <c:smooth val="1"/>
          <c:extLst>
            <c:ext xmlns:c16="http://schemas.microsoft.com/office/drawing/2014/chart" uri="{C3380CC4-5D6E-409C-BE32-E72D297353CC}">
              <c16:uniqueId val="{00000001-8CB4-3A49-8FCC-9B8B514C876E}"/>
            </c:ext>
          </c:extLst>
        </c:ser>
        <c:ser>
          <c:idx val="2"/>
          <c:order val="1"/>
          <c:tx>
            <c:v>Teraguchi [6] female population</c:v>
          </c:tx>
          <c:spPr>
            <a:ln>
              <a:solidFill>
                <a:srgbClr val="FB00EC"/>
              </a:solidFill>
              <a:prstDash val="sysDash"/>
            </a:ln>
          </c:spPr>
          <c:marker>
            <c:spPr>
              <a:solidFill>
                <a:srgbClr val="008000"/>
              </a:solidFill>
            </c:spPr>
          </c:marker>
          <c:xVal>
            <c:numRef>
              <c:f>Sheet1!$B$37:$B$41</c:f>
              <c:numCache>
                <c:formatCode>General</c:formatCode>
                <c:ptCount val="5"/>
                <c:pt idx="0">
                  <c:v>30</c:v>
                </c:pt>
                <c:pt idx="1">
                  <c:v>55</c:v>
                </c:pt>
                <c:pt idx="2">
                  <c:v>65</c:v>
                </c:pt>
                <c:pt idx="3">
                  <c:v>75</c:v>
                </c:pt>
                <c:pt idx="4">
                  <c:v>86</c:v>
                </c:pt>
              </c:numCache>
            </c:numRef>
          </c:xVal>
          <c:yVal>
            <c:numRef>
              <c:f>Sheet1!$I$37:$I$41</c:f>
              <c:numCache>
                <c:formatCode>General</c:formatCode>
                <c:ptCount val="5"/>
                <c:pt idx="0">
                  <c:v>28.22000000000001</c:v>
                </c:pt>
                <c:pt idx="1">
                  <c:v>50.18</c:v>
                </c:pt>
                <c:pt idx="2">
                  <c:v>61.6</c:v>
                </c:pt>
                <c:pt idx="3">
                  <c:v>71.459999999999994</c:v>
                </c:pt>
                <c:pt idx="4">
                  <c:v>63.02</c:v>
                </c:pt>
              </c:numCache>
            </c:numRef>
          </c:yVal>
          <c:smooth val="1"/>
          <c:extLst>
            <c:ext xmlns:c16="http://schemas.microsoft.com/office/drawing/2014/chart" uri="{C3380CC4-5D6E-409C-BE32-E72D297353CC}">
              <c16:uniqueId val="{00000002-8CB4-3A49-8FCC-9B8B514C876E}"/>
            </c:ext>
          </c:extLst>
        </c:ser>
        <c:ser>
          <c:idx val="0"/>
          <c:order val="2"/>
          <c:tx>
            <c:v>TwinsUK[this study].female asymptomatics</c:v>
          </c:tx>
          <c:spPr>
            <a:ln>
              <a:solidFill>
                <a:srgbClr val="FF0000"/>
              </a:solidFill>
            </a:ln>
          </c:spPr>
          <c:marker>
            <c:spPr>
              <a:ln>
                <a:solidFill>
                  <a:srgbClr val="FF0000"/>
                </a:solidFill>
                <a:prstDash val="sysDash"/>
              </a:ln>
            </c:spPr>
          </c:marker>
          <c:xVal>
            <c:numRef>
              <c:f>Sheet1!$B$56:$F$56</c:f>
              <c:numCache>
                <c:formatCode>0.0</c:formatCode>
                <c:ptCount val="5"/>
                <c:pt idx="0">
                  <c:v>35</c:v>
                </c:pt>
                <c:pt idx="1">
                  <c:v>45</c:v>
                </c:pt>
                <c:pt idx="2">
                  <c:v>55</c:v>
                </c:pt>
                <c:pt idx="3">
                  <c:v>65</c:v>
                </c:pt>
                <c:pt idx="4">
                  <c:v>75</c:v>
                </c:pt>
              </c:numCache>
            </c:numRef>
          </c:xVal>
          <c:yVal>
            <c:numRef>
              <c:f>Sheet1!$B$60:$F$60</c:f>
              <c:numCache>
                <c:formatCode>0.0</c:formatCode>
                <c:ptCount val="5"/>
                <c:pt idx="0">
                  <c:v>11.111111111111111</c:v>
                </c:pt>
                <c:pt idx="1">
                  <c:v>10.35564853556485</c:v>
                </c:pt>
                <c:pt idx="2">
                  <c:v>20.31872509960159</c:v>
                </c:pt>
                <c:pt idx="3">
                  <c:v>38.15789473684211</c:v>
                </c:pt>
                <c:pt idx="4">
                  <c:v>66.129032258064512</c:v>
                </c:pt>
              </c:numCache>
            </c:numRef>
          </c:yVal>
          <c:smooth val="1"/>
          <c:extLst>
            <c:ext xmlns:c16="http://schemas.microsoft.com/office/drawing/2014/chart" uri="{C3380CC4-5D6E-409C-BE32-E72D297353CC}">
              <c16:uniqueId val="{00000003-8CB4-3A49-8FCC-9B8B514C876E}"/>
            </c:ext>
          </c:extLst>
        </c:ser>
        <c:ser>
          <c:idx val="3"/>
          <c:order val="3"/>
          <c:tx>
            <c:v>"Brinjikji. [5] male and female asymptomatics</c:v>
          </c:tx>
          <c:spPr>
            <a:ln>
              <a:prstDash val="sysDash"/>
            </a:ln>
          </c:spPr>
          <c:marker>
            <c:symbol val="diamond"/>
            <c:size val="9"/>
            <c:spPr>
              <a:ln>
                <a:prstDash val="sysDash"/>
              </a:ln>
            </c:spPr>
          </c:marker>
          <c:xVal>
            <c:numRef>
              <c:f>Sheet1!$B$64:$H$64</c:f>
              <c:numCache>
                <c:formatCode>General</c:formatCode>
                <c:ptCount val="7"/>
                <c:pt idx="0">
                  <c:v>20</c:v>
                </c:pt>
                <c:pt idx="1">
                  <c:v>30</c:v>
                </c:pt>
                <c:pt idx="2">
                  <c:v>40</c:v>
                </c:pt>
                <c:pt idx="3">
                  <c:v>50</c:v>
                </c:pt>
                <c:pt idx="4">
                  <c:v>60</c:v>
                </c:pt>
                <c:pt idx="5">
                  <c:v>70</c:v>
                </c:pt>
                <c:pt idx="6">
                  <c:v>80</c:v>
                </c:pt>
              </c:numCache>
            </c:numRef>
          </c:xVal>
          <c:yVal>
            <c:numRef>
              <c:f>Sheet1!$B$65:$H$65</c:f>
              <c:numCache>
                <c:formatCode>General</c:formatCode>
                <c:ptCount val="7"/>
                <c:pt idx="0">
                  <c:v>37</c:v>
                </c:pt>
                <c:pt idx="1">
                  <c:v>52</c:v>
                </c:pt>
                <c:pt idx="2">
                  <c:v>68</c:v>
                </c:pt>
                <c:pt idx="3">
                  <c:v>80</c:v>
                </c:pt>
                <c:pt idx="4">
                  <c:v>88</c:v>
                </c:pt>
                <c:pt idx="5">
                  <c:v>93</c:v>
                </c:pt>
                <c:pt idx="6">
                  <c:v>96</c:v>
                </c:pt>
              </c:numCache>
            </c:numRef>
          </c:yVal>
          <c:smooth val="1"/>
          <c:extLst>
            <c:ext xmlns:c16="http://schemas.microsoft.com/office/drawing/2014/chart" uri="{C3380CC4-5D6E-409C-BE32-E72D297353CC}">
              <c16:uniqueId val="{00000004-8CB4-3A49-8FCC-9B8B514C876E}"/>
            </c:ext>
          </c:extLst>
        </c:ser>
        <c:dLbls>
          <c:showLegendKey val="0"/>
          <c:showVal val="0"/>
          <c:showCatName val="0"/>
          <c:showSerName val="0"/>
          <c:showPercent val="0"/>
          <c:showBubbleSize val="0"/>
        </c:dLbls>
        <c:axId val="-2142172136"/>
        <c:axId val="-2122138408"/>
      </c:scatterChart>
      <c:valAx>
        <c:axId val="-2142172136"/>
        <c:scaling>
          <c:orientation val="minMax"/>
        </c:scaling>
        <c:delete val="0"/>
        <c:axPos val="b"/>
        <c:title>
          <c:tx>
            <c:rich>
              <a:bodyPr/>
              <a:lstStyle/>
              <a:p>
                <a:pPr>
                  <a:defRPr sz="1400"/>
                </a:pPr>
                <a:r>
                  <a:rPr lang="en-US" sz="1400"/>
                  <a:t>Age</a:t>
                </a:r>
                <a:r>
                  <a:rPr lang="en-US" sz="1400" baseline="0"/>
                  <a:t> yrs</a:t>
                </a:r>
                <a:endParaRPr lang="en-US" sz="1400"/>
              </a:p>
            </c:rich>
          </c:tx>
          <c:layout>
            <c:manualLayout>
              <c:xMode val="edge"/>
              <c:yMode val="edge"/>
              <c:x val="0.45036563137941099"/>
              <c:y val="0.78139023175538203"/>
            </c:manualLayout>
          </c:layout>
          <c:overlay val="0"/>
        </c:title>
        <c:numFmt formatCode="General" sourceLinked="1"/>
        <c:majorTickMark val="out"/>
        <c:minorTickMark val="none"/>
        <c:tickLblPos val="nextTo"/>
        <c:spPr>
          <a:ln w="38100" cmpd="sng"/>
        </c:spPr>
        <c:crossAx val="-2122138408"/>
        <c:crosses val="autoZero"/>
        <c:crossBetween val="midCat"/>
      </c:valAx>
      <c:valAx>
        <c:axId val="-2122138408"/>
        <c:scaling>
          <c:orientation val="minMax"/>
          <c:max val="100"/>
        </c:scaling>
        <c:delete val="0"/>
        <c:axPos val="l"/>
        <c:majorGridlines/>
        <c:title>
          <c:tx>
            <c:rich>
              <a:bodyPr rot="-5400000" vert="horz"/>
              <a:lstStyle/>
              <a:p>
                <a:pPr>
                  <a:defRPr sz="1400"/>
                </a:pPr>
                <a:r>
                  <a:rPr lang="en-US" sz="1400"/>
                  <a:t>Prevalence</a:t>
                </a:r>
              </a:p>
            </c:rich>
          </c:tx>
          <c:layout>
            <c:manualLayout>
              <c:xMode val="edge"/>
              <c:yMode val="edge"/>
              <c:x val="2.0920502092050199E-3"/>
              <c:y val="0.39375542342921399"/>
            </c:manualLayout>
          </c:layout>
          <c:overlay val="0"/>
        </c:title>
        <c:numFmt formatCode="General" sourceLinked="1"/>
        <c:majorTickMark val="out"/>
        <c:minorTickMark val="none"/>
        <c:tickLblPos val="nextTo"/>
        <c:spPr>
          <a:ln w="28575" cmpd="sng"/>
        </c:spPr>
        <c:crossAx val="-2142172136"/>
        <c:crosses val="autoZero"/>
        <c:crossBetween val="midCat"/>
      </c:valAx>
      <c:spPr>
        <a:ln w="28575" cmpd="sng"/>
      </c:spPr>
    </c:plotArea>
    <c:legend>
      <c:legendPos val="b"/>
      <c:layout>
        <c:manualLayout>
          <c:xMode val="edge"/>
          <c:yMode val="edge"/>
          <c:x val="0"/>
          <c:y val="0.85381164186537695"/>
          <c:w val="1"/>
          <c:h val="0.121651825964503"/>
        </c:manualLayout>
      </c:layout>
      <c:overlay val="0"/>
      <c:txPr>
        <a:bodyPr/>
        <a:lstStyle/>
        <a:p>
          <a:pPr>
            <a:defRPr sz="1050"/>
          </a:pPr>
          <a:endParaRPr lang="en-US"/>
        </a:p>
      </c:txPr>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0.68646</cdr:x>
      <cdr:y>0.11083</cdr:y>
    </cdr:from>
    <cdr:to>
      <cdr:x>0.92441</cdr:x>
      <cdr:y>0.17204</cdr:y>
    </cdr:to>
    <cdr:sp macro="" textlink="">
      <cdr:nvSpPr>
        <cdr:cNvPr id="2" name="TextBox 1">
          <a:extLst xmlns:a="http://schemas.openxmlformats.org/drawingml/2006/main">
            <a:ext uri="{FF2B5EF4-FFF2-40B4-BE49-F238E27FC236}">
              <a16:creationId xmlns:a16="http://schemas.microsoft.com/office/drawing/2014/main" id="{2356E561-BA32-B328-DC4C-04D3F95298CF}"/>
            </a:ext>
          </a:extLst>
        </cdr:cNvPr>
        <cdr:cNvSpPr txBox="1"/>
      </cdr:nvSpPr>
      <cdr:spPr>
        <a:xfrm xmlns:a="http://schemas.openxmlformats.org/drawingml/2006/main">
          <a:off x="5749985" y="494188"/>
          <a:ext cx="1993137" cy="272926"/>
        </a:xfrm>
        <a:prstGeom xmlns:a="http://schemas.openxmlformats.org/drawingml/2006/main" prst="rect">
          <a:avLst/>
        </a:prstGeom>
        <a:ln xmlns:a="http://schemas.openxmlformats.org/drawingml/2006/main" w="28575">
          <a:solidFill>
            <a:srgbClr val="FFC000"/>
          </a:solidFill>
        </a:ln>
      </cdr:spPr>
      <cdr:txBody>
        <a:bodyPr xmlns:a="http://schemas.openxmlformats.org/drawingml/2006/main" vertOverflow="clip" wrap="none" rtlCol="0"/>
        <a:lstStyle xmlns:a="http://schemas.openxmlformats.org/drawingml/2006/main"/>
        <a:p xmlns:a="http://schemas.openxmlformats.org/drawingml/2006/main">
          <a:r>
            <a:rPr lang="en-GB" sz="1050" b="1" dirty="0" err="1">
              <a:solidFill>
                <a:schemeClr val="accent4"/>
              </a:solidFill>
            </a:rPr>
            <a:t>Brindjiki</a:t>
          </a:r>
          <a:r>
            <a:rPr lang="en-GB" sz="1050" b="1" dirty="0">
              <a:solidFill>
                <a:schemeClr val="accent4"/>
              </a:solidFill>
            </a:rPr>
            <a:t> Systematic Review</a:t>
          </a:r>
        </a:p>
      </cdr:txBody>
    </cdr:sp>
  </cdr:relSizeAnchor>
  <cdr:relSizeAnchor xmlns:cdr="http://schemas.openxmlformats.org/drawingml/2006/chartDrawing">
    <cdr:from>
      <cdr:x>0.80392</cdr:x>
      <cdr:y>0.21621</cdr:y>
    </cdr:from>
    <cdr:to>
      <cdr:x>0.98674</cdr:x>
      <cdr:y>0.26976</cdr:y>
    </cdr:to>
    <cdr:sp macro="" textlink="">
      <cdr:nvSpPr>
        <cdr:cNvPr id="3" name="TextBox 2">
          <a:extLst xmlns:a="http://schemas.openxmlformats.org/drawingml/2006/main">
            <a:ext uri="{FF2B5EF4-FFF2-40B4-BE49-F238E27FC236}">
              <a16:creationId xmlns:a16="http://schemas.microsoft.com/office/drawing/2014/main" id="{90D60A5E-0A2E-00E1-2CBF-BB75E96D5E63}"/>
            </a:ext>
          </a:extLst>
        </cdr:cNvPr>
        <cdr:cNvSpPr txBox="1"/>
      </cdr:nvSpPr>
      <cdr:spPr>
        <a:xfrm xmlns:a="http://schemas.openxmlformats.org/drawingml/2006/main">
          <a:off x="6733863" y="964073"/>
          <a:ext cx="1531352" cy="238761"/>
        </a:xfrm>
        <a:prstGeom xmlns:a="http://schemas.openxmlformats.org/drawingml/2006/main" prst="rect">
          <a:avLst/>
        </a:prstGeom>
        <a:ln xmlns:a="http://schemas.openxmlformats.org/drawingml/2006/main" w="28575">
          <a:solidFill>
            <a:srgbClr val="0070C0"/>
          </a:solidFill>
        </a:ln>
      </cdr:spPr>
      <cdr:txBody>
        <a:bodyPr xmlns:a="http://schemas.openxmlformats.org/drawingml/2006/main" vertOverflow="clip" wrap="none" rtlCol="0"/>
        <a:lstStyle xmlns:a="http://schemas.openxmlformats.org/drawingml/2006/main"/>
        <a:p xmlns:a="http://schemas.openxmlformats.org/drawingml/2006/main">
          <a:r>
            <a:rPr lang="en-GB" sz="1050" b="1" dirty="0">
              <a:solidFill>
                <a:srgbClr val="0070C0"/>
              </a:solidFill>
            </a:rPr>
            <a:t>SHIP study Greifswald</a:t>
          </a:r>
        </a:p>
      </cdr:txBody>
    </cdr:sp>
  </cdr:relSizeAnchor>
  <cdr:relSizeAnchor xmlns:cdr="http://schemas.openxmlformats.org/drawingml/2006/chartDrawing">
    <cdr:from>
      <cdr:x>0.79393</cdr:x>
      <cdr:y>0.3107</cdr:y>
    </cdr:from>
    <cdr:to>
      <cdr:x>0.96022</cdr:x>
      <cdr:y>0.36334</cdr:y>
    </cdr:to>
    <cdr:sp macro="" textlink="">
      <cdr:nvSpPr>
        <cdr:cNvPr id="4" name="TextBox 3">
          <a:extLst xmlns:a="http://schemas.openxmlformats.org/drawingml/2006/main">
            <a:ext uri="{FF2B5EF4-FFF2-40B4-BE49-F238E27FC236}">
              <a16:creationId xmlns:a16="http://schemas.microsoft.com/office/drawing/2014/main" id="{4FC2DBF3-9089-32E4-3A8B-27A52F5860BC}"/>
            </a:ext>
          </a:extLst>
        </cdr:cNvPr>
        <cdr:cNvSpPr txBox="1"/>
      </cdr:nvSpPr>
      <cdr:spPr>
        <a:xfrm xmlns:a="http://schemas.openxmlformats.org/drawingml/2006/main">
          <a:off x="6650184" y="1385401"/>
          <a:ext cx="1392892" cy="234743"/>
        </a:xfrm>
        <a:prstGeom xmlns:a="http://schemas.openxmlformats.org/drawingml/2006/main" prst="rect">
          <a:avLst/>
        </a:prstGeom>
        <a:ln xmlns:a="http://schemas.openxmlformats.org/drawingml/2006/main" w="28575">
          <a:solidFill>
            <a:srgbClr val="C00000"/>
          </a:solidFill>
        </a:ln>
      </cdr:spPr>
      <cdr:txBody>
        <a:bodyPr xmlns:a="http://schemas.openxmlformats.org/drawingml/2006/main" vertOverflow="clip" wrap="none" rtlCol="0"/>
        <a:lstStyle xmlns:a="http://schemas.openxmlformats.org/drawingml/2006/main"/>
        <a:p xmlns:a="http://schemas.openxmlformats.org/drawingml/2006/main">
          <a:r>
            <a:rPr lang="en-GB" sz="1050" b="1" dirty="0">
              <a:solidFill>
                <a:srgbClr val="FB00ED"/>
              </a:solidFill>
            </a:rPr>
            <a:t>Wakayama  Study</a:t>
          </a:r>
        </a:p>
      </cdr:txBody>
    </cdr:sp>
  </cdr:relSizeAnchor>
  <cdr:relSizeAnchor xmlns:cdr="http://schemas.openxmlformats.org/drawingml/2006/chartDrawing">
    <cdr:from>
      <cdr:x>0.709</cdr:x>
      <cdr:y>0.45605</cdr:y>
    </cdr:from>
    <cdr:to>
      <cdr:x>0.9085</cdr:x>
      <cdr:y>0.51749</cdr:y>
    </cdr:to>
    <cdr:sp macro="" textlink="">
      <cdr:nvSpPr>
        <cdr:cNvPr id="5" name="TextBox 4">
          <a:extLst xmlns:a="http://schemas.openxmlformats.org/drawingml/2006/main">
            <a:ext uri="{FF2B5EF4-FFF2-40B4-BE49-F238E27FC236}">
              <a16:creationId xmlns:a16="http://schemas.microsoft.com/office/drawing/2014/main" id="{0FED9AE7-9C7E-2080-19A3-F80D1FBB4181}"/>
            </a:ext>
          </a:extLst>
        </cdr:cNvPr>
        <cdr:cNvSpPr txBox="1"/>
      </cdr:nvSpPr>
      <cdr:spPr>
        <a:xfrm xmlns:a="http://schemas.openxmlformats.org/drawingml/2006/main">
          <a:off x="5938786" y="2033513"/>
          <a:ext cx="1671069" cy="273966"/>
        </a:xfrm>
        <a:prstGeom xmlns:a="http://schemas.openxmlformats.org/drawingml/2006/main" prst="rect">
          <a:avLst/>
        </a:prstGeom>
        <a:ln xmlns:a="http://schemas.openxmlformats.org/drawingml/2006/main" w="28575">
          <a:solidFill>
            <a:srgbClr val="FF0000"/>
          </a:solidFill>
        </a:ln>
      </cdr:spPr>
      <cdr:txBody>
        <a:bodyPr xmlns:a="http://schemas.openxmlformats.org/drawingml/2006/main" vertOverflow="clip" wrap="none" rtlCol="0"/>
        <a:lstStyle xmlns:a="http://schemas.openxmlformats.org/drawingml/2006/main"/>
        <a:p xmlns:a="http://schemas.openxmlformats.org/drawingml/2006/main">
          <a:r>
            <a:rPr lang="en-GB" sz="1050" b="1" dirty="0">
              <a:solidFill>
                <a:srgbClr val="FF0000"/>
              </a:solidFill>
            </a:rPr>
            <a:t>TwinsUK (This Report)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3082</Words>
  <Characters>17573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Oxford University</Company>
  <LinksUpToDate>false</LinksUpToDate>
  <CharactersWithSpaces>20614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Urban</dc:creator>
  <cp:keywords/>
  <dc:description/>
  <cp:lastModifiedBy>Jeremy Fairbank</cp:lastModifiedBy>
  <cp:revision>2</cp:revision>
  <dcterms:created xsi:type="dcterms:W3CDTF">2023-03-29T15:13:00Z</dcterms:created>
  <dcterms:modified xsi:type="dcterms:W3CDTF">2023-03-29T15:13:00Z</dcterms:modified>
</cp:coreProperties>
</file>