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EB799" w14:textId="77777777" w:rsidR="0033643C" w:rsidRPr="006C5D7E" w:rsidRDefault="0033643C" w:rsidP="0033643C">
      <w:pPr>
        <w:pStyle w:val="Titolo1"/>
        <w:spacing w:line="480" w:lineRule="auto"/>
        <w:rPr>
          <w:rFonts w:ascii="Times New Roman" w:hAnsi="Times New Roman" w:cs="Times New Roman"/>
          <w:sz w:val="24"/>
          <w:szCs w:val="24"/>
        </w:rPr>
      </w:pPr>
      <w:r w:rsidRPr="006C5D7E">
        <w:rPr>
          <w:rFonts w:ascii="Times New Roman" w:hAnsi="Times New Roman" w:cs="Times New Roman"/>
          <w:sz w:val="24"/>
          <w:szCs w:val="24"/>
        </w:rPr>
        <w:t>Appendix– Practical tools for clinical and educational purposes</w:t>
      </w:r>
    </w:p>
    <w:p w14:paraId="19E64F50" w14:textId="77777777" w:rsidR="0033643C" w:rsidRPr="006C5D7E" w:rsidRDefault="0033643C" w:rsidP="00E0152D">
      <w:pPr>
        <w:spacing w:line="480" w:lineRule="auto"/>
        <w:rPr>
          <w:rFonts w:ascii="Times New Roman" w:hAnsi="Times New Roman" w:cs="Times New Roman"/>
          <w:sz w:val="24"/>
          <w:szCs w:val="24"/>
        </w:rPr>
      </w:pPr>
      <w:r w:rsidRPr="006C5D7E">
        <w:rPr>
          <w:rFonts w:ascii="Times New Roman" w:hAnsi="Times New Roman" w:cs="Times New Roman"/>
          <w:sz w:val="24"/>
          <w:szCs w:val="24"/>
        </w:rPr>
        <w:t xml:space="preserve">The proposed models can be helpful clinically and for educational purposes. In clinics, they can estimate the progression anticipated for each individual with IS. For example, for a girl, 12 years of age, with Risser 0 and a 32° primary curve, the expected Cobb angles after 1 and 2 years would be: </w:t>
      </w:r>
    </w:p>
    <w:p w14:paraId="337D64AA" w14:textId="77777777" w:rsidR="0033643C" w:rsidRPr="006C5D7E" w:rsidRDefault="0033643C" w:rsidP="00E0152D">
      <w:pPr>
        <w:numPr>
          <w:ilvl w:val="0"/>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6C5D7E">
        <w:rPr>
          <w:rFonts w:ascii="Times New Roman" w:eastAsia="Times New Roman" w:hAnsi="Times New Roman" w:cs="Times New Roman"/>
          <w:b/>
          <w:color w:val="000000"/>
          <w:sz w:val="24"/>
          <w:szCs w:val="24"/>
        </w:rPr>
        <w:t xml:space="preserve">AT </w:t>
      </w:r>
      <w:r w:rsidRPr="006C5D7E">
        <w:rPr>
          <w:rFonts w:ascii="Times New Roman" w:eastAsia="Times New Roman" w:hAnsi="Times New Roman" w:cs="Times New Roman"/>
          <w:b/>
          <w:sz w:val="24"/>
          <w:szCs w:val="24"/>
        </w:rPr>
        <w:t>regression equation</w:t>
      </w:r>
      <w:r w:rsidRPr="006C5D7E">
        <w:rPr>
          <w:rFonts w:ascii="Times New Roman" w:eastAsia="Times New Roman" w:hAnsi="Times New Roman" w:cs="Times New Roman"/>
          <w:color w:val="000000"/>
          <w:sz w:val="24"/>
          <w:szCs w:val="24"/>
        </w:rPr>
        <w:t>: -1</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01+(°Cobb×1</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12)+(years between observations×6</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88)-((years between observations)</w:t>
      </w:r>
      <w:r w:rsidRPr="006C5D7E">
        <w:rPr>
          <w:rFonts w:ascii="Times New Roman" w:eastAsia="Times New Roman" w:hAnsi="Times New Roman" w:cs="Times New Roman"/>
          <w:color w:val="000000"/>
          <w:sz w:val="24"/>
          <w:szCs w:val="24"/>
          <w:vertAlign w:val="superscript"/>
        </w:rPr>
        <w:t>2</w:t>
      </w:r>
      <w:r w:rsidRPr="006C5D7E">
        <w:rPr>
          <w:rFonts w:ascii="Times New Roman" w:eastAsia="Times New Roman" w:hAnsi="Times New Roman" w:cs="Times New Roman"/>
          <w:color w:val="000000"/>
          <w:sz w:val="24"/>
          <w:szCs w:val="24"/>
        </w:rPr>
        <w:t>×1</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81)+((years between observations)</w:t>
      </w:r>
      <w:r w:rsidRPr="006C5D7E">
        <w:rPr>
          <w:rFonts w:ascii="Times New Roman" w:eastAsia="Times New Roman" w:hAnsi="Times New Roman" w:cs="Times New Roman"/>
          <w:color w:val="000000"/>
          <w:sz w:val="24"/>
          <w:szCs w:val="24"/>
          <w:vertAlign w:val="superscript"/>
        </w:rPr>
        <w:t>3</w:t>
      </w:r>
      <w:r w:rsidRPr="006C5D7E">
        <w:rPr>
          <w:rFonts w:ascii="Times New Roman" w:eastAsia="Times New Roman" w:hAnsi="Times New Roman" w:cs="Times New Roman"/>
          <w:color w:val="000000"/>
          <w:sz w:val="24"/>
          <w:szCs w:val="24"/>
        </w:rPr>
        <w:t>×0</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35)-1</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85(if Risser 1)-2</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 xml:space="preserve">53(if Risser 2) </w:t>
      </w:r>
    </w:p>
    <w:p w14:paraId="6C8B94DD" w14:textId="77777777" w:rsidR="0033643C" w:rsidRPr="006C5D7E" w:rsidRDefault="0033643C" w:rsidP="00E0152D">
      <w:pPr>
        <w:numPr>
          <w:ilvl w:val="0"/>
          <w:numId w:val="2"/>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sidRPr="006C5D7E">
        <w:rPr>
          <w:rFonts w:ascii="Times New Roman" w:eastAsia="Times New Roman" w:hAnsi="Times New Roman" w:cs="Times New Roman"/>
          <w:b/>
          <w:color w:val="000000"/>
          <w:sz w:val="24"/>
          <w:szCs w:val="24"/>
        </w:rPr>
        <w:t>Prediction at 1 year</w:t>
      </w:r>
      <w:r w:rsidRPr="006C5D7E">
        <w:rPr>
          <w:rFonts w:ascii="Times New Roman" w:eastAsia="Times New Roman" w:hAnsi="Times New Roman" w:cs="Times New Roman"/>
          <w:color w:val="000000"/>
          <w:sz w:val="24"/>
          <w:szCs w:val="24"/>
        </w:rPr>
        <w:t>: -1</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01+(32×1</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12)+(1×6</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88)-(1</w:t>
      </w:r>
      <w:r w:rsidRPr="006C5D7E">
        <w:rPr>
          <w:rFonts w:ascii="Times New Roman" w:eastAsia="Times New Roman" w:hAnsi="Times New Roman" w:cs="Times New Roman"/>
          <w:color w:val="000000"/>
          <w:sz w:val="24"/>
          <w:szCs w:val="24"/>
          <w:vertAlign w:val="superscript"/>
        </w:rPr>
        <w:t>2</w:t>
      </w:r>
      <w:r w:rsidRPr="006C5D7E">
        <w:rPr>
          <w:rFonts w:ascii="Times New Roman" w:eastAsia="Times New Roman" w:hAnsi="Times New Roman" w:cs="Times New Roman"/>
          <w:color w:val="000000"/>
          <w:sz w:val="24"/>
          <w:szCs w:val="24"/>
        </w:rPr>
        <w:t>×1</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81)+(1</w:t>
      </w:r>
      <w:r w:rsidRPr="006C5D7E">
        <w:rPr>
          <w:rFonts w:ascii="Times New Roman" w:eastAsia="Times New Roman" w:hAnsi="Times New Roman" w:cs="Times New Roman"/>
          <w:color w:val="000000"/>
          <w:sz w:val="24"/>
          <w:szCs w:val="24"/>
          <w:vertAlign w:val="superscript"/>
        </w:rPr>
        <w:t>3</w:t>
      </w:r>
      <w:r w:rsidRPr="006C5D7E">
        <w:rPr>
          <w:rFonts w:ascii="Times New Roman" w:eastAsia="Times New Roman" w:hAnsi="Times New Roman" w:cs="Times New Roman"/>
          <w:color w:val="000000"/>
          <w:sz w:val="24"/>
          <w:szCs w:val="24"/>
        </w:rPr>
        <w:t>× 0</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35)-1</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85×0-2</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53×0= -1</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01+35</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84+6</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88-1</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81+0</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35=</w:t>
      </w:r>
      <w:r w:rsidRPr="006C5D7E">
        <w:rPr>
          <w:rFonts w:ascii="Times New Roman" w:eastAsia="Times New Roman" w:hAnsi="Times New Roman" w:cs="Times New Roman"/>
          <w:b/>
          <w:color w:val="000000"/>
          <w:sz w:val="24"/>
          <w:szCs w:val="24"/>
        </w:rPr>
        <w:t>40</w:t>
      </w:r>
      <w:r>
        <w:rPr>
          <w:rFonts w:ascii="Times New Roman" w:hAnsi="Times New Roman" w:cs="Times New Roman"/>
          <w:sz w:val="24"/>
          <w:szCs w:val="24"/>
        </w:rPr>
        <w:t>.</w:t>
      </w:r>
      <w:r w:rsidRPr="006C5D7E">
        <w:rPr>
          <w:rFonts w:ascii="Times New Roman" w:eastAsia="Times New Roman" w:hAnsi="Times New Roman" w:cs="Times New Roman"/>
          <w:b/>
          <w:color w:val="000000"/>
          <w:sz w:val="24"/>
          <w:szCs w:val="24"/>
        </w:rPr>
        <w:t>25°</w:t>
      </w:r>
      <w:r w:rsidRPr="006C5D7E">
        <w:rPr>
          <w:rFonts w:ascii="Times New Roman" w:eastAsia="Times New Roman" w:hAnsi="Times New Roman" w:cs="Times New Roman"/>
          <w:color w:val="000000"/>
          <w:sz w:val="24"/>
          <w:szCs w:val="24"/>
        </w:rPr>
        <w:t xml:space="preserve"> </w:t>
      </w:r>
    </w:p>
    <w:p w14:paraId="41DACA96" w14:textId="77777777" w:rsidR="0033643C" w:rsidRPr="006C5D7E" w:rsidRDefault="0033643C" w:rsidP="00E0152D">
      <w:pPr>
        <w:numPr>
          <w:ilvl w:val="0"/>
          <w:numId w:val="1"/>
        </w:numPr>
        <w:pBdr>
          <w:top w:val="nil"/>
          <w:left w:val="nil"/>
          <w:bottom w:val="nil"/>
          <w:right w:val="nil"/>
          <w:between w:val="nil"/>
        </w:pBdr>
        <w:spacing w:line="480" w:lineRule="auto"/>
        <w:rPr>
          <w:rFonts w:ascii="Times New Roman" w:eastAsia="Times New Roman" w:hAnsi="Times New Roman" w:cs="Times New Roman"/>
          <w:color w:val="000000"/>
          <w:sz w:val="24"/>
          <w:szCs w:val="24"/>
        </w:rPr>
      </w:pPr>
      <w:r w:rsidRPr="006C5D7E">
        <w:rPr>
          <w:rFonts w:ascii="Times New Roman" w:eastAsia="Times New Roman" w:hAnsi="Times New Roman" w:cs="Times New Roman"/>
          <w:b/>
          <w:color w:val="000000"/>
          <w:sz w:val="24"/>
          <w:szCs w:val="24"/>
        </w:rPr>
        <w:t>Prediction at 2 years:</w:t>
      </w:r>
      <w:r w:rsidRPr="006C5D7E">
        <w:rPr>
          <w:rFonts w:ascii="Times New Roman" w:eastAsia="Times New Roman" w:hAnsi="Times New Roman" w:cs="Times New Roman"/>
          <w:color w:val="000000"/>
          <w:sz w:val="24"/>
          <w:szCs w:val="24"/>
        </w:rPr>
        <w:t xml:space="preserve"> -1</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01+(32×1</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12)+(2×6</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88)-(2</w:t>
      </w:r>
      <w:r w:rsidRPr="006C5D7E">
        <w:rPr>
          <w:rFonts w:ascii="Times New Roman" w:eastAsia="Times New Roman" w:hAnsi="Times New Roman" w:cs="Times New Roman"/>
          <w:color w:val="000000"/>
          <w:sz w:val="24"/>
          <w:szCs w:val="24"/>
          <w:vertAlign w:val="superscript"/>
        </w:rPr>
        <w:t>2</w:t>
      </w:r>
      <w:r w:rsidRPr="006C5D7E">
        <w:rPr>
          <w:rFonts w:ascii="Times New Roman" w:eastAsia="Times New Roman" w:hAnsi="Times New Roman" w:cs="Times New Roman"/>
          <w:color w:val="000000"/>
          <w:sz w:val="24"/>
          <w:szCs w:val="24"/>
        </w:rPr>
        <w:t>×1</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81)+(2</w:t>
      </w:r>
      <w:r w:rsidRPr="006C5D7E">
        <w:rPr>
          <w:rFonts w:ascii="Times New Roman" w:eastAsia="Times New Roman" w:hAnsi="Times New Roman" w:cs="Times New Roman"/>
          <w:color w:val="000000"/>
          <w:sz w:val="24"/>
          <w:szCs w:val="24"/>
          <w:vertAlign w:val="superscript"/>
        </w:rPr>
        <w:t>3</w:t>
      </w:r>
      <w:r w:rsidRPr="006C5D7E">
        <w:rPr>
          <w:rFonts w:ascii="Times New Roman" w:eastAsia="Times New Roman" w:hAnsi="Times New Roman" w:cs="Times New Roman"/>
          <w:color w:val="000000"/>
          <w:sz w:val="24"/>
          <w:szCs w:val="24"/>
        </w:rPr>
        <w:t>×0</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35)-1</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85×0-2</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53×0 = -1</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01+35</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84+13</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76-7</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24+2</w:t>
      </w:r>
      <w:r>
        <w:rPr>
          <w:rFonts w:ascii="Times New Roman" w:hAnsi="Times New Roman" w:cs="Times New Roman"/>
          <w:sz w:val="24"/>
          <w:szCs w:val="24"/>
        </w:rPr>
        <w:t>.</w:t>
      </w:r>
      <w:r w:rsidRPr="006C5D7E">
        <w:rPr>
          <w:rFonts w:ascii="Times New Roman" w:eastAsia="Times New Roman" w:hAnsi="Times New Roman" w:cs="Times New Roman"/>
          <w:color w:val="000000"/>
          <w:sz w:val="24"/>
          <w:szCs w:val="24"/>
        </w:rPr>
        <w:t>8=</w:t>
      </w:r>
      <w:r w:rsidRPr="006C5D7E">
        <w:rPr>
          <w:rFonts w:ascii="Times New Roman" w:eastAsia="Times New Roman" w:hAnsi="Times New Roman" w:cs="Times New Roman"/>
          <w:b/>
          <w:color w:val="000000"/>
          <w:sz w:val="24"/>
          <w:szCs w:val="24"/>
        </w:rPr>
        <w:t>44</w:t>
      </w:r>
      <w:r>
        <w:rPr>
          <w:rFonts w:ascii="Times New Roman" w:hAnsi="Times New Roman" w:cs="Times New Roman"/>
          <w:sz w:val="24"/>
          <w:szCs w:val="24"/>
        </w:rPr>
        <w:t>.</w:t>
      </w:r>
      <w:r w:rsidRPr="006C5D7E">
        <w:rPr>
          <w:rFonts w:ascii="Times New Roman" w:eastAsia="Times New Roman" w:hAnsi="Times New Roman" w:cs="Times New Roman"/>
          <w:b/>
          <w:color w:val="000000"/>
          <w:sz w:val="24"/>
          <w:szCs w:val="24"/>
        </w:rPr>
        <w:t>15°</w:t>
      </w:r>
    </w:p>
    <w:p w14:paraId="019AB057" w14:textId="12938DAB" w:rsidR="0033643C" w:rsidRPr="006C5D7E" w:rsidRDefault="0033643C" w:rsidP="00E0152D">
      <w:pPr>
        <w:spacing w:line="480" w:lineRule="auto"/>
        <w:rPr>
          <w:rFonts w:ascii="Times New Roman" w:hAnsi="Times New Roman" w:cs="Times New Roman"/>
          <w:sz w:val="24"/>
          <w:szCs w:val="24"/>
        </w:rPr>
      </w:pPr>
      <w:r w:rsidRPr="006C5D7E">
        <w:rPr>
          <w:rFonts w:ascii="Times New Roman" w:hAnsi="Times New Roman" w:cs="Times New Roman"/>
          <w:sz w:val="24"/>
          <w:szCs w:val="24"/>
        </w:rPr>
        <w:t>Clinicians could base the discussion with the patient and parents on what is reported in Table A1. In this specific case, both predicted future severities are important and would help the clinician in counselling the family to consider effective, aggressive conservative treatments</w:t>
      </w:r>
      <w:r w:rsidR="0034503C">
        <w:rPr>
          <w:rFonts w:ascii="Times New Roman" w:hAnsi="Times New Roman" w:cs="Times New Roman"/>
          <w:sz w:val="24"/>
          <w:szCs w:val="24"/>
        </w:rPr>
        <w:t xml:space="preserve"> </w:t>
      </w:r>
      <w:r w:rsidRPr="006C5D7E">
        <w:rPr>
          <w:rFonts w:ascii="Times New Roman" w:hAnsi="Times New Roman" w:cs="Times New Roman"/>
          <w:sz w:val="24"/>
          <w:szCs w:val="24"/>
        </w:rPr>
        <w:fldChar w:fldCharType="begin"/>
      </w:r>
      <w:r w:rsidR="0034503C">
        <w:rPr>
          <w:rFonts w:ascii="Times New Roman" w:hAnsi="Times New Roman" w:cs="Times New Roman"/>
          <w:sz w:val="24"/>
          <w:szCs w:val="24"/>
        </w:rPr>
        <w:instrText xml:space="preserve"> ADDIN ZOTERO_ITEM CSL_CITATION {"citationID":"1zfbpfz7","properties":{"formattedCitation":"[1, 2]","plainCitation":"[1, 2]","noteIndex":0},"citationItems":[{"id":108,"uris":["http://zotero.org/users/7148742/items/CZM23YE8"],"itemData":{"id":108,"type":"article-journal","abstract":"Background\nThe International Scientific Society on Scoliosis Orthopaedic and Rehabilitation Treatment (SOSORT) produced its first guidelines in 2005 and renewed them in 2011. Recently published high-quality clinical trials on the effect of conservative treatment approaches (braces and exercises) for idiopathic scoliosis prompted us to update the last guidelines’ version. The objective was to align the guidelines with the new scientific evidence to assure faster knowledge transfer into clinical practice of conservative treatment for idiopathic scoliosis (CTIS).\n\nMethods\nPhysicians, researchers and allied health practitioners working in the area of CTIS were involved in the development of the 2016 guidelines. Multiple literature reviews reviewing the evidence on CTIS (assessment, bracing, physiotherapy, physiotherapeutic scoliosis-specific exercises (PSSE) and other CTIS) were conducted. Documents, recommendations and practical approach flow charts were developed using a Delphi procedure. The process was completed with the Consensus Session held during the first combined SOSORT/IRSSD Meeting held in Banff, Canada, in May 2016.\n\nResults\nThe contents of the new 2016 guidelines include the following: background on idiopathic scoliosis, description of CTIS approaches for various populations with flow-charts for clinical practice, as well as literature reviews and recommendations on assessment, bracing, PSSE and other CTIS. The present guidelines include a total of 68 recommendations divided into following topics: bracing (n = 25), PSSE to prevent scoliosis progression during growth (n = 12), PSSE during brace treatment and surgical therapy (n = 6), other conservative treatments (n = 2), respiratory function and exercises (n = 3), general sport activities (n = 6); and assessment (n = 14). According to the agreed strength and level of evidence rating scale, there were 2 recommendations on bracing and 1 recommendation on PSSE that reached level of recommendation “I” and level of evidence “II”. Three recommendations reached strength of recommendation A based on the level of evidence I (2 for bracing and one for assessment); 39 recommendations reached strength of recommendation B (20 for bracing, 13 for PSSE, and 6 for assessment).The number of paper for each level of evidence for each treatment is shown in Table .\n\nConclusion\nThe 2016 SOSORT guidelines were developed based on the current evidence on CTIS. Over the last 5 years, high-quality evidence has started to emerge, particularly in the areas of efficacy of bracing (one large multicentre trial) and PSSE (three single-centre randomized controlled trials). Several grade A recommendations were presented. Despite the growing high-quality evidence, the heterogeneity of the study protocols limits generalizability of the recommendations. There is a need for standardization of research methods of conservative treatment effectiveness, as recognized by SOSORT and the Scoliosis Research Society (SRS) non-operative management Committee.\n\nElectronic supplementary material\nThe online version of this article (10.1186/s13013-017-0145-8) contains supplementary material, which is available to authorized users.","container-title":"Scoliosis and Spinal Disorders","DOI":"10.1186/s13013-017-0145-8","ISSN":"2397-1789","journalAbbreviation":"Scoliosis Spinal Disord","note":"PMID: 29435499\nPMCID: PMC5795289","source":"PubMed Central","title":"2016 SOSORT guidelines: orthopaedic and rehabilitation treatment of idiopathic scoliosis during growth","title-short":"2016 SOSORT guidelines","URL":"https://www.ncbi.nlm.nih.gov/pmc/articles/PMC5795289/","volume":"13","author":[{"family":"Negrini","given":"Stefano"},{"family":"Donzelli","given":"Sabrina"},{"family":"Aulisa","given":"Angelo Gabriele"},{"family":"Czaprowski","given":"Dariusz"},{"family":"Schreiber","given":"Sanja"},{"family":"Mauroy","given":"Jean Claude","non-dropping-particle":"de"},{"family":"Diers","given":"Helmut"},{"family":"Grivas","given":"Theodoros B."},{"family":"Knott","given":"Patrick"},{"family":"Kotwicki","given":"Tomasz"},{"family":"Lebel","given":"Andrea"},{"family":"Marti","given":"Cindy"},{"family":"Maruyama","given":"Toru"},{"family":"O’Brien","given":"Joe"},{"family":"Price","given":"Nigel"},{"family":"Parent","given":"Eric"},{"family":"Rigo","given":"Manuel"},{"family":"Romano","given":"Michele"},{"family":"Stikeleather","given":"Luke"},{"family":"Wynne","given":"James"},{"family":"Zaina","given":"Fabio"}],"accessed":{"date-parts":[["2020",11,25]]},"issued":{"date-parts":[["2018",1,10]]}}},{"id":300,"uris":["http://zotero.org/users/7148742/items/FKR8ZV7K"],"itemData":{"id":300,"type":"article-journal","abstract":"BACKGROUND: Idiopathic scoliosis is a three-dimensional deformity of the spine. The most common form is diagnosed in adolescence. While adolescent idiopathic scoliosis (AIS) can progress during growth and cause a surface deformity, it is usually not symptomatic. However, in adulthood, if the final spinal curvature surpasses a certain critical threshold, the risk of health problems and curve progression is increased.\nOBJECTIVES: To evaluate the efficacy of bracing for adolescents with AIS versus no treatment or other treatments, on quality of life, disability, pulmonary disorders, progression of the curve, and psychological and cosmetic issues.\nSEARCH METHODS: We searched CENTRAL, MEDLINE, EMBASE, five other databases, and two trials registers up to February 2015 for relevant clinical trials. We also checked the reference lists of relevant articles and conducted an extensive handsearch of grey literature.\nSELECTION CRITERIA: Randomized controlled trials (RCTs) and prospective controlled cohort studies comparing braces with no treatment, other treatment, surgery, and different types of braces for adolescent with AIS.\nDATA COLLECTION AND ANALYSIS: We used standard methodological procedures expected by The Cochrane Collaboration.\nMAIN RESULTS: We included seven studies (662 participants). Five were planned as RCTs and two as prospective controlled trials. One RCT failed completely, another was continued as an observational study, reporting also the results of the participants that had been randomized.There was very low quality evidence from one small RCT (111 participants) that quality of life (QoL) during treatment did not differ significantly between rigid bracing and observation (mean difference (MD) -2.10, 95% confidence interval (CI) -7.69 to 3.49). There was very low quality evidence from a subgroup of 77 adolescents from one prospective cohort study showing that QoL, back pain, psychological, and cosmetic issues did not differ significantly between rigid bracing and observation in the long term (16 years).Results of the secondary outcomes showed that there was low quality evidence that rigid bracing compared with observation significantly increased the success rate in 20° to 40° curves at two years' follow-up (one RCT, 116 participants; risk ratio (RR) 1.79, 95% CI 1.29 to 2.50). There was low quality evidence that elastic bracing increased the success rate in 15° to 30° curves at three years' follow-up (one RCT, 47 participants; RR 1.88, 95% CI 1.11 to 3.20).There is very low quality evidence from two prospective cohort studies with a control group that rigid bracing increases the success rate (curves not evolving to 50° or above) at two years' follow-up (one study, 242 participants; RR 1.50, 95% CI 1.19 to 1.89) and at three years' follow-up (one study, 240 participants; RR 1.75, 95% CI 1.42 to 2.16). There was very low quality evidence from a prospective cohort study (57 participants) that very rigid bracing increased the success rate (no progression of 5° or more, fusion, or waiting list for fusion) in adolescents with high degree curves (above 45°) (one study, 57 adolescents; RR 1.79, 95% CI 1.04 to 3.07 in the intention-to-treat (ITT) analysis).There was low quality evidence from one RCT that a rigid brace was more successful than an elastic brace at curbing curve progression when measured in Cobb degrees in low degree curves (20° to 30°), with no significant differences between the two groups in the subjective perception of daily difficulties associated with wearing the brace (43 girls; risk of success at four years' follow-up: RR 1.40, 1.03 to 1.89). Finally, there was very low quality evidence from one RCT (12 participants) that a rigid brace with a pad pressure control system is no better than a standard brace in reducing the risk of progression.Only one prospective cohort study (236 participants) assessed adverse events: neither the percentage of adolescents with any adverse event (RR 1.27, 95% CI 0.96 to 1.67) nor the percentage of adolescents reporting back pain, the most common adverse event, were different between the groups (RR 0.72, 95% CI 0.47 to 1.10).\nAUTHORS' CONCLUSIONS: Due to the important clinical differences among the studies, it was not possible to perform a meta-analysis. Two studies showed that bracing did not change QoL during treatment (low quality), and QoL, back pain, and psychological and cosmetic issues in the long term (16 years) (very low quality). All included papers consistently showed that bracing prevented curve progression (secondary outcome). However, due to the strength of evidence (from low to very low quality), further research is very likely to have an impact on our confidence in the estimate of effect. The high rate of failure of RCTs demonstrates the huge difficulties in performing RCTs in a field where parents reject randomization of their children. This challenge may prevent us from seeing increases in the quality of the evidence over time. Other designs need to be implemented and included in future reviews, including 'expertise-based' trials, prospective controlled cohort studies, prospective studies conducted according to pre-defined criteria such as the Scoliosis Research Society (SRS) and the international Society on Scoliosis Orthopedic and Rehabilitation Treatment (SOSORT) criteria. Future studies should increase their focus on participant outcomes, adverse effects, methods to increase compliance, and usefulness of physiotherapeutic scoliosis specific exercises added to bracing.","container-title":"The Cochrane Database of Systematic Reviews","DOI":"10.1002/14651858.CD006850.pub3","ISSN":"1469-493X","issue":"6","journalAbbreviation":"Cochrane Database Syst Rev","language":"eng","note":"PMID: 26086959","page":"CD006850","source":"PubMed","title":"Braces for idiopathic scoliosis in adolescents","author":[{"family":"Negrini","given":"Stefano"},{"family":"Minozzi","given":"Silvia"},{"family":"Bettany-Saltikov","given":"Josette"},{"family":"Chockalingam","given":"Nachiappan"},{"family":"Grivas","given":"Theodoros B."},{"family":"Kotwicki","given":"Tomasz"},{"family":"Maruyama","given":"Toru"},{"family":"Romano","given":"Michele"},{"family":"Zaina","given":"Fabio"}],"issued":{"date-parts":[["2015",6,18]]}}}],"schema":"https://github.com/citation-style-language/schema/raw/master/csl-citation.json"} </w:instrText>
      </w:r>
      <w:r w:rsidRPr="006C5D7E">
        <w:rPr>
          <w:rFonts w:ascii="Times New Roman" w:hAnsi="Times New Roman" w:cs="Times New Roman"/>
          <w:sz w:val="24"/>
          <w:szCs w:val="24"/>
        </w:rPr>
        <w:fldChar w:fldCharType="separate"/>
      </w:r>
      <w:r w:rsidR="0034503C" w:rsidRPr="0034503C">
        <w:rPr>
          <w:rFonts w:ascii="Times New Roman" w:hAnsi="Times New Roman" w:cs="Times New Roman"/>
          <w:sz w:val="24"/>
        </w:rPr>
        <w:t>[1, 2]</w:t>
      </w:r>
      <w:r w:rsidRPr="006C5D7E">
        <w:rPr>
          <w:rFonts w:ascii="Times New Roman" w:hAnsi="Times New Roman" w:cs="Times New Roman"/>
          <w:sz w:val="24"/>
          <w:szCs w:val="24"/>
        </w:rPr>
        <w:fldChar w:fldCharType="end"/>
      </w:r>
      <w:r w:rsidR="0034503C">
        <w:rPr>
          <w:rFonts w:ascii="Times New Roman" w:hAnsi="Times New Roman" w:cs="Times New Roman"/>
          <w:sz w:val="24"/>
          <w:szCs w:val="24"/>
        </w:rPr>
        <w:t>.</w:t>
      </w:r>
      <w:r w:rsidRPr="006C5D7E">
        <w:rPr>
          <w:rFonts w:ascii="Times New Roman" w:hAnsi="Times New Roman" w:cs="Times New Roman"/>
          <w:sz w:val="24"/>
          <w:szCs w:val="24"/>
        </w:rPr>
        <w:t xml:space="preserve"> Moreover, clinicians could consider combining this prediction model with the </w:t>
      </w:r>
      <w:proofErr w:type="spellStart"/>
      <w:r w:rsidRPr="006C5D7E">
        <w:rPr>
          <w:rFonts w:ascii="Times New Roman" w:hAnsi="Times New Roman" w:cs="Times New Roman"/>
          <w:sz w:val="24"/>
          <w:szCs w:val="24"/>
        </w:rPr>
        <w:t>BrAIST</w:t>
      </w:r>
      <w:proofErr w:type="spellEnd"/>
      <w:r w:rsidRPr="006C5D7E">
        <w:rPr>
          <w:rFonts w:ascii="Times New Roman" w:hAnsi="Times New Roman" w:cs="Times New Roman"/>
          <w:sz w:val="24"/>
          <w:szCs w:val="24"/>
        </w:rPr>
        <w:t xml:space="preserve"> one</w:t>
      </w:r>
      <w:r w:rsidR="0034503C">
        <w:rPr>
          <w:rFonts w:ascii="Times New Roman" w:hAnsi="Times New Roman" w:cs="Times New Roman"/>
          <w:sz w:val="24"/>
          <w:szCs w:val="24"/>
        </w:rPr>
        <w:t xml:space="preserve"> </w:t>
      </w:r>
      <w:r w:rsidRPr="006C5D7E">
        <w:rPr>
          <w:rFonts w:ascii="Times New Roman" w:hAnsi="Times New Roman" w:cs="Times New Roman"/>
          <w:sz w:val="24"/>
          <w:szCs w:val="24"/>
        </w:rPr>
        <w:fldChar w:fldCharType="begin"/>
      </w:r>
      <w:r w:rsidR="0034503C">
        <w:rPr>
          <w:rFonts w:ascii="Times New Roman" w:hAnsi="Times New Roman" w:cs="Times New Roman"/>
          <w:sz w:val="24"/>
          <w:szCs w:val="24"/>
        </w:rPr>
        <w:instrText xml:space="preserve"> ADDIN ZOTERO_ITEM CSL_CITATION {"citationID":"gA0Ia2ot","properties":{"formattedCitation":"[3]","plainCitation":"[3]","noteIndex":0},"citationItems":[{"id":331,"uris":["http://zotero.org/users/7148742/items/VM9AAZCA"],"itemData":{"id":331,"type":"article-journal","abstract":"STUDY DESIGN: Prognostic study and validation using prospective clinical trial data.\nOBJECTIVE: To derive and validate a model predicting curve progression to ≥45° before skeletal maturity in untreated patients with adolescent idiopathic scoliosis (AIS).\nSUMMARY OF BACKGROUND DATA: Studies have linked the natural history of AIS with characteristics such as sex, skeletal maturity, curve magnitude, and pattern. The Simplified Skeletal Maturity Scoring System may be of particular prognostic utility for the study of curve progression. The reliability of the system has been addressed; however, its value as a prognostic marker for the outcomes of AIS has not. The BrAIST trial followed a sample of untreated AIS patients from enrollment to skeletal maturity, providing a rare source of prospective data for prognostic modeling.\nMETHODS: The development sample included 115 untreated BrAIST participants. Logistic regression was used to predict curve progression to ≥45° (or surgery) before skeletal maturity. Predictors included the Cobb angle, age, sex, curve type, triradiate cartilage, and skeletal maturity stage (SMS). Internal and external validity was evaluated using jackknifed samples of the BrAIST data set and an independent cohort (n = 152). Indices of discrimination and calibration were estimated. A risk classification was created and the accuracy evaluated via the positive (PPV) and negative predictive values (NPV).\nRESULTS: The final model included the SMS, Cobb angle, and curve type. The model demonstrated strong discrimination (c-statistics 0.89-0.91) and calibration in all data sets. The classification system resulted in PPVs of 0.71-0.72 and NPVs of 0.85-0.93.\nCONCLUSIONS: This study provides the first rigorously validated model predicting a short-term outcome of untreated AIS. The resultant estimates can serve two important functions: 1) setting benchmarks for comparative effectiveness studies and 2) most importantly, providing clinicians and families with individual risk estimates to guide treatment decisions.\nLEVEL OF EVIDENCE: Level 1, prognostic.","container-title":"Spine Deformity","DOI":"10.1016/j.jspd.2019.01.011","ISSN":"2212-1358","issue":"6","journalAbbreviation":"Spine Deform","language":"eng","note":"PMID: 31731999\nPMCID: PMC6939758","page":"890-898.e4","source":"PubMed","title":"Bracing in Adolescent Idiopathic Scoliosis Trial (BrAIST): Development and Validation of a Prognostic Model in Untreated Adolescent Idiopathic Scoliosis Using the Simplified Skeletal Maturity System","title-short":"Bracing in Adolescent Idiopathic Scoliosis Trial (BrAIST)","volume":"7","author":[{"family":"Dolan","given":"Lori A."},{"family":"Weinstein","given":"Stuart L."},{"family":"Abel","given":"Mark F."},{"family":"Bosch","given":"Patrick P."},{"family":"Dobbs","given":"Matthew B."},{"family":"Farber","given":"Tyler O."},{"family":"Halsey","given":"Matthew F."},{"family":"Hresko","given":"M. Timothy"},{"family":"Krengel","given":"Walter F."},{"family":"Mehlman","given":"Charles T."},{"family":"Sanders","given":"James O."},{"family":"Schwend","given":"Richard M."},{"family":"Shah","given":"Suken A."},{"family":"Verma","given":"Kushagra"}],"issued":{"date-parts":[["2019",11]]}}}],"schema":"https://github.com/citation-style-language/schema/raw/master/csl-citation.json"} </w:instrText>
      </w:r>
      <w:r w:rsidRPr="006C5D7E">
        <w:rPr>
          <w:rFonts w:ascii="Times New Roman" w:hAnsi="Times New Roman" w:cs="Times New Roman"/>
          <w:sz w:val="24"/>
          <w:szCs w:val="24"/>
        </w:rPr>
        <w:fldChar w:fldCharType="separate"/>
      </w:r>
      <w:r w:rsidR="0034503C" w:rsidRPr="0034503C">
        <w:rPr>
          <w:rFonts w:ascii="Times New Roman" w:hAnsi="Times New Roman" w:cs="Times New Roman"/>
          <w:sz w:val="24"/>
        </w:rPr>
        <w:t>[3]</w:t>
      </w:r>
      <w:r w:rsidRPr="006C5D7E">
        <w:rPr>
          <w:rFonts w:ascii="Times New Roman" w:hAnsi="Times New Roman" w:cs="Times New Roman"/>
          <w:sz w:val="24"/>
          <w:szCs w:val="24"/>
        </w:rPr>
        <w:fldChar w:fldCharType="end"/>
      </w:r>
      <w:r w:rsidRPr="006C5D7E">
        <w:rPr>
          <w:rFonts w:ascii="Times New Roman" w:hAnsi="Times New Roman" w:cs="Times New Roman"/>
          <w:sz w:val="24"/>
          <w:szCs w:val="24"/>
        </w:rPr>
        <w:t xml:space="preserve"> to support counselling and final informed decisions as they focus on different outcomes. Clinicians should limit individual predictions based on our models to two years for BEFORE and AT and three years for AFTER. There are two main reasons for this recommended limitation: the average observation time between the pairs of radiographs of the participants included the development of each model (Table 2); the longer times would bring the prediction outside the puberty phases of the models.</w:t>
      </w:r>
    </w:p>
    <w:p w14:paraId="536736BA" w14:textId="41B62A5A" w:rsidR="00000000" w:rsidRDefault="0033643C" w:rsidP="00E0152D">
      <w:pPr>
        <w:spacing w:line="480" w:lineRule="auto"/>
      </w:pPr>
      <w:r w:rsidRPr="006C5D7E">
        <w:rPr>
          <w:rFonts w:ascii="Times New Roman" w:hAnsi="Times New Roman" w:cs="Times New Roman"/>
          <w:sz w:val="24"/>
          <w:szCs w:val="24"/>
        </w:rPr>
        <w:t>Another important use of our results is developing educational tools to help patients, families, and students understand scoliosis severity over time. One such graph shows the potential evolution throughout all growth of three curves identified at age seven and for three cases starting with the same Cobb angle but at different ages (</w:t>
      </w:r>
      <w:r w:rsidRPr="00E0152D">
        <w:rPr>
          <w:rFonts w:ascii="Times New Roman" w:hAnsi="Times New Roman" w:cs="Times New Roman"/>
          <w:b/>
          <w:bCs/>
          <w:sz w:val="24"/>
          <w:szCs w:val="24"/>
        </w:rPr>
        <w:t>F</w:t>
      </w:r>
      <w:r w:rsidR="00E0152D" w:rsidRPr="00E0152D">
        <w:rPr>
          <w:rFonts w:ascii="Times New Roman" w:hAnsi="Times New Roman" w:cs="Times New Roman"/>
          <w:b/>
          <w:bCs/>
          <w:sz w:val="24"/>
          <w:szCs w:val="24"/>
        </w:rPr>
        <w:t>IGURE</w:t>
      </w:r>
      <w:r w:rsidRPr="00E0152D">
        <w:rPr>
          <w:rFonts w:ascii="Times New Roman" w:hAnsi="Times New Roman" w:cs="Times New Roman"/>
          <w:b/>
          <w:bCs/>
          <w:sz w:val="24"/>
          <w:szCs w:val="24"/>
        </w:rPr>
        <w:t xml:space="preserve"> A1</w:t>
      </w:r>
      <w:r w:rsidRPr="006C5D7E">
        <w:rPr>
          <w:rFonts w:ascii="Times New Roman" w:hAnsi="Times New Roman" w:cs="Times New Roman"/>
          <w:sz w:val="24"/>
          <w:szCs w:val="24"/>
        </w:rPr>
        <w:t xml:space="preserve">). We used a series of predictions to develop these graphs where the end of one prediction became the starting point for the subsequent prediction. </w:t>
      </w:r>
      <w:r w:rsidRPr="006C5D7E">
        <w:rPr>
          <w:rFonts w:ascii="Times New Roman" w:hAnsi="Times New Roman" w:cs="Times New Roman"/>
          <w:sz w:val="24"/>
          <w:szCs w:val="24"/>
        </w:rPr>
        <w:lastRenderedPageBreak/>
        <w:t>According to the results, we used the projections over two years for BEFORE and AFTER and over one year for AT. Logically, this approach amplifies the prediction error and decreases the confidence in results as the prediction interval increases. Consequently, such graphs should not be used for predicting single patient results. Still, they can serve as an educational tool to explain the natural history of IS and help our overall understanding.</w:t>
      </w:r>
    </w:p>
    <w:sectPr w:rsidR="00983AA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3432DD"/>
    <w:multiLevelType w:val="multilevel"/>
    <w:tmpl w:val="2E026F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7FB3C71"/>
    <w:multiLevelType w:val="multilevel"/>
    <w:tmpl w:val="DE6C56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23639770">
    <w:abstractNumId w:val="1"/>
  </w:num>
  <w:num w:numId="2" w16cid:durableId="194345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3C"/>
    <w:rsid w:val="001433AA"/>
    <w:rsid w:val="0033643C"/>
    <w:rsid w:val="0034503C"/>
    <w:rsid w:val="00E0152D"/>
    <w:rsid w:val="00F424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A330"/>
  <w15:chartTrackingRefBased/>
  <w15:docId w15:val="{917BD447-B6D5-4145-97B8-A1008939A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3643C"/>
    <w:pPr>
      <w:jc w:val="both"/>
    </w:pPr>
    <w:rPr>
      <w:rFonts w:ascii="Calibri" w:eastAsia="Calibri" w:hAnsi="Calibri" w:cs="Calibri"/>
      <w:lang w:val="en-GB" w:eastAsia="it-IT"/>
    </w:rPr>
  </w:style>
  <w:style w:type="paragraph" w:styleId="Titolo1">
    <w:name w:val="heading 1"/>
    <w:basedOn w:val="Normale"/>
    <w:next w:val="Normale"/>
    <w:link w:val="Titolo1Carattere"/>
    <w:uiPriority w:val="9"/>
    <w:qFormat/>
    <w:rsid w:val="0033643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3643C"/>
    <w:rPr>
      <w:rFonts w:asciiTheme="majorHAnsi" w:eastAsiaTheme="majorEastAsia" w:hAnsiTheme="majorHAnsi" w:cstheme="majorBidi"/>
      <w:color w:val="2F5496" w:themeColor="accent1" w:themeShade="BF"/>
      <w:sz w:val="32"/>
      <w:szCs w:val="32"/>
      <w:lang w:val="en-GB"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2624</Words>
  <Characters>14960</Characters>
  <Application>Microsoft Office Word</Application>
  <DocSecurity>0</DocSecurity>
  <Lines>124</Lines>
  <Paragraphs>35</Paragraphs>
  <ScaleCrop>false</ScaleCrop>
  <Company/>
  <LinksUpToDate>false</LinksUpToDate>
  <CharactersWithSpaces>17549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Ferrario</dc:creator>
  <cp:keywords/>
  <dc:description/>
  <cp:lastModifiedBy>Irene Ferrario</cp:lastModifiedBy>
  <cp:revision>3</cp:revision>
  <dcterms:created xsi:type="dcterms:W3CDTF">2022-12-05T16:42:00Z</dcterms:created>
  <dcterms:modified xsi:type="dcterms:W3CDTF">2024-01-19T14:04:00Z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id="FR8BWs9z"/&gt;&lt;style id="http://www.zotero.org/styles/european-spine-journal" hasBibliography="1" bibliographyStyleHasBeenSet="0"/&gt;&lt;prefs&gt;&lt;pref name="fieldType" value="Field"/&gt;&lt;/prefs&gt;&lt;/data&gt;</vt:lpwstr>
  </property>
</Properties>
</file>