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68459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cs="Times New Roman"/>
          <w:i w:val="0"/>
          <w:iCs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/>
          <w:sz w:val="18"/>
          <w:szCs w:val="18"/>
        </w:rPr>
        <w:t>Table S1. Minimal model for 1-year JOA (baseline-adjusted, HC3)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575"/>
        <w:gridCol w:w="1080"/>
        <w:gridCol w:w="1441"/>
        <w:gridCol w:w="890"/>
      </w:tblGrid>
      <w:tr w14:paraId="5A9BD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56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7065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Variable</w:t>
            </w:r>
          </w:p>
        </w:tc>
        <w:tc>
          <w:tcPr>
            <w:tcW w:w="57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A15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β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441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Std. Error</w:t>
            </w:r>
          </w:p>
        </w:tc>
        <w:tc>
          <w:tcPr>
            <w:tcW w:w="144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FC9D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95% CI</w:t>
            </w:r>
          </w:p>
        </w:tc>
        <w:tc>
          <w:tcPr>
            <w:tcW w:w="89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3E0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宋体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-value</w:t>
            </w:r>
          </w:p>
        </w:tc>
      </w:tr>
      <w:tr w14:paraId="24BFE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3AF0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AAC-24 (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per 1-point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increase)</w:t>
            </w:r>
          </w:p>
        </w:tc>
        <w:tc>
          <w:tcPr>
            <w:tcW w:w="57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A857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-0.68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BE47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0.31</w:t>
            </w:r>
          </w:p>
        </w:tc>
        <w:tc>
          <w:tcPr>
            <w:tcW w:w="144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EE6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(-1.29, -0.08)</w:t>
            </w:r>
          </w:p>
        </w:tc>
        <w:tc>
          <w:tcPr>
            <w:tcW w:w="89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0A6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  <w:t>0.027</w:t>
            </w:r>
          </w:p>
        </w:tc>
      </w:tr>
      <w:tr w14:paraId="16466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1469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JOA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7062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157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B8B4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(0.33, 0.80)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B00F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31939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A32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y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21E1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-0.01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848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F11D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(-0.15, 0.12)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2069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0.859</w:t>
            </w:r>
          </w:p>
        </w:tc>
      </w:tr>
      <w:tr w14:paraId="4D3CB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579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EA77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D89A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1.54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093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(-2.15, 3.89)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998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0.572</w:t>
            </w:r>
          </w:p>
        </w:tc>
      </w:tr>
      <w:tr w14:paraId="10D84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76C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kg/m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superscript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FE0A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47BC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390D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(-0.37, 0.46)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5881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0.817</w:t>
            </w:r>
          </w:p>
        </w:tc>
      </w:tr>
      <w:tr w14:paraId="073CC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1B03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AA7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-2.25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EFD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3.35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B3A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(-8.81, 4.31)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9A9D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0.501</w:t>
            </w:r>
          </w:p>
        </w:tc>
      </w:tr>
    </w:tbl>
    <w:p w14:paraId="0E7DE5CE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right="60" w:firstLine="1440" w:firstLineChars="900"/>
        <w:jc w:val="both"/>
        <w:rPr>
          <w:rFonts w:hint="default" w:ascii="Times New Roman" w:hAnsi="Times New Roman" w:cs="Times New Roman"/>
          <w:i w:val="0"/>
          <w:iCs/>
          <w:sz w:val="16"/>
          <w:szCs w:val="16"/>
        </w:rPr>
      </w:pPr>
      <w:r>
        <w:rPr>
          <w:rFonts w:hint="default" w:ascii="Times New Roman" w:hAnsi="Times New Roman" w:eastAsia="Arial" w:cs="Times New Roman"/>
          <w:b w:val="0"/>
          <w:i w:val="0"/>
          <w:strike w:val="0"/>
          <w:color w:val="000000"/>
          <w:sz w:val="16"/>
          <w:szCs w:val="16"/>
          <w:u w:val="none"/>
        </w:rPr>
        <w:t>Heteroscedasticity-consistent SE (HC3). Two-sided α=0.05; 0.05–0.10 as trend.</w:t>
      </w:r>
    </w:p>
    <w:p w14:paraId="2223BD36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cs="Times New Roman"/>
          <w:i w:val="0"/>
          <w:iCs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/>
          <w:sz w:val="18"/>
          <w:szCs w:val="18"/>
        </w:rPr>
        <w:t>Table S2. Minimal model for 1-year ODI (baseline-adjusted, HC3)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961"/>
        <w:gridCol w:w="1080"/>
        <w:gridCol w:w="1377"/>
        <w:gridCol w:w="783"/>
      </w:tblGrid>
      <w:tr w14:paraId="17B85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19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E20E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Variable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B53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宋体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β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105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Std. Error</w:t>
            </w:r>
          </w:p>
        </w:tc>
        <w:tc>
          <w:tcPr>
            <w:tcW w:w="137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CDEE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95% CI</w:t>
            </w:r>
          </w:p>
        </w:tc>
        <w:tc>
          <w:tcPr>
            <w:tcW w:w="78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C6B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-value</w:t>
            </w:r>
          </w:p>
        </w:tc>
      </w:tr>
      <w:tr w14:paraId="4DC0E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9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1B0D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AAC-24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(per 1-point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increase)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1222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0.91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ED40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0.25</w:t>
            </w:r>
          </w:p>
        </w:tc>
        <w:tc>
          <w:tcPr>
            <w:tcW w:w="137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CF4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(0.42, 1.40)</w:t>
            </w:r>
          </w:p>
        </w:tc>
        <w:tc>
          <w:tcPr>
            <w:tcW w:w="78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BEDE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764EF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0F4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ODI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D68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3981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33B5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(0.33, 0.77)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AB3F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28085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802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y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AF1E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555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80D6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(-0.16, 0.19)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D109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0.861</w:t>
            </w:r>
          </w:p>
        </w:tc>
      </w:tr>
      <w:tr w14:paraId="1CC9F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2696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Male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B57A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15EA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1.84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584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(-3.31, 3.89)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BFF5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0.874</w:t>
            </w:r>
          </w:p>
        </w:tc>
      </w:tr>
      <w:tr w14:paraId="6CB8C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841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kg/m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superscript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8BD5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0A3F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8F6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(-0.34, 0.73)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D1A9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0.479</w:t>
            </w:r>
          </w:p>
        </w:tc>
      </w:tr>
      <w:tr w14:paraId="16C2F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43B9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B5A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2.83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C3F8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2.78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45C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(-2.62, 8.29)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2C7C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0.309</w:t>
            </w:r>
          </w:p>
        </w:tc>
      </w:tr>
    </w:tbl>
    <w:p w14:paraId="229EC101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cs="Times New Roman"/>
          <w:i w:val="0"/>
          <w:iCs/>
          <w:sz w:val="18"/>
          <w:szCs w:val="18"/>
        </w:rPr>
      </w:pPr>
    </w:p>
    <w:p w14:paraId="74BD0327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eastAsia="Arial" w:cs="Times New Roman"/>
          <w:b w:val="0"/>
          <w:i w:val="0"/>
          <w:strike w:val="0"/>
          <w:color w:val="000000"/>
          <w:sz w:val="16"/>
          <w:szCs w:val="16"/>
          <w:u w:val="none"/>
        </w:rPr>
      </w:pPr>
      <w:r>
        <w:rPr>
          <w:rFonts w:hint="default" w:ascii="Times New Roman" w:hAnsi="Times New Roman" w:eastAsia="Arial" w:cs="Times New Roman"/>
          <w:b w:val="0"/>
          <w:i w:val="0"/>
          <w:strike w:val="0"/>
          <w:color w:val="000000"/>
          <w:sz w:val="16"/>
          <w:szCs w:val="16"/>
          <w:u w:val="none"/>
        </w:rPr>
        <w:t>Heteroscedasticity-consistent SE (HC3). Two-sided α=0.05; 0.05–0.10 as trend.</w:t>
      </w:r>
    </w:p>
    <w:p w14:paraId="485DEA2B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cs="Times New Roman"/>
          <w:i w:val="0"/>
          <w:iCs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/>
          <w:sz w:val="18"/>
          <w:szCs w:val="18"/>
        </w:rPr>
        <w:t>Table S5. Firth/brglm2 logistic regression for MCID ≥10 points (full model)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739"/>
        <w:gridCol w:w="1421"/>
        <w:gridCol w:w="959"/>
      </w:tblGrid>
      <w:tr w14:paraId="66FE8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8B35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Variable</w:t>
            </w:r>
          </w:p>
        </w:tc>
        <w:tc>
          <w:tcPr>
            <w:tcW w:w="73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200D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OR</w:t>
            </w:r>
          </w:p>
        </w:tc>
        <w:tc>
          <w:tcPr>
            <w:tcW w:w="142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5127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95% CI</w:t>
            </w:r>
          </w:p>
        </w:tc>
        <w:tc>
          <w:tcPr>
            <w:tcW w:w="9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E84D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-value</w:t>
            </w:r>
          </w:p>
        </w:tc>
      </w:tr>
      <w:tr w14:paraId="6E538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570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AAC-24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(per 1-point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increase)</w:t>
            </w:r>
          </w:p>
        </w:tc>
        <w:tc>
          <w:tcPr>
            <w:tcW w:w="73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C119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0.84</w:t>
            </w:r>
          </w:p>
        </w:tc>
        <w:tc>
          <w:tcPr>
            <w:tcW w:w="142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6B9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(0.72, 0.95)</w:t>
            </w:r>
          </w:p>
        </w:tc>
        <w:tc>
          <w:tcPr>
            <w:tcW w:w="95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CA95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  <w:t>0.007</w:t>
            </w:r>
          </w:p>
        </w:tc>
      </w:tr>
      <w:tr w14:paraId="510F8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F793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ODI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E3AA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71A2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(1.02, 1.12)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821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  <w:t>0.002</w:t>
            </w:r>
          </w:p>
        </w:tc>
      </w:tr>
      <w:tr w14:paraId="44394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FEE5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Fusion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status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CE76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1.51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B1A8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(0.49, 4.67)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87CA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0.470</w:t>
            </w:r>
          </w:p>
        </w:tc>
      </w:tr>
      <w:tr w14:paraId="31944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9B3D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A6E7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0.79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9225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(0.34, 1.80)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5783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0.574</w:t>
            </w:r>
          </w:p>
        </w:tc>
      </w:tr>
      <w:tr w14:paraId="20611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49CA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96B7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B879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(0.95, 1.03)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C41A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0.690</w:t>
            </w:r>
          </w:p>
        </w:tc>
      </w:tr>
      <w:tr w14:paraId="427C8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B3E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kg/m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superscript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0D8D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688D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(0.82, 1.06)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C36F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0.264</w:t>
            </w:r>
          </w:p>
        </w:tc>
      </w:tr>
      <w:tr w14:paraId="195DC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B9D7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Hypertension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1808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1.91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6193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(0.82, 4.60)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989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0.135</w:t>
            </w:r>
          </w:p>
        </w:tc>
      </w:tr>
      <w:tr w14:paraId="040A7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6A21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Hyperlipidemia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5040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0.67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C31D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(0.25, 1.80)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EE9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0.425</w:t>
            </w:r>
          </w:p>
        </w:tc>
      </w:tr>
      <w:tr w14:paraId="19761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25D2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Diabetes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405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1.83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9775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(0.59, 6.27)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B754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0.305</w:t>
            </w:r>
          </w:p>
        </w:tc>
      </w:tr>
      <w:tr w14:paraId="29353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910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HU-based osteoporosis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A7AF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3DB1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(0.45, 2.87)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2F19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0.791</w:t>
            </w:r>
          </w:p>
        </w:tc>
      </w:tr>
      <w:tr w14:paraId="51B01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3D6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Multilevel fusion (≥2)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1ED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E31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(0.40, 2.22)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BAE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0.912</w:t>
            </w:r>
          </w:p>
        </w:tc>
      </w:tr>
      <w:tr w14:paraId="0E484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3B4C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Surgery duration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h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9F09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0.76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8CB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(0.49, 1.16)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68CA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0.209</w:t>
            </w:r>
          </w:p>
        </w:tc>
      </w:tr>
      <w:tr w14:paraId="6EE93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360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Blood loss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mL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03BE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168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(1.00, 1.01)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EEB1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0.046</w:t>
            </w:r>
          </w:p>
        </w:tc>
      </w:tr>
      <w:tr w14:paraId="7D8EF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8B3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6A4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1.33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2175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(0.25, 9.56)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941D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0.747</w:t>
            </w:r>
          </w:p>
        </w:tc>
      </w:tr>
      <w:tr w14:paraId="508E3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71" w:type="dxa"/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309C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EPV (events per variable) for this model: 3.64.</w:t>
            </w:r>
          </w:p>
        </w:tc>
      </w:tr>
    </w:tbl>
    <w:p w14:paraId="4199C059">
      <w:pPr>
        <w:rPr>
          <w:rFonts w:hint="default" w:ascii="Times New Roman" w:hAnsi="Times New Roman" w:cs="Times New Roman" w:eastAsiaTheme="minorEastAsia"/>
          <w:b w:val="0"/>
          <w:bCs/>
          <w:i w:val="0"/>
          <w:iCs/>
          <w:sz w:val="16"/>
          <w:szCs w:val="16"/>
          <w:lang w:val="en-US" w:eastAsia="en-US" w:bidi="ar-SA"/>
        </w:rPr>
      </w:pPr>
      <w:r>
        <w:rPr>
          <w:rFonts w:hint="default" w:ascii="Times New Roman" w:hAnsi="Times New Roman" w:cs="Times New Roman"/>
          <w:sz w:val="16"/>
          <w:szCs w:val="16"/>
        </w:rPr>
        <w:t>Odds ratios (ORs), 95% CIs, and p values are presented. Events-per-variable (EPV) is reported in the table footnote. Full covariate set matches the primary ANCOVA models.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i w:val="0"/>
          <w:iCs/>
          <w:sz w:val="16"/>
          <w:szCs w:val="16"/>
          <w:lang w:val="en-US" w:eastAsia="en-US" w:bidi="ar-SA"/>
        </w:rPr>
        <w:t>Logistic regression models were fitted using penalized likelihood with Firth’s bias reduction; see Supplementary Methods for details.</w:t>
      </w:r>
    </w:p>
    <w:p w14:paraId="1423D995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right="60"/>
        <w:jc w:val="both"/>
        <w:rPr>
          <w:rFonts w:hint="default" w:ascii="Times New Roman" w:hAnsi="Times New Roman" w:cs="Times New Roman"/>
          <w:i w:val="0"/>
          <w:iCs/>
          <w:sz w:val="18"/>
          <w:szCs w:val="18"/>
        </w:rPr>
      </w:pPr>
    </w:p>
    <w:p w14:paraId="011A1486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cs="Times New Roman"/>
          <w:i w:val="0"/>
          <w:iCs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/>
          <w:sz w:val="18"/>
          <w:szCs w:val="18"/>
        </w:rPr>
        <w:t>Table S6. Firth/brglm2 logistic regression for MCID ≥10 points (minimal model)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080"/>
        <w:gridCol w:w="1390"/>
        <w:gridCol w:w="770"/>
      </w:tblGrid>
      <w:tr w14:paraId="387E4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8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3176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Variable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06DD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OR</w:t>
            </w:r>
          </w:p>
        </w:tc>
        <w:tc>
          <w:tcPr>
            <w:tcW w:w="139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954D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95% CI</w:t>
            </w:r>
          </w:p>
        </w:tc>
        <w:tc>
          <w:tcPr>
            <w:tcW w:w="77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F74B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-value</w:t>
            </w:r>
          </w:p>
        </w:tc>
      </w:tr>
      <w:tr w14:paraId="36F48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A526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AAC-24 (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per 1-point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increase)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8CEF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0.83</w:t>
            </w:r>
          </w:p>
        </w:tc>
        <w:tc>
          <w:tcPr>
            <w:tcW w:w="139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EC2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(0.71, 0.94)</w:t>
            </w:r>
          </w:p>
        </w:tc>
        <w:tc>
          <w:tcPr>
            <w:tcW w:w="77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7A2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0.003</w:t>
            </w:r>
          </w:p>
        </w:tc>
      </w:tr>
      <w:tr w14:paraId="6099A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BF2D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ODI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B9EF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4020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(1.03, 1.12)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4017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0.001</w:t>
            </w:r>
          </w:p>
        </w:tc>
      </w:tr>
      <w:tr w14:paraId="26E7E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050B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y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E9AF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832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(0.96, 1.04)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D6A7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0.937</w:t>
            </w:r>
          </w:p>
        </w:tc>
      </w:tr>
      <w:tr w14:paraId="6539A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6BA0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Male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8AE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0.76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5203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(0.34, 1.67)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DA0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0.493</w:t>
            </w:r>
          </w:p>
        </w:tc>
      </w:tr>
      <w:tr w14:paraId="4B22F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237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kg/m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superscript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A5E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76BA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(0.85, 1.08)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A21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0.486</w:t>
            </w:r>
          </w:p>
        </w:tc>
      </w:tr>
      <w:tr w14:paraId="547A3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5EBD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C7A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2.62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43A7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(0.53, 18.68)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E0F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0.251</w:t>
            </w:r>
          </w:p>
        </w:tc>
      </w:tr>
      <w:tr w14:paraId="13D66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25" w:type="dxa"/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6BD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EPV (events per variable) for this model: 8.50.</w:t>
            </w:r>
          </w:p>
        </w:tc>
      </w:tr>
    </w:tbl>
    <w:p w14:paraId="7C06F973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right="60"/>
        <w:jc w:val="both"/>
        <w:rPr>
          <w:rFonts w:hint="default" w:ascii="Times New Roman" w:hAnsi="Times New Roman" w:cs="Times New Roman"/>
          <w:i w:val="0"/>
          <w:iCs/>
          <w:sz w:val="18"/>
          <w:szCs w:val="18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i w:val="0"/>
          <w:iCs/>
          <w:sz w:val="16"/>
          <w:szCs w:val="16"/>
          <w:lang w:val="en-US" w:eastAsia="en-US" w:bidi="ar-SA"/>
        </w:rPr>
        <w:t>Logistic regression models were fitted using penalized likelihood with Firth’s bias reduction; see Supplementary Methods for details.</w:t>
      </w:r>
    </w:p>
    <w:p w14:paraId="19C6CF5C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cs="Times New Roman"/>
          <w:i w:val="0"/>
          <w:iCs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/>
          <w:sz w:val="18"/>
          <w:szCs w:val="18"/>
        </w:rPr>
        <w:t>Table S7. Firth/brglm2 logistic regression for MCID ≥30% (full model, sensitivity)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829"/>
        <w:gridCol w:w="1331"/>
        <w:gridCol w:w="1080"/>
      </w:tblGrid>
      <w:tr w14:paraId="12112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6A99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Variable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7AFA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OR</w:t>
            </w:r>
          </w:p>
        </w:tc>
        <w:tc>
          <w:tcPr>
            <w:tcW w:w="133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06DA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95% CI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9468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-value</w:t>
            </w:r>
          </w:p>
        </w:tc>
      </w:tr>
      <w:tr w14:paraId="50CF9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DFC2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AAC-24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(per 1-point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increase)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6BB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0.80</w:t>
            </w:r>
          </w:p>
        </w:tc>
        <w:tc>
          <w:tcPr>
            <w:tcW w:w="133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A281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(0.68, 0.92)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CD2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27D3D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0BF2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ODI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15D7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45AE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(0.94, 1.02)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E60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0.377</w:t>
            </w:r>
          </w:p>
        </w:tc>
      </w:tr>
      <w:tr w14:paraId="1ACD0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61AD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Fusion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status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FA50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1.36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66B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(0.42, 4.13)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7F1A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0.601</w:t>
            </w:r>
          </w:p>
        </w:tc>
      </w:tr>
      <w:tr w14:paraId="29B9E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6065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75C8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E54C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(0.36, 1.93)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6BDA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0.675</w:t>
            </w:r>
          </w:p>
        </w:tc>
      </w:tr>
      <w:tr w14:paraId="0D7FC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4DAA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1F4F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413D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(0.95, 1.04)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B34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0.810</w:t>
            </w:r>
          </w:p>
        </w:tc>
      </w:tr>
      <w:tr w14:paraId="32679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75DD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kg/m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superscript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4D4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6852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(0.82, 1.05)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AC2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0.248</w:t>
            </w:r>
          </w:p>
        </w:tc>
      </w:tr>
      <w:tr w14:paraId="485EF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174F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Hypertension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9F0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C3AA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(0.50, 2.71)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B6D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0.725</w:t>
            </w:r>
          </w:p>
        </w:tc>
      </w:tr>
      <w:tr w14:paraId="1E102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BE0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Hyperlipidemia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F9F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0.59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A563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(0.22, 1.57)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8316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0.283</w:t>
            </w:r>
          </w:p>
        </w:tc>
      </w:tr>
      <w:tr w14:paraId="7B2F1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3FB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Diabetes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5303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DD59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(0.67, 7.36)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68A3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0.213</w:t>
            </w:r>
          </w:p>
        </w:tc>
      </w:tr>
      <w:tr w14:paraId="6C339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2F61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HU-based osteoporosis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D513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D523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(0.41, 2.70)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1A17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0.936</w:t>
            </w:r>
          </w:p>
        </w:tc>
      </w:tr>
      <w:tr w14:paraId="4FDBA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6DBD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Multilevel fusion (≥2)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E834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656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(0.50, 2.80)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89E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0.687</w:t>
            </w:r>
          </w:p>
        </w:tc>
      </w:tr>
      <w:tr w14:paraId="14822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5071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Surgery duration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h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F5BA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1CFA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(0.65, 1.54)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C89F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0.959</w:t>
            </w:r>
          </w:p>
        </w:tc>
      </w:tr>
      <w:tr w14:paraId="511C7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5E1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Blood loss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mL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F468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533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(1.00, 1.00)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A3B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0.722</w:t>
            </w:r>
          </w:p>
        </w:tc>
      </w:tr>
      <w:tr w14:paraId="558FC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E77E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8A49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F82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(0.22, 7.23)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73C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0.936</w:t>
            </w:r>
          </w:p>
        </w:tc>
      </w:tr>
      <w:tr w14:paraId="6EA41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56" w:type="dxa"/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4CDB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EPV (events per variable) for this model: 3.07.</w:t>
            </w:r>
          </w:p>
        </w:tc>
      </w:tr>
    </w:tbl>
    <w:p w14:paraId="1C7C6B3A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cs="Times New Roman"/>
          <w:i w:val="0"/>
          <w:iCs/>
          <w:sz w:val="18"/>
          <w:szCs w:val="18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i w:val="0"/>
          <w:iCs/>
          <w:sz w:val="16"/>
          <w:szCs w:val="16"/>
          <w:lang w:val="en-US" w:eastAsia="en-US" w:bidi="ar-SA"/>
        </w:rPr>
        <w:t>Logistic regression models were fitted using penalized likelihood with Firth’s bias reduction; see Supplementary Methods for details.</w:t>
      </w:r>
    </w:p>
    <w:p w14:paraId="321D96B7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cs="Times New Roman"/>
          <w:i w:val="0"/>
          <w:iCs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/>
          <w:sz w:val="18"/>
          <w:szCs w:val="18"/>
        </w:rPr>
        <w:t>Table S8. Firth/brglm2 logistic regression for MCID ≥30% (minimal model, sensitivity)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</w:tblGrid>
      <w:tr w14:paraId="708B9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2937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Variable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714E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OR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0E31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95% CI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58E4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iCs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-value</w:t>
            </w:r>
          </w:p>
        </w:tc>
      </w:tr>
      <w:tr w14:paraId="1D90C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82A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AAC-24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(per 1-point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increase)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55B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0.80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720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(0.68, 0.91)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1DF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2CD50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120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ODI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31FB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785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(0.94, 1.02)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B65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0.360</w:t>
            </w:r>
          </w:p>
        </w:tc>
      </w:tr>
      <w:tr w14:paraId="141B4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A25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>, 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C35F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9F7F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(0.96, 1.04)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ED23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0.946</w:t>
            </w:r>
          </w:p>
        </w:tc>
      </w:tr>
      <w:tr w14:paraId="2B540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BC4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6E9E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3CAB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(0.36, 1.84)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6B4F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0.614</w:t>
            </w:r>
          </w:p>
        </w:tc>
      </w:tr>
      <w:tr w14:paraId="48B03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170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kg/m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superscript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72E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3DFD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(0.82, 1.04)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C9E2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0.183</w:t>
            </w:r>
          </w:p>
        </w:tc>
      </w:tr>
      <w:tr w14:paraId="011A1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467D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C152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7C8C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(0.28, 8.52)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74B7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0.738</w:t>
            </w:r>
          </w:p>
        </w:tc>
      </w:tr>
      <w:tr w14:paraId="0E355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gridSpan w:val="4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B59A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iCs/>
                <w:strike w:val="0"/>
                <w:color w:val="000000"/>
                <w:sz w:val="18"/>
                <w:szCs w:val="18"/>
                <w:u w:val="none"/>
              </w:rPr>
              <w:t>EPV (events per variable) for this model: 7.17.</w:t>
            </w:r>
          </w:p>
        </w:tc>
      </w:tr>
    </w:tbl>
    <w:p w14:paraId="69336491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left"/>
        <w:rPr>
          <w:rFonts w:hint="default" w:ascii="Times New Roman" w:hAnsi="Times New Roman" w:cs="Times New Roman"/>
          <w:b/>
          <w:bCs w:val="0"/>
          <w:i w:val="0"/>
          <w:iCs/>
          <w:sz w:val="18"/>
          <w:szCs w:val="18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i w:val="0"/>
          <w:iCs/>
          <w:sz w:val="16"/>
          <w:szCs w:val="16"/>
          <w:lang w:val="en-US" w:eastAsia="en-US" w:bidi="ar-SA"/>
        </w:rPr>
        <w:t>Logistic regression models were fitted using penalized likelihood with Firth’s bias reduction; see Supplementary Methods for details.</w:t>
      </w:r>
    </w:p>
    <w:p w14:paraId="34ACE110">
      <w:pPr>
        <w:pStyle w:val="7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hint="default" w:ascii="Times New Roman" w:hAnsi="Times New Roman" w:cs="Times New Roman"/>
          <w:b/>
          <w:bCs w:val="0"/>
          <w:i w:val="0"/>
          <w:iCs/>
          <w:sz w:val="18"/>
          <w:szCs w:val="18"/>
        </w:rPr>
      </w:pPr>
      <w:r>
        <w:rPr>
          <w:rFonts w:hint="default" w:ascii="Times New Roman" w:hAnsi="Times New Roman" w:cs="Times New Roman"/>
          <w:b/>
          <w:bCs w:val="0"/>
          <w:i w:val="0"/>
          <w:iCs/>
          <w:sz w:val="18"/>
          <w:szCs w:val="18"/>
        </w:rPr>
        <w:t>Table S9. Variance inflation factors (VIF) for multivariable linear models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</w:tblGrid>
      <w:tr w14:paraId="69872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E73E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Model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679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Variable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7464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VIF</w:t>
            </w:r>
          </w:p>
        </w:tc>
      </w:tr>
      <w:tr w14:paraId="20F9B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7333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93A5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HU-based osteoporosis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9893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1.21</w:t>
            </w:r>
          </w:p>
        </w:tc>
      </w:tr>
      <w:tr w14:paraId="36F62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1A76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BE05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 (years)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8A86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1.29</w:t>
            </w:r>
          </w:p>
        </w:tc>
      </w:tr>
      <w:tr w14:paraId="3405C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D8A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B671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 (kg/m^2)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99C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1.21</w:t>
            </w:r>
          </w:p>
        </w:tc>
      </w:tr>
      <w:tr w14:paraId="501CE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B60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CB66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Blood loss (mL)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3D2F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1.56</w:t>
            </w:r>
          </w:p>
        </w:tc>
      </w:tr>
      <w:tr w14:paraId="2069D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5D39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5F4C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Diabetes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904E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1.16</w:t>
            </w:r>
          </w:p>
        </w:tc>
      </w:tr>
      <w:tr w14:paraId="46A8E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D725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CA78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Fusion (1 vs 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DFDE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1.12</w:t>
            </w:r>
          </w:p>
        </w:tc>
      </w:tr>
      <w:tr w14:paraId="72301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192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831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 (1 vs 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EED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1.12</w:t>
            </w:r>
          </w:p>
        </w:tc>
      </w:tr>
      <w:tr w14:paraId="4CB4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D7BC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575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Hyperlipidemia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5B95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1.08</w:t>
            </w:r>
          </w:p>
        </w:tc>
      </w:tr>
      <w:tr w14:paraId="7955D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B8C7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073D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Hypertension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E7CD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1.16</w:t>
            </w:r>
          </w:p>
        </w:tc>
      </w:tr>
      <w:tr w14:paraId="73D20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E66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F7F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JOA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CA3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1.10</w:t>
            </w:r>
          </w:p>
        </w:tc>
      </w:tr>
      <w:tr w14:paraId="56CFD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65C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2BC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AAC-24 (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per 1 point, total)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2D1F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1.18</w:t>
            </w:r>
          </w:p>
        </w:tc>
      </w:tr>
      <w:tr w14:paraId="17A39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E75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C4A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Multilevel fusion (≥2)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B426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1.12</w:t>
            </w:r>
          </w:p>
        </w:tc>
      </w:tr>
      <w:tr w14:paraId="7DAC0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A81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5B3F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Surgery duration (h)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B790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1.66</w:t>
            </w:r>
          </w:p>
        </w:tc>
      </w:tr>
      <w:tr w14:paraId="0F310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D5D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F0F0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46C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1.13</w:t>
            </w:r>
          </w:p>
        </w:tc>
      </w:tr>
      <w:tr w14:paraId="77AD3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C0B6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46F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 (years)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1EE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1.11</w:t>
            </w:r>
          </w:p>
        </w:tc>
      </w:tr>
      <w:tr w14:paraId="2859B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819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F179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 (kg/m^2)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81D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1.10</w:t>
            </w:r>
          </w:p>
        </w:tc>
      </w:tr>
      <w:tr w14:paraId="196A0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2B5E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41C3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 (1 vs 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EE94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1.06</w:t>
            </w:r>
          </w:p>
        </w:tc>
      </w:tr>
      <w:tr w14:paraId="12844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C8E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3E708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JOA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845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1.03</w:t>
            </w:r>
          </w:p>
        </w:tc>
      </w:tr>
      <w:tr w14:paraId="20383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BE90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D6C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AAC-24 (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per 1 point, total)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F078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1.10</w:t>
            </w:r>
          </w:p>
        </w:tc>
      </w:tr>
      <w:tr w14:paraId="6006B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A0AA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JOA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3EEA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464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1.05</w:t>
            </w:r>
          </w:p>
        </w:tc>
      </w:tr>
      <w:tr w14:paraId="07076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948B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E27B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HU-based osteoporosis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95D2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1.23</w:t>
            </w:r>
          </w:p>
        </w:tc>
      </w:tr>
      <w:tr w14:paraId="4C260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DDE2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1FB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 (years)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F44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1.28</w:t>
            </w:r>
          </w:p>
        </w:tc>
      </w:tr>
      <w:tr w14:paraId="4C736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840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FC0F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 (kg/m^2)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FBCB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1.26</w:t>
            </w:r>
          </w:p>
        </w:tc>
      </w:tr>
      <w:tr w14:paraId="23EC1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56C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974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Blood loss (mL)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C94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1.56</w:t>
            </w:r>
          </w:p>
        </w:tc>
      </w:tr>
      <w:tr w14:paraId="28902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26D4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EC22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Diabetes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35F1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1.15</w:t>
            </w:r>
          </w:p>
        </w:tc>
      </w:tr>
      <w:tr w14:paraId="18757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014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1729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Fusion (1 vs 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D373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1.12</w:t>
            </w:r>
          </w:p>
        </w:tc>
      </w:tr>
      <w:tr w14:paraId="50DA6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9C0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BD2A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 (1 vs 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815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1.11</w:t>
            </w:r>
          </w:p>
        </w:tc>
      </w:tr>
      <w:tr w14:paraId="0EAF6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09B4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A7F2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Hyperlipidemia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0A8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1.11</w:t>
            </w:r>
          </w:p>
        </w:tc>
      </w:tr>
      <w:tr w14:paraId="352FC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3504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7516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Hypertension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E72C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1.17</w:t>
            </w:r>
          </w:p>
        </w:tc>
      </w:tr>
      <w:tr w14:paraId="23CF6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18F8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6ECE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AAC-24 (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per 1 point, total)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53C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1.18</w:t>
            </w:r>
          </w:p>
        </w:tc>
      </w:tr>
      <w:tr w14:paraId="38D07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3F31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172B0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Multilevel fusion (≥2)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35AB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1.12</w:t>
            </w:r>
          </w:p>
        </w:tc>
      </w:tr>
      <w:tr w14:paraId="2E602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7441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6A6F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ODI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3152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1.13</w:t>
            </w:r>
          </w:p>
        </w:tc>
      </w:tr>
      <w:tr w14:paraId="0925E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87D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8988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Surgery duration (h)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945F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1.61</w:t>
            </w:r>
          </w:p>
        </w:tc>
      </w:tr>
      <w:tr w14:paraId="097BD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9CC2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(full)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C906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70D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1.14</w:t>
            </w:r>
          </w:p>
        </w:tc>
      </w:tr>
      <w:tr w14:paraId="07B03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11C57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266D5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 (years)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52E1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1.10</w:t>
            </w:r>
          </w:p>
        </w:tc>
      </w:tr>
      <w:tr w14:paraId="3DBE0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AE3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41439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BMI (kg/m^2)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147BC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1.12</w:t>
            </w:r>
          </w:p>
        </w:tc>
      </w:tr>
      <w:tr w14:paraId="0510B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BEE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42744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 (1 vs 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BC85E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1.05</w:t>
            </w:r>
          </w:p>
        </w:tc>
      </w:tr>
      <w:tr w14:paraId="71A01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AA59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976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AAC-24 (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per 1 point, total)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03AFA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1.11</w:t>
            </w:r>
          </w:p>
        </w:tc>
      </w:tr>
      <w:tr w14:paraId="11E86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6A7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(minimal)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7889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Preoperative ODI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80DD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1.05</w:t>
            </w:r>
          </w:p>
        </w:tc>
      </w:tr>
      <w:tr w14:paraId="24604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12BE2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ODI (minimal)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7A466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  <w:lang w:eastAsia="zh-CN"/>
              </w:rPr>
              <w:t>Smoking status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(former vs never)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4E653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1.06</w:t>
            </w:r>
          </w:p>
        </w:tc>
      </w:tr>
      <w:tr w14:paraId="32410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0378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Notes: VIF = 1/(1 - R^2) from regressing each predictor on all others. No serious multicollinearity was observed (all VIF values were below 2.5).</w:t>
            </w:r>
          </w:p>
        </w:tc>
      </w:tr>
    </w:tbl>
    <w:p w14:paraId="06FDB644">
      <w:pPr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Notes: VIF = 1/(1 − R²) from regressing each predictor on all others. No serious multicollinearity was observed (all VIF values were below 2.5). Post hoc power calculations for the main AAC-24 effects in the linear models are described in the Supplementary Methods.</w:t>
      </w:r>
      <w:bookmarkStart w:id="0" w:name="_GoBack"/>
      <w:bookmarkEnd w:id="0"/>
    </w:p>
    <w:p w14:paraId="34728E4F">
      <w:pPr>
        <w:jc w:val="both"/>
        <w:rPr>
          <w:rFonts w:hint="default" w:ascii="Times New Roman" w:hAnsi="Times New Roman" w:cs="Times New Roman"/>
          <w:sz w:val="16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pStyle w:val="2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72CD7"/>
    <w:rsid w:val="0273010D"/>
    <w:rsid w:val="050D65F7"/>
    <w:rsid w:val="0BA650B0"/>
    <w:rsid w:val="0E2B079B"/>
    <w:rsid w:val="18F953B8"/>
    <w:rsid w:val="190D7FF5"/>
    <w:rsid w:val="1BF82BF8"/>
    <w:rsid w:val="1C2D7C86"/>
    <w:rsid w:val="1D752B34"/>
    <w:rsid w:val="27FC632B"/>
    <w:rsid w:val="2E8C5F2F"/>
    <w:rsid w:val="36914A2B"/>
    <w:rsid w:val="3BB0325D"/>
    <w:rsid w:val="3BE72CD7"/>
    <w:rsid w:val="418F1B67"/>
    <w:rsid w:val="46BB51AC"/>
    <w:rsid w:val="4DB7491F"/>
    <w:rsid w:val="4F6E3703"/>
    <w:rsid w:val="60EC092C"/>
    <w:rsid w:val="6467701C"/>
    <w:rsid w:val="6F54601A"/>
    <w:rsid w:val="75555F2E"/>
    <w:rsid w:val="77A5108B"/>
    <w:rsid w:val="79EB5E9A"/>
    <w:rsid w:val="7B09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paragraph" w:customStyle="1" w:styleId="7">
    <w:name w:val="Table Caption"/>
    <w:basedOn w:val="8"/>
    <w:qFormat/>
    <w:uiPriority w:val="0"/>
  </w:style>
  <w:style w:type="paragraph" w:customStyle="1" w:styleId="8">
    <w:name w:val="Image Caption"/>
    <w:basedOn w:val="1"/>
    <w:qFormat/>
    <w:uiPriority w:val="0"/>
    <w:pPr>
      <w:jc w:val="center"/>
    </w:pPr>
    <w:rPr>
      <w:b/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902</Words>
  <Characters>4914</Characters>
  <Lines>0</Lines>
  <Paragraphs>0</Paragraphs>
  <TotalTime>39</TotalTime>
  <ScaleCrop>false</ScaleCrop>
  <LinksUpToDate>false</LinksUpToDate>
  <CharactersWithSpaces>5445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2025-11-12T07:20:00Z</dcterms:created>
  <dc:creator>壬辰</dc:creator>
  <cp:lastModifiedBy>壬辰</cp:lastModifiedBy>
  <dcterms:modified xsi:type="dcterms:W3CDTF">2025-11-16T16:07:26Z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E9BD81BDE252457499E7F9AF3742BDB8_11</vt:lpwstr>
  </property>
  <property fmtid="{D5CDD505-2E9C-101B-9397-08002B2CF9AE}" pid="4" name="KSOTemplateDocerSaveRecord">
    <vt:lpwstr>eyJoZGlkIjoiMWQyZTcwMDcyZDU1MzhjMDVmMzJmODg5ZmJkYjk3ZWMiLCJ1c2VySWQiOiI0MzkwNjcwNjkifQ==</vt:lpwstr>
  </property>
</Properties>
</file>