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AAD58" w14:textId="50CD30AF" w:rsidR="00732308" w:rsidRPr="00A33ACB" w:rsidRDefault="00000000">
      <w:pPr>
        <w:spacing w:line="48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Supplementary Methods – Additional statistical details</w:t>
      </w:r>
    </w:p>
    <w:p w14:paraId="770DD7D0" w14:textId="77777777" w:rsidR="00732308" w:rsidRDefault="00000000">
      <w:pPr>
        <w:spacing w:line="48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Linear models and variance estimators</w:t>
      </w:r>
    </w:p>
    <w:p w14:paraId="1425D6C9" w14:textId="6AD18882" w:rsidR="00732308" w:rsidRDefault="00000000">
      <w:pPr>
        <w:spacing w:line="48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All linear regression models (ANCOVA) were estimated using ordinary least squares with 1-year ODI or JOA as the dependent variable, AAC-24 as the main predictor, and the covariates described in the main manuscript. To reduce sensitivity to heteroskedasticity and mild model misspecification, we used heteroskedasticity-consistent (HC3) standard errors to obtain 95% confidence intervals and p values, rather than relying solely on model-based homoscedasticity assumptions.</w:t>
      </w:r>
    </w:p>
    <w:p w14:paraId="1E8E81DE" w14:textId="77777777" w:rsidR="00732308" w:rsidRDefault="00000000">
      <w:pPr>
        <w:spacing w:line="48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Penalized logistic regression for MCID outcomes</w:t>
      </w:r>
    </w:p>
    <w:p w14:paraId="674EE0C3" w14:textId="30E71B38" w:rsidR="00732308" w:rsidRDefault="00000000">
      <w:pPr>
        <w:spacing w:line="48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For binary outcomes representing achievement of the predefined ODI MCID thresholds (≥10-point absolute improvement and ≥30% relative improvement from baseline), we fitted penalized logistic regression models. Because the number of events was modest in some models and there was potential for small-sample bias or quasi-separation, we used Firth’s bias-reducing penalized likelihood, implemented in R with the brglm2 package. AAC-24 was entered as a continuous predictor, and the same sets of covariates as in the linear models were considered. For each MCID definition, two models were prespecified: (</w:t>
      </w:r>
      <w:proofErr w:type="spellStart"/>
      <w:r>
        <w:rPr>
          <w:rFonts w:ascii="Times New Roman" w:hAnsi="Times New Roman" w:cs="Times New Roman"/>
          <w:sz w:val="18"/>
          <w:szCs w:val="18"/>
        </w:rPr>
        <w:t>i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) a full model including AAC-24, baseline ODI, age, sex, BMI, hypertension, hyperlipidemia, diabetes, HU-based osteoporosis, smoking status, multilevel fusion, operative time, blood loss, and fusion status; and (ii) a </w:t>
      </w:r>
      <w:r w:rsidR="00DC44A1">
        <w:rPr>
          <w:rFonts w:ascii="Times New Roman" w:hAnsi="Times New Roman" w:cs="Times New Roman"/>
          <w:sz w:val="18"/>
          <w:szCs w:val="18"/>
        </w:rPr>
        <w:t>minimal</w:t>
      </w:r>
      <w:r>
        <w:rPr>
          <w:rFonts w:ascii="Times New Roman" w:hAnsi="Times New Roman" w:cs="Times New Roman"/>
          <w:sz w:val="18"/>
          <w:szCs w:val="18"/>
        </w:rPr>
        <w:t xml:space="preserve"> model including AAC-24, baseline ODI, age, sex, BMI, and smoking status. The main manuscript reports odds ratios for AAC-24 from the </w:t>
      </w:r>
      <w:r w:rsidR="00DC44A1">
        <w:rPr>
          <w:rFonts w:ascii="Times New Roman" w:hAnsi="Times New Roman" w:cs="Times New Roman"/>
          <w:sz w:val="18"/>
          <w:szCs w:val="18"/>
        </w:rPr>
        <w:t>minimal</w:t>
      </w:r>
      <w:r>
        <w:rPr>
          <w:rFonts w:ascii="Times New Roman" w:hAnsi="Times New Roman" w:cs="Times New Roman"/>
          <w:sz w:val="18"/>
          <w:szCs w:val="18"/>
        </w:rPr>
        <w:t xml:space="preserve"> models, </w:t>
      </w:r>
      <w:r w:rsidR="00DC44A1" w:rsidRPr="00DC44A1">
        <w:rPr>
          <w:rFonts w:ascii="Times New Roman" w:hAnsi="Times New Roman" w:cs="Times New Roman"/>
          <w:sz w:val="18"/>
          <w:szCs w:val="18"/>
        </w:rPr>
        <w:t>whereas full- and minimal-model estimates, along with EPV values, are presented in Supplementary Tables S5–S8 as sensitivity analyses.</w:t>
      </w:r>
    </w:p>
    <w:p w14:paraId="191E498B" w14:textId="77777777" w:rsidR="00732308" w:rsidRDefault="00000000">
      <w:pPr>
        <w:spacing w:line="48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Events-per-variable (EPV) calculations</w:t>
      </w:r>
    </w:p>
    <w:p w14:paraId="4501B442" w14:textId="7957F530" w:rsidR="00732308" w:rsidRDefault="00000000">
      <w:pPr>
        <w:spacing w:line="48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For each logistic model we calculated the events-per-variable (EPV) as the number of patients achieving the corresponding MCID (events) divided by the number of regression coefficients estimated (excluding the intercept). EPV values for both </w:t>
      </w:r>
      <w:r w:rsidR="00DC44A1">
        <w:rPr>
          <w:rFonts w:ascii="Times New Roman" w:hAnsi="Times New Roman" w:cs="Times New Roman"/>
          <w:sz w:val="18"/>
          <w:szCs w:val="18"/>
        </w:rPr>
        <w:t>minimal</w:t>
      </w:r>
      <w:r>
        <w:rPr>
          <w:rFonts w:ascii="Times New Roman" w:hAnsi="Times New Roman" w:cs="Times New Roman"/>
          <w:sz w:val="18"/>
          <w:szCs w:val="18"/>
        </w:rPr>
        <w:t xml:space="preserve"> and full models are reported in the footnotes of Supplementary Tables S5–S8. In general, EPV values for the </w:t>
      </w:r>
      <w:r w:rsidR="00DC44A1">
        <w:rPr>
          <w:rFonts w:ascii="Times New Roman" w:hAnsi="Times New Roman" w:cs="Times New Roman"/>
          <w:sz w:val="18"/>
          <w:szCs w:val="18"/>
        </w:rPr>
        <w:t>minimal</w:t>
      </w:r>
      <w:r>
        <w:rPr>
          <w:rFonts w:ascii="Times New Roman" w:hAnsi="Times New Roman" w:cs="Times New Roman"/>
          <w:sz w:val="18"/>
          <w:szCs w:val="18"/>
        </w:rPr>
        <w:t xml:space="preserve"> models were within commonly accepted thresholds for reliable estimation, whereas EPV for some full models fell below these thresholds; results from the latter are therefore interpreted with caution.</w:t>
      </w:r>
    </w:p>
    <w:p w14:paraId="76748CCB" w14:textId="77777777" w:rsidR="00732308" w:rsidRDefault="00000000">
      <w:pPr>
        <w:spacing w:line="48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Post hoc power considerations</w:t>
      </w:r>
    </w:p>
    <w:p w14:paraId="27628752" w14:textId="77777777" w:rsidR="00732308" w:rsidRDefault="00000000">
      <w:pPr>
        <w:spacing w:line="48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Post hoc power analyses were performed for the main AAC-24 effect in the baseline-adjusted linear ANCOVA models for 1-year ODI and JOA, in order to gauge whether the study had adequate power for its primary questions. For each outcome, we compared the full model (including AAC-24) with a reduced model excluding AAC-24, computed the change in explained variance (ΔR²), and converted this to Cohen’s f² using f² = ΔR² / (1 − ΔR²). For the ODI model, AAC-24 increased R² by approximately 0.07 (f² ≈ 0.11), yielding an achieved power of about 0.93 at α = 0.05. For the JOA model, the increase in R² was approximately 0.05 (f² ≈ 0.07), corresponding to an achieved power of about 0.79. These calculations suggest that the study was adequately powered to detect the observed AAC-24 effects on the primary functional outcomes, whereas more complex interactions and subgroup analyses would be underpowered and are therefore interpreted descriptively. Because these analyses are post hoc and effect-size–based, they are intended as supportive rather than definitive evidence of power, and no additional tables of numeric power results are provided.</w:t>
      </w:r>
    </w:p>
    <w:p w14:paraId="784A34D3" w14:textId="77777777" w:rsidR="00732308" w:rsidRDefault="00732308">
      <w:pPr>
        <w:spacing w:line="480" w:lineRule="auto"/>
        <w:rPr>
          <w:rFonts w:ascii="Times New Roman" w:hAnsi="Times New Roman" w:cs="Times New Roman"/>
          <w:sz w:val="18"/>
          <w:szCs w:val="18"/>
        </w:rPr>
      </w:pPr>
    </w:p>
    <w:sectPr w:rsidR="007323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1C94B" w14:textId="77777777" w:rsidR="0074701E" w:rsidRDefault="0074701E" w:rsidP="00A33ACB">
      <w:r>
        <w:separator/>
      </w:r>
    </w:p>
  </w:endnote>
  <w:endnote w:type="continuationSeparator" w:id="0">
    <w:p w14:paraId="4BE9DBD3" w14:textId="77777777" w:rsidR="0074701E" w:rsidRDefault="0074701E" w:rsidP="00A33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CF5A3" w14:textId="77777777" w:rsidR="0074701E" w:rsidRDefault="0074701E" w:rsidP="00A33ACB">
      <w:r>
        <w:separator/>
      </w:r>
    </w:p>
  </w:footnote>
  <w:footnote w:type="continuationSeparator" w:id="0">
    <w:p w14:paraId="01056DEC" w14:textId="77777777" w:rsidR="0074701E" w:rsidRDefault="0074701E" w:rsidP="00A33A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2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7462FA8"/>
    <w:rsid w:val="0001739F"/>
    <w:rsid w:val="00732308"/>
    <w:rsid w:val="0074701E"/>
    <w:rsid w:val="00A33ACB"/>
    <w:rsid w:val="00DB6551"/>
    <w:rsid w:val="00DC44A1"/>
    <w:rsid w:val="0B101CD4"/>
    <w:rsid w:val="27462FA8"/>
    <w:rsid w:val="7EAE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5F9CEA"/>
  <w15:docId w15:val="{8175C79E-FA93-415C-B6FA-19BBC174A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  <w:style w:type="paragraph" w:styleId="a4">
    <w:name w:val="header"/>
    <w:basedOn w:val="a"/>
    <w:link w:val="a5"/>
    <w:rsid w:val="00A33AC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33AC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A33A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A33AC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522</Words>
  <Characters>2981</Characters>
  <Application>Microsoft Office Word</Application>
  <DocSecurity>0</DocSecurity>
  <Lines>24</Lines>
  <Paragraphs>6</Paragraphs>
  <ScaleCrop>false</ScaleCrop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壬辰</dc:creator>
  <cp:lastModifiedBy>尚书 魏</cp:lastModifiedBy>
  <cp:revision>3</cp:revision>
  <dcterms:created xsi:type="dcterms:W3CDTF">2025-11-15T15:33:00Z</dcterms:created>
  <dcterms:modified xsi:type="dcterms:W3CDTF">2025-11-16T16:43:00Z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D1426FCF1C9443CD86C4BF4119CA0996_11</vt:lpwstr>
  </property>
  <property fmtid="{D5CDD505-2E9C-101B-9397-08002B2CF9AE}" pid="4" name="KSOTemplateDocerSaveRecord">
    <vt:lpwstr>eyJoZGlkIjoiMWQyZTcwMDcyZDU1MzhjMDVmMzJmODg5ZmJkYjk3ZWMiLCJ1c2VySWQiOiI0MzkwNjcwNjkifQ==</vt:lpwstr>
  </property>
</Properties>
</file>