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0411B" w14:textId="77777777" w:rsidR="002C6DCB" w:rsidRPr="00CA417F" w:rsidRDefault="002C6DCB" w:rsidP="002C6DCB">
      <w:pPr>
        <w:pStyle w:val="1"/>
        <w:spacing w:after="120"/>
        <w:rPr>
          <w:bCs w:val="0"/>
          <w:color w:val="000000" w:themeColor="text1"/>
        </w:rPr>
      </w:pPr>
      <w:r w:rsidRPr="00CA417F">
        <w:rPr>
          <w:rFonts w:ascii="Times New Roman" w:eastAsia="Times New Roman" w:hAnsi="Times New Roman"/>
          <w:bCs w:val="0"/>
          <w:color w:val="000000" w:themeColor="text1"/>
          <w:sz w:val="24"/>
        </w:rPr>
        <w:t>Supplementary Methods and Tables</w:t>
      </w:r>
    </w:p>
    <w:p w14:paraId="5E2E80FF" w14:textId="77777777" w:rsidR="002C6DCB" w:rsidRPr="00CA417F" w:rsidRDefault="002C6DCB" w:rsidP="002C6DCB">
      <w:pPr>
        <w:pStyle w:val="2"/>
        <w:spacing w:after="120"/>
        <w:rPr>
          <w:bCs w:val="0"/>
          <w:color w:val="000000" w:themeColor="text1"/>
        </w:rPr>
      </w:pPr>
      <w:r w:rsidRPr="00CA417F">
        <w:rPr>
          <w:rFonts w:ascii="Times New Roman" w:eastAsia="Times New Roman" w:hAnsi="Times New Roman"/>
          <w:bCs w:val="0"/>
          <w:color w:val="000000" w:themeColor="text1"/>
          <w:sz w:val="24"/>
        </w:rPr>
        <w:t>Supplementary Methods S1. Clinical-radiological reference classification</w:t>
      </w:r>
    </w:p>
    <w:p w14:paraId="3917AED3" w14:textId="77777777" w:rsidR="002C6DCB" w:rsidRPr="00CA417F" w:rsidRDefault="002C6DCB" w:rsidP="002C6DCB">
      <w:pPr>
        <w:spacing w:after="120"/>
        <w:rPr>
          <w:color w:val="000000" w:themeColor="text1"/>
        </w:rPr>
      </w:pPr>
      <w:r w:rsidRPr="00CA417F">
        <w:rPr>
          <w:color w:val="000000" w:themeColor="text1"/>
          <w:sz w:val="24"/>
        </w:rPr>
        <w:t>The target condition in this study was clinically suspected symptomatic lower cervical instability. The study group was classified using a prespecified 3+1 clinical-radiological reference framework, consisting of three required conditions and at least one supportive condition.</w:t>
      </w:r>
    </w:p>
    <w:p w14:paraId="5C9A959D" w14:textId="77777777" w:rsidR="002C6DCB" w:rsidRPr="00CA417F" w:rsidRDefault="002C6DCB" w:rsidP="002C6DCB">
      <w:pPr>
        <w:spacing w:after="120"/>
        <w:rPr>
          <w:color w:val="000000" w:themeColor="text1"/>
        </w:rPr>
      </w:pPr>
      <w:r w:rsidRPr="00CA417F">
        <w:rPr>
          <w:color w:val="000000" w:themeColor="text1"/>
          <w:sz w:val="24"/>
        </w:rPr>
        <w:t>The three required conditions were as follows. First, the symptom criterion required persistent or recurrent neck and shoulder pain for at least 3 months related to neck motion, postural change, or loading, with or without radiating pain, numbness, weakness, or other upper-extremity neurological symptoms. Second, the degenerative imaging criterion required definite degenerative changes at the clinically suspected segment on MRI or CT together with at least two of the following findings: moderate-to-severe disc degeneration, moderate-to-severe facet degeneration, disc-space narrowing or reduced disc-space height, canal or foraminal stenosis, endplate degeneration, osteophyte formation, or other definite degenerative findings. Third, the exclusion criterion required exclusion of acute trauma, infection, tumor, congenital deformity, and other major nondegenerative causes that could explain the current symptoms.</w:t>
      </w:r>
    </w:p>
    <w:p w14:paraId="316A9462" w14:textId="77777777" w:rsidR="002C6DCB" w:rsidRPr="00CA417F" w:rsidRDefault="002C6DCB" w:rsidP="002C6DCB">
      <w:pPr>
        <w:spacing w:after="120"/>
        <w:rPr>
          <w:color w:val="000000" w:themeColor="text1"/>
        </w:rPr>
      </w:pPr>
      <w:r w:rsidRPr="00CA417F">
        <w:rPr>
          <w:color w:val="000000" w:themeColor="text1"/>
          <w:sz w:val="24"/>
        </w:rPr>
        <w:t>At least one supportive condition also had to be present: physical signs related to the responsible segment, such as restricted cervical motion, paraspinal tenderness, a positive Spurling test, or corresponding segmental neurological findings; anatomical concordance between clinical symptoms and the responsible segment suggested by MRI; or marked symptom relief after short-term cervical collar immobilization or standardized conservative treatment, suggesting a mechanical component.</w:t>
      </w:r>
    </w:p>
    <w:p w14:paraId="60CB401A" w14:textId="4F09AA0C" w:rsidR="002C6DCB" w:rsidRPr="00CA417F" w:rsidRDefault="002C6DCB" w:rsidP="002C6DCB">
      <w:pPr>
        <w:spacing w:after="120"/>
        <w:rPr>
          <w:color w:val="000000" w:themeColor="text1"/>
        </w:rPr>
      </w:pPr>
      <w:r w:rsidRPr="00CA417F">
        <w:rPr>
          <w:color w:val="000000" w:themeColor="text1"/>
          <w:sz w:val="24"/>
        </w:rPr>
        <w:t xml:space="preserve">Because this reference classification included degenerative imaging evidence, ROC results for </w:t>
      </w:r>
      <w:proofErr w:type="spellStart"/>
      <w:r w:rsidRPr="00CA417F">
        <w:rPr>
          <w:color w:val="000000" w:themeColor="text1"/>
          <w:sz w:val="24"/>
        </w:rPr>
        <w:t>Pfirrmann</w:t>
      </w:r>
      <w:proofErr w:type="spellEnd"/>
      <w:r w:rsidRPr="00CA417F">
        <w:rPr>
          <w:color w:val="000000" w:themeColor="text1"/>
          <w:sz w:val="24"/>
        </w:rPr>
        <w:t xml:space="preserve"> grade, </w:t>
      </w:r>
      <w:proofErr w:type="spellStart"/>
      <w:r w:rsidRPr="00CA417F">
        <w:rPr>
          <w:color w:val="000000" w:themeColor="text1"/>
          <w:sz w:val="24"/>
        </w:rPr>
        <w:t>Weishaupt</w:t>
      </w:r>
      <w:proofErr w:type="spellEnd"/>
      <w:r w:rsidRPr="00CA417F">
        <w:rPr>
          <w:color w:val="000000" w:themeColor="text1"/>
          <w:sz w:val="24"/>
        </w:rPr>
        <w:t xml:space="preserve"> grade, and disc-space-height-related variables should be interpreted as sensitivity or </w:t>
      </w:r>
      <w:r w:rsidR="001E68EA" w:rsidRPr="001E68EA">
        <w:rPr>
          <w:color w:val="000000" w:themeColor="text1"/>
          <w:sz w:val="24"/>
        </w:rPr>
        <w:t>exploratory</w:t>
      </w:r>
      <w:r w:rsidR="001E68EA">
        <w:rPr>
          <w:color w:val="000000" w:themeColor="text1"/>
          <w:sz w:val="24"/>
        </w:rPr>
        <w:t xml:space="preserve"> </w:t>
      </w:r>
      <w:r w:rsidRPr="00CA417F">
        <w:rPr>
          <w:color w:val="000000" w:themeColor="text1"/>
          <w:sz w:val="24"/>
        </w:rPr>
        <w:t>analyses rather than as fully independent competing reference-standard tests.</w:t>
      </w:r>
    </w:p>
    <w:p w14:paraId="706710BD" w14:textId="77777777" w:rsidR="002C6DCB" w:rsidRPr="00CA417F" w:rsidRDefault="002C6DCB" w:rsidP="002C6DCB">
      <w:pPr>
        <w:pStyle w:val="2"/>
        <w:spacing w:after="120"/>
        <w:rPr>
          <w:bCs w:val="0"/>
          <w:color w:val="000000" w:themeColor="text1"/>
        </w:rPr>
      </w:pPr>
      <w:r w:rsidRPr="00CA417F">
        <w:rPr>
          <w:rFonts w:ascii="Times New Roman" w:eastAsia="Times New Roman" w:hAnsi="Times New Roman"/>
          <w:bCs w:val="0"/>
          <w:color w:val="000000" w:themeColor="text1"/>
          <w:sz w:val="24"/>
        </w:rPr>
        <w:t>Supplementary Methods S2. Reliability and measurement-error analysis</w:t>
      </w:r>
    </w:p>
    <w:p w14:paraId="3CFA270F" w14:textId="77777777" w:rsidR="002C6DCB" w:rsidRPr="00CA417F" w:rsidRDefault="002C6DCB" w:rsidP="002C6DCB">
      <w:pPr>
        <w:spacing w:after="120"/>
        <w:rPr>
          <w:color w:val="000000" w:themeColor="text1"/>
        </w:rPr>
      </w:pPr>
      <w:r w:rsidRPr="00CA417F">
        <w:rPr>
          <w:color w:val="000000" w:themeColor="text1"/>
          <w:sz w:val="24"/>
        </w:rPr>
        <w:t>Interobserver reliability was assessed using a two-way random-effects model with absolute agreement for single measurements [</w:t>
      </w:r>
      <w:proofErr w:type="gramStart"/>
      <w:r w:rsidRPr="00CA417F">
        <w:rPr>
          <w:color w:val="000000" w:themeColor="text1"/>
          <w:sz w:val="24"/>
        </w:rPr>
        <w:t>ICC(</w:t>
      </w:r>
      <w:proofErr w:type="gramEnd"/>
      <w:r w:rsidRPr="00CA417F">
        <w:rPr>
          <w:color w:val="000000" w:themeColor="text1"/>
          <w:sz w:val="24"/>
        </w:rPr>
        <w:t>2,1)]. Bland-Altman analysis was used to evaluate systematic bias and absolute agreement between the two observers. The mean difference between observers was used to assess systematic bias. The 95% limits of agreement were calculated as the mean difference ±1.96×SD of the between-</w:t>
      </w:r>
      <w:r w:rsidRPr="00CA417F">
        <w:rPr>
          <w:color w:val="000000" w:themeColor="text1"/>
          <w:sz w:val="24"/>
        </w:rPr>
        <w:lastRenderedPageBreak/>
        <w:t>observer differences. The standard error of measurement was calculated as the SD of the between-observer differences divided by √2. The minimal detectable change at the 95% confidence level was calculated as 1.96×SD of the between-observer differences.</w:t>
      </w:r>
    </w:p>
    <w:p w14:paraId="63B942CA" w14:textId="77777777" w:rsidR="002C6DCB" w:rsidRPr="00CA417F" w:rsidRDefault="002C6DCB" w:rsidP="002C6DCB">
      <w:pPr>
        <w:pStyle w:val="2"/>
        <w:spacing w:after="120"/>
        <w:rPr>
          <w:bCs w:val="0"/>
          <w:color w:val="000000" w:themeColor="text1"/>
        </w:rPr>
      </w:pPr>
      <w:r w:rsidRPr="00CA417F">
        <w:rPr>
          <w:rFonts w:ascii="Times New Roman" w:eastAsia="Times New Roman" w:hAnsi="Times New Roman"/>
          <w:bCs w:val="0"/>
          <w:color w:val="000000" w:themeColor="text1"/>
          <w:sz w:val="24"/>
        </w:rPr>
        <w:t>Supplementary Methods S3. Additional statistical details</w:t>
      </w:r>
    </w:p>
    <w:p w14:paraId="55441F24" w14:textId="77777777" w:rsidR="002C6DCB" w:rsidRPr="00CA417F" w:rsidRDefault="002C6DCB" w:rsidP="002C6DCB">
      <w:pPr>
        <w:spacing w:after="120"/>
        <w:rPr>
          <w:color w:val="000000" w:themeColor="text1"/>
        </w:rPr>
      </w:pPr>
      <w:r w:rsidRPr="00CA417F">
        <w:rPr>
          <w:color w:val="000000" w:themeColor="text1"/>
          <w:sz w:val="24"/>
        </w:rPr>
        <w:t xml:space="preserve">Continuous variables were first assessed for distribution. Normally distributed continuous variables were expressed as </w:t>
      </w:r>
      <w:proofErr w:type="spellStart"/>
      <w:r w:rsidRPr="00CA417F">
        <w:rPr>
          <w:color w:val="000000" w:themeColor="text1"/>
          <w:sz w:val="24"/>
        </w:rPr>
        <w:t>mean±standard</w:t>
      </w:r>
      <w:proofErr w:type="spellEnd"/>
      <w:r w:rsidRPr="00CA417F">
        <w:rPr>
          <w:color w:val="000000" w:themeColor="text1"/>
          <w:sz w:val="24"/>
        </w:rPr>
        <w:t xml:space="preserve"> deviation and compared using the independent-samples t test. Non-normally distributed variables were expressed as median and interquartile range and compared using the Mann-Whitney U test. Categorical variables were expressed as frequency and percentage and compared using the chi-square test or Fisher’s exact test, as appropriate.</w:t>
      </w:r>
    </w:p>
    <w:p w14:paraId="316B872A" w14:textId="77777777" w:rsidR="002C6DCB" w:rsidRPr="00CA417F" w:rsidRDefault="002C6DCB" w:rsidP="002C6DCB">
      <w:pPr>
        <w:spacing w:after="120"/>
        <w:rPr>
          <w:color w:val="000000" w:themeColor="text1"/>
        </w:rPr>
      </w:pPr>
      <w:r w:rsidRPr="00CA417F">
        <w:rPr>
          <w:color w:val="000000" w:themeColor="text1"/>
          <w:sz w:val="24"/>
        </w:rPr>
        <w:t xml:space="preserve">Point-biserial correlation analysis was used to assess the association between TCDR and lower cervical instability status. Spearman rank correlation analysis was used to evaluate the relationships of TCDR with </w:t>
      </w:r>
      <w:proofErr w:type="spellStart"/>
      <w:r w:rsidRPr="00CA417F">
        <w:rPr>
          <w:color w:val="000000" w:themeColor="text1"/>
          <w:sz w:val="24"/>
        </w:rPr>
        <w:t>Pfirrmann</w:t>
      </w:r>
      <w:proofErr w:type="spellEnd"/>
      <w:r w:rsidRPr="00CA417F">
        <w:rPr>
          <w:color w:val="000000" w:themeColor="text1"/>
          <w:sz w:val="24"/>
        </w:rPr>
        <w:t xml:space="preserve"> and </w:t>
      </w:r>
      <w:proofErr w:type="spellStart"/>
      <w:r w:rsidRPr="00CA417F">
        <w:rPr>
          <w:color w:val="000000" w:themeColor="text1"/>
          <w:sz w:val="24"/>
        </w:rPr>
        <w:t>Weishaupt</w:t>
      </w:r>
      <w:proofErr w:type="spellEnd"/>
      <w:r w:rsidRPr="00CA417F">
        <w:rPr>
          <w:color w:val="000000" w:themeColor="text1"/>
          <w:sz w:val="24"/>
        </w:rPr>
        <w:t xml:space="preserve"> grades. Statistical analyses were performed using SPSS 24.0 and Python 3.9.</w:t>
      </w:r>
    </w:p>
    <w:p w14:paraId="052D1CFE" w14:textId="77777777" w:rsidR="002C6DCB" w:rsidRDefault="002C6DCB" w:rsidP="002C6DCB">
      <w:pPr>
        <w:rPr>
          <w:color w:val="000000" w:themeColor="text1"/>
        </w:rPr>
      </w:pPr>
    </w:p>
    <w:p w14:paraId="4A554B62" w14:textId="6B088B50" w:rsidR="002C6DCB" w:rsidRDefault="002C6DCB" w:rsidP="002C6DCB">
      <w:pPr>
        <w:pStyle w:val="2"/>
        <w:spacing w:after="120"/>
        <w:rPr>
          <w:color w:val="000000" w:themeColor="text1"/>
        </w:rPr>
      </w:pPr>
      <w:r w:rsidRPr="00C81F5C">
        <w:rPr>
          <w:rFonts w:ascii="Times New Roman" w:eastAsia="Times New Roman" w:hAnsi="Times New Roman"/>
          <w:bCs w:val="0"/>
          <w:color w:val="000000" w:themeColor="text1"/>
          <w:sz w:val="24"/>
        </w:rPr>
        <w:t>Supplementary Table S1</w:t>
      </w:r>
      <w:r w:rsidRPr="00CA417F">
        <w:rPr>
          <w:rFonts w:ascii="Times New Roman" w:eastAsia="Times New Roman" w:hAnsi="Times New Roman"/>
          <w:b w:val="0"/>
          <w:color w:val="000000" w:themeColor="text1"/>
          <w:sz w:val="24"/>
        </w:rPr>
        <w:t>. Definitions of radiographic and imaging parameters</w:t>
      </w:r>
    </w:p>
    <w:tbl>
      <w:tblPr>
        <w:tblStyle w:val="a3"/>
        <w:tblW w:w="0" w:type="auto"/>
        <w:jc w:val="center"/>
        <w:tblLook w:val="04A0" w:firstRow="1" w:lastRow="0" w:firstColumn="1" w:lastColumn="0" w:noHBand="0" w:noVBand="1"/>
      </w:tblPr>
      <w:tblGrid>
        <w:gridCol w:w="2594"/>
        <w:gridCol w:w="3715"/>
        <w:gridCol w:w="1987"/>
      </w:tblGrid>
      <w:tr w:rsidR="002C6DCB" w:rsidRPr="00CA417F" w14:paraId="33A2A34D" w14:textId="77777777" w:rsidTr="002C6DCB">
        <w:trPr>
          <w:jc w:val="center"/>
        </w:trPr>
        <w:tc>
          <w:tcPr>
            <w:tcW w:w="3168" w:type="dxa"/>
            <w:shd w:val="clear" w:color="auto" w:fill="auto"/>
            <w:vAlign w:val="center"/>
          </w:tcPr>
          <w:p w14:paraId="4539D062" w14:textId="77777777" w:rsidR="002C6DCB" w:rsidRPr="002C6DCB" w:rsidRDefault="002C6DCB" w:rsidP="00D72076">
            <w:pPr>
              <w:rPr>
                <w:color w:val="000000" w:themeColor="text1"/>
              </w:rPr>
            </w:pPr>
            <w:r w:rsidRPr="002C6DCB">
              <w:rPr>
                <w:color w:val="000000" w:themeColor="text1"/>
              </w:rPr>
              <w:t>Parameter</w:t>
            </w:r>
          </w:p>
        </w:tc>
        <w:tc>
          <w:tcPr>
            <w:tcW w:w="8208" w:type="dxa"/>
            <w:shd w:val="clear" w:color="auto" w:fill="auto"/>
            <w:vAlign w:val="center"/>
          </w:tcPr>
          <w:p w14:paraId="55FC1B03" w14:textId="77777777" w:rsidR="002C6DCB" w:rsidRPr="002C6DCB" w:rsidRDefault="002C6DCB" w:rsidP="00D72076">
            <w:pPr>
              <w:rPr>
                <w:color w:val="000000" w:themeColor="text1"/>
              </w:rPr>
            </w:pPr>
            <w:r w:rsidRPr="002C6DCB">
              <w:rPr>
                <w:color w:val="000000" w:themeColor="text1"/>
              </w:rPr>
              <w:t>Definition</w:t>
            </w:r>
          </w:p>
        </w:tc>
        <w:tc>
          <w:tcPr>
            <w:tcW w:w="3024" w:type="dxa"/>
            <w:shd w:val="clear" w:color="auto" w:fill="auto"/>
            <w:vAlign w:val="center"/>
          </w:tcPr>
          <w:p w14:paraId="43A53302" w14:textId="77777777" w:rsidR="002C6DCB" w:rsidRPr="002C6DCB" w:rsidRDefault="002C6DCB" w:rsidP="00D72076">
            <w:pPr>
              <w:rPr>
                <w:color w:val="000000" w:themeColor="text1"/>
              </w:rPr>
            </w:pPr>
            <w:r w:rsidRPr="002C6DCB">
              <w:rPr>
                <w:color w:val="000000" w:themeColor="text1"/>
              </w:rPr>
              <w:t>Imaging modality/view</w:t>
            </w:r>
          </w:p>
        </w:tc>
      </w:tr>
      <w:tr w:rsidR="002C6DCB" w:rsidRPr="00CA417F" w14:paraId="428622FD" w14:textId="77777777" w:rsidTr="00D72076">
        <w:trPr>
          <w:jc w:val="center"/>
        </w:trPr>
        <w:tc>
          <w:tcPr>
            <w:tcW w:w="3168" w:type="dxa"/>
            <w:vAlign w:val="center"/>
          </w:tcPr>
          <w:p w14:paraId="015F9712" w14:textId="77777777" w:rsidR="002C6DCB" w:rsidRPr="002C6DCB" w:rsidRDefault="002C6DCB" w:rsidP="00D72076">
            <w:pPr>
              <w:rPr>
                <w:color w:val="000000" w:themeColor="text1"/>
              </w:rPr>
            </w:pPr>
            <w:r w:rsidRPr="002C6DCB">
              <w:rPr>
                <w:color w:val="000000" w:themeColor="text1"/>
              </w:rPr>
              <w:t>Mid-sagittal vertebral body diameter</w:t>
            </w:r>
          </w:p>
        </w:tc>
        <w:tc>
          <w:tcPr>
            <w:tcW w:w="8208" w:type="dxa"/>
            <w:vAlign w:val="center"/>
          </w:tcPr>
          <w:p w14:paraId="4B3335B3" w14:textId="77777777" w:rsidR="002C6DCB" w:rsidRPr="002C6DCB" w:rsidRDefault="002C6DCB" w:rsidP="00D72076">
            <w:pPr>
              <w:rPr>
                <w:color w:val="000000" w:themeColor="text1"/>
              </w:rPr>
            </w:pPr>
            <w:r w:rsidRPr="002C6DCB">
              <w:rPr>
                <w:color w:val="000000" w:themeColor="text1"/>
              </w:rPr>
              <w:t>Mean of the anterior-posterior diameters of the upper and lower vertebral bodies at the measured segment</w:t>
            </w:r>
          </w:p>
        </w:tc>
        <w:tc>
          <w:tcPr>
            <w:tcW w:w="3024" w:type="dxa"/>
            <w:vAlign w:val="center"/>
          </w:tcPr>
          <w:p w14:paraId="069FFBA8" w14:textId="77777777" w:rsidR="002C6DCB" w:rsidRPr="002C6DCB" w:rsidRDefault="002C6DCB" w:rsidP="00D72076">
            <w:pPr>
              <w:rPr>
                <w:color w:val="000000" w:themeColor="text1"/>
              </w:rPr>
            </w:pPr>
            <w:r w:rsidRPr="002C6DCB">
              <w:rPr>
                <w:color w:val="000000" w:themeColor="text1"/>
              </w:rPr>
              <w:t>Neutral lateral radiograph</w:t>
            </w:r>
          </w:p>
        </w:tc>
      </w:tr>
      <w:tr w:rsidR="002C6DCB" w:rsidRPr="00CA417F" w14:paraId="7C9F01C4" w14:textId="77777777" w:rsidTr="00D72076">
        <w:trPr>
          <w:jc w:val="center"/>
        </w:trPr>
        <w:tc>
          <w:tcPr>
            <w:tcW w:w="3168" w:type="dxa"/>
            <w:vAlign w:val="center"/>
          </w:tcPr>
          <w:p w14:paraId="2EF91E46" w14:textId="77777777" w:rsidR="002C6DCB" w:rsidRPr="002C6DCB" w:rsidRDefault="002C6DCB" w:rsidP="00D72076">
            <w:pPr>
              <w:rPr>
                <w:color w:val="000000" w:themeColor="text1"/>
              </w:rPr>
            </w:pPr>
            <w:r w:rsidRPr="002C6DCB">
              <w:rPr>
                <w:color w:val="000000" w:themeColor="text1"/>
              </w:rPr>
              <w:t>Vertebral body height</w:t>
            </w:r>
          </w:p>
        </w:tc>
        <w:tc>
          <w:tcPr>
            <w:tcW w:w="8208" w:type="dxa"/>
            <w:vAlign w:val="center"/>
          </w:tcPr>
          <w:p w14:paraId="260B3F85" w14:textId="77777777" w:rsidR="002C6DCB" w:rsidRPr="002C6DCB" w:rsidRDefault="002C6DCB" w:rsidP="00D72076">
            <w:pPr>
              <w:rPr>
                <w:color w:val="000000" w:themeColor="text1"/>
              </w:rPr>
            </w:pPr>
            <w:r w:rsidRPr="002C6DCB">
              <w:rPr>
                <w:color w:val="000000" w:themeColor="text1"/>
              </w:rPr>
              <w:t>Mean height of the upper and lower vertebral bodies at the measured segment</w:t>
            </w:r>
          </w:p>
        </w:tc>
        <w:tc>
          <w:tcPr>
            <w:tcW w:w="3024" w:type="dxa"/>
            <w:vAlign w:val="center"/>
          </w:tcPr>
          <w:p w14:paraId="18908DDC" w14:textId="77777777" w:rsidR="002C6DCB" w:rsidRPr="002C6DCB" w:rsidRDefault="002C6DCB" w:rsidP="00D72076">
            <w:pPr>
              <w:rPr>
                <w:color w:val="000000" w:themeColor="text1"/>
              </w:rPr>
            </w:pPr>
            <w:r w:rsidRPr="002C6DCB">
              <w:rPr>
                <w:color w:val="000000" w:themeColor="text1"/>
              </w:rPr>
              <w:t>Neutral lateral radiograph</w:t>
            </w:r>
          </w:p>
        </w:tc>
      </w:tr>
      <w:tr w:rsidR="002C6DCB" w:rsidRPr="00CA417F" w14:paraId="1E8B4C46" w14:textId="77777777" w:rsidTr="00D72076">
        <w:trPr>
          <w:jc w:val="center"/>
        </w:trPr>
        <w:tc>
          <w:tcPr>
            <w:tcW w:w="3168" w:type="dxa"/>
            <w:vAlign w:val="center"/>
          </w:tcPr>
          <w:p w14:paraId="7B13BC07" w14:textId="77777777" w:rsidR="002C6DCB" w:rsidRPr="002C6DCB" w:rsidRDefault="002C6DCB" w:rsidP="00D72076">
            <w:pPr>
              <w:rPr>
                <w:color w:val="000000" w:themeColor="text1"/>
              </w:rPr>
            </w:pPr>
            <w:r w:rsidRPr="002C6DCB">
              <w:rPr>
                <w:color w:val="000000" w:themeColor="text1"/>
              </w:rPr>
              <w:t>Intervertebral angulation</w:t>
            </w:r>
          </w:p>
        </w:tc>
        <w:tc>
          <w:tcPr>
            <w:tcW w:w="8208" w:type="dxa"/>
            <w:vAlign w:val="center"/>
          </w:tcPr>
          <w:p w14:paraId="3F215440" w14:textId="77777777" w:rsidR="002C6DCB" w:rsidRPr="002C6DCB" w:rsidRDefault="002C6DCB" w:rsidP="00D72076">
            <w:pPr>
              <w:rPr>
                <w:color w:val="000000" w:themeColor="text1"/>
              </w:rPr>
            </w:pPr>
            <w:r w:rsidRPr="002C6DCB">
              <w:rPr>
                <w:color w:val="000000" w:themeColor="text1"/>
              </w:rPr>
              <w:t>Change in segmental angle between flexion and extension radiographs</w:t>
            </w:r>
          </w:p>
        </w:tc>
        <w:tc>
          <w:tcPr>
            <w:tcW w:w="3024" w:type="dxa"/>
            <w:vAlign w:val="center"/>
          </w:tcPr>
          <w:p w14:paraId="7CA9F0E4" w14:textId="77777777" w:rsidR="002C6DCB" w:rsidRPr="002C6DCB" w:rsidRDefault="002C6DCB" w:rsidP="00D72076">
            <w:pPr>
              <w:rPr>
                <w:color w:val="000000" w:themeColor="text1"/>
              </w:rPr>
            </w:pPr>
            <w:r w:rsidRPr="002C6DCB">
              <w:rPr>
                <w:color w:val="000000" w:themeColor="text1"/>
              </w:rPr>
              <w:t>Flexion-extension lateral radiographs</w:t>
            </w:r>
          </w:p>
        </w:tc>
      </w:tr>
      <w:tr w:rsidR="002C6DCB" w:rsidRPr="00CA417F" w14:paraId="338CBCF2" w14:textId="77777777" w:rsidTr="00D72076">
        <w:trPr>
          <w:jc w:val="center"/>
        </w:trPr>
        <w:tc>
          <w:tcPr>
            <w:tcW w:w="3168" w:type="dxa"/>
            <w:vAlign w:val="center"/>
          </w:tcPr>
          <w:p w14:paraId="60F9CD34" w14:textId="77777777" w:rsidR="002C6DCB" w:rsidRPr="002C6DCB" w:rsidRDefault="002C6DCB" w:rsidP="00D72076">
            <w:pPr>
              <w:rPr>
                <w:color w:val="000000" w:themeColor="text1"/>
              </w:rPr>
            </w:pPr>
            <w:r w:rsidRPr="002C6DCB">
              <w:rPr>
                <w:color w:val="000000" w:themeColor="text1"/>
              </w:rPr>
              <w:t>Intervertebral sagittal translation</w:t>
            </w:r>
          </w:p>
        </w:tc>
        <w:tc>
          <w:tcPr>
            <w:tcW w:w="8208" w:type="dxa"/>
            <w:vAlign w:val="center"/>
          </w:tcPr>
          <w:p w14:paraId="6A42316F" w14:textId="77777777" w:rsidR="002C6DCB" w:rsidRPr="002C6DCB" w:rsidRDefault="002C6DCB" w:rsidP="00D72076">
            <w:pPr>
              <w:rPr>
                <w:color w:val="000000" w:themeColor="text1"/>
              </w:rPr>
            </w:pPr>
            <w:r w:rsidRPr="002C6DCB">
              <w:rPr>
                <w:color w:val="000000" w:themeColor="text1"/>
              </w:rPr>
              <w:t>Difference in relative anteroposterior displacement between adjacent posterior vertebral body margins on flexion and extension radiographs</w:t>
            </w:r>
          </w:p>
        </w:tc>
        <w:tc>
          <w:tcPr>
            <w:tcW w:w="3024" w:type="dxa"/>
            <w:vAlign w:val="center"/>
          </w:tcPr>
          <w:p w14:paraId="086F5E99" w14:textId="77777777" w:rsidR="002C6DCB" w:rsidRPr="002C6DCB" w:rsidRDefault="002C6DCB" w:rsidP="00D72076">
            <w:pPr>
              <w:rPr>
                <w:color w:val="000000" w:themeColor="text1"/>
              </w:rPr>
            </w:pPr>
            <w:r w:rsidRPr="002C6DCB">
              <w:rPr>
                <w:color w:val="000000" w:themeColor="text1"/>
              </w:rPr>
              <w:t>Flexion-extension lateral radiographs</w:t>
            </w:r>
          </w:p>
        </w:tc>
      </w:tr>
      <w:tr w:rsidR="002C6DCB" w:rsidRPr="00CA417F" w14:paraId="2CE84822" w14:textId="77777777" w:rsidTr="00D72076">
        <w:trPr>
          <w:jc w:val="center"/>
        </w:trPr>
        <w:tc>
          <w:tcPr>
            <w:tcW w:w="3168" w:type="dxa"/>
            <w:vAlign w:val="center"/>
          </w:tcPr>
          <w:p w14:paraId="39394D95" w14:textId="77777777" w:rsidR="002C6DCB" w:rsidRPr="002C6DCB" w:rsidRDefault="002C6DCB" w:rsidP="00D72076">
            <w:pPr>
              <w:rPr>
                <w:color w:val="000000" w:themeColor="text1"/>
              </w:rPr>
            </w:pPr>
            <w:r w:rsidRPr="002C6DCB">
              <w:rPr>
                <w:color w:val="000000" w:themeColor="text1"/>
              </w:rPr>
              <w:lastRenderedPageBreak/>
              <w:t>Disc-space height at the affected segment</w:t>
            </w:r>
          </w:p>
        </w:tc>
        <w:tc>
          <w:tcPr>
            <w:tcW w:w="8208" w:type="dxa"/>
            <w:vAlign w:val="center"/>
          </w:tcPr>
          <w:p w14:paraId="66621369" w14:textId="77777777" w:rsidR="002C6DCB" w:rsidRPr="002C6DCB" w:rsidRDefault="002C6DCB" w:rsidP="00D72076">
            <w:pPr>
              <w:rPr>
                <w:color w:val="000000" w:themeColor="text1"/>
              </w:rPr>
            </w:pPr>
            <w:r w:rsidRPr="002C6DCB">
              <w:rPr>
                <w:color w:val="000000" w:themeColor="text1"/>
              </w:rPr>
              <w:t>Central height of the target disc space</w:t>
            </w:r>
          </w:p>
        </w:tc>
        <w:tc>
          <w:tcPr>
            <w:tcW w:w="3024" w:type="dxa"/>
            <w:vAlign w:val="center"/>
          </w:tcPr>
          <w:p w14:paraId="5B8F8B85" w14:textId="77777777" w:rsidR="002C6DCB" w:rsidRPr="002C6DCB" w:rsidRDefault="002C6DCB" w:rsidP="00D72076">
            <w:pPr>
              <w:rPr>
                <w:color w:val="000000" w:themeColor="text1"/>
              </w:rPr>
            </w:pPr>
            <w:r w:rsidRPr="002C6DCB">
              <w:rPr>
                <w:color w:val="000000" w:themeColor="text1"/>
              </w:rPr>
              <w:t>Neutral lateral radiograph</w:t>
            </w:r>
          </w:p>
        </w:tc>
      </w:tr>
      <w:tr w:rsidR="002C6DCB" w:rsidRPr="00CA417F" w14:paraId="4DC26E27" w14:textId="77777777" w:rsidTr="00D72076">
        <w:trPr>
          <w:jc w:val="center"/>
        </w:trPr>
        <w:tc>
          <w:tcPr>
            <w:tcW w:w="3168" w:type="dxa"/>
            <w:vAlign w:val="center"/>
          </w:tcPr>
          <w:p w14:paraId="6623F985" w14:textId="77777777" w:rsidR="002C6DCB" w:rsidRPr="002C6DCB" w:rsidRDefault="002C6DCB" w:rsidP="00D72076">
            <w:pPr>
              <w:rPr>
                <w:color w:val="000000" w:themeColor="text1"/>
              </w:rPr>
            </w:pPr>
            <w:r w:rsidRPr="002C6DCB">
              <w:rPr>
                <w:color w:val="000000" w:themeColor="text1"/>
              </w:rPr>
              <w:t>Normal disc-space height</w:t>
            </w:r>
          </w:p>
        </w:tc>
        <w:tc>
          <w:tcPr>
            <w:tcW w:w="8208" w:type="dxa"/>
            <w:vAlign w:val="center"/>
          </w:tcPr>
          <w:p w14:paraId="0D2853DD" w14:textId="77777777" w:rsidR="002C6DCB" w:rsidRPr="002C6DCB" w:rsidRDefault="002C6DCB" w:rsidP="00D72076">
            <w:pPr>
              <w:rPr>
                <w:color w:val="000000" w:themeColor="text1"/>
              </w:rPr>
            </w:pPr>
            <w:r w:rsidRPr="002C6DCB">
              <w:rPr>
                <w:color w:val="000000" w:themeColor="text1"/>
              </w:rPr>
              <w:t xml:space="preserve">Mean height of the adjacent </w:t>
            </w:r>
            <w:proofErr w:type="gramStart"/>
            <w:r w:rsidRPr="002C6DCB">
              <w:rPr>
                <w:color w:val="000000" w:themeColor="text1"/>
              </w:rPr>
              <w:t>upper and lower disc</w:t>
            </w:r>
            <w:proofErr w:type="gramEnd"/>
            <w:r w:rsidRPr="002C6DCB">
              <w:rPr>
                <w:color w:val="000000" w:themeColor="text1"/>
              </w:rPr>
              <w:t xml:space="preserve"> spaces</w:t>
            </w:r>
          </w:p>
        </w:tc>
        <w:tc>
          <w:tcPr>
            <w:tcW w:w="3024" w:type="dxa"/>
            <w:vAlign w:val="center"/>
          </w:tcPr>
          <w:p w14:paraId="5F25F204" w14:textId="77777777" w:rsidR="002C6DCB" w:rsidRPr="002C6DCB" w:rsidRDefault="002C6DCB" w:rsidP="00D72076">
            <w:pPr>
              <w:rPr>
                <w:color w:val="000000" w:themeColor="text1"/>
              </w:rPr>
            </w:pPr>
            <w:r w:rsidRPr="002C6DCB">
              <w:rPr>
                <w:color w:val="000000" w:themeColor="text1"/>
              </w:rPr>
              <w:t>Neutral lateral radiograph</w:t>
            </w:r>
          </w:p>
        </w:tc>
      </w:tr>
      <w:tr w:rsidR="002C6DCB" w:rsidRPr="00CA417F" w14:paraId="79C8EFF3" w14:textId="77777777" w:rsidTr="00D72076">
        <w:trPr>
          <w:jc w:val="center"/>
        </w:trPr>
        <w:tc>
          <w:tcPr>
            <w:tcW w:w="3168" w:type="dxa"/>
            <w:vAlign w:val="center"/>
          </w:tcPr>
          <w:p w14:paraId="37089AD2" w14:textId="77777777" w:rsidR="002C6DCB" w:rsidRPr="002C6DCB" w:rsidRDefault="002C6DCB" w:rsidP="00D72076">
            <w:pPr>
              <w:rPr>
                <w:color w:val="000000" w:themeColor="text1"/>
              </w:rPr>
            </w:pPr>
            <w:r w:rsidRPr="002C6DCB">
              <w:rPr>
                <w:color w:val="000000" w:themeColor="text1"/>
              </w:rPr>
              <w:t>Radiographic sagittal canal diameter</w:t>
            </w:r>
          </w:p>
        </w:tc>
        <w:tc>
          <w:tcPr>
            <w:tcW w:w="8208" w:type="dxa"/>
            <w:vAlign w:val="center"/>
          </w:tcPr>
          <w:p w14:paraId="60283D28" w14:textId="77777777" w:rsidR="002C6DCB" w:rsidRPr="002C6DCB" w:rsidRDefault="002C6DCB" w:rsidP="00D72076">
            <w:pPr>
              <w:rPr>
                <w:color w:val="000000" w:themeColor="text1"/>
              </w:rPr>
            </w:pPr>
            <w:r w:rsidRPr="002C6DCB">
              <w:rPr>
                <w:color w:val="000000" w:themeColor="text1"/>
              </w:rPr>
              <w:t>Average of the shortest distances from the midpoint of the posterior border of the upper and lower vertebral bodies at the measured segment to the corresponding lamina-spinous process junction</w:t>
            </w:r>
          </w:p>
        </w:tc>
        <w:tc>
          <w:tcPr>
            <w:tcW w:w="3024" w:type="dxa"/>
            <w:vAlign w:val="center"/>
          </w:tcPr>
          <w:p w14:paraId="02BF23B1" w14:textId="77777777" w:rsidR="002C6DCB" w:rsidRPr="002C6DCB" w:rsidRDefault="002C6DCB" w:rsidP="00D72076">
            <w:pPr>
              <w:rPr>
                <w:color w:val="000000" w:themeColor="text1"/>
              </w:rPr>
            </w:pPr>
            <w:r w:rsidRPr="002C6DCB">
              <w:rPr>
                <w:color w:val="000000" w:themeColor="text1"/>
              </w:rPr>
              <w:t>Neutral lateral radiograph</w:t>
            </w:r>
          </w:p>
        </w:tc>
      </w:tr>
      <w:tr w:rsidR="002C6DCB" w:rsidRPr="00CA417F" w14:paraId="0028AD8B" w14:textId="77777777" w:rsidTr="00D72076">
        <w:trPr>
          <w:jc w:val="center"/>
        </w:trPr>
        <w:tc>
          <w:tcPr>
            <w:tcW w:w="3168" w:type="dxa"/>
            <w:vAlign w:val="center"/>
          </w:tcPr>
          <w:p w14:paraId="2CAA3564" w14:textId="77777777" w:rsidR="002C6DCB" w:rsidRPr="002C6DCB" w:rsidRDefault="002C6DCB" w:rsidP="00D72076">
            <w:pPr>
              <w:rPr>
                <w:color w:val="000000" w:themeColor="text1"/>
              </w:rPr>
            </w:pPr>
            <w:r w:rsidRPr="002C6DCB">
              <w:rPr>
                <w:color w:val="000000" w:themeColor="text1"/>
              </w:rPr>
              <w:t>TCDR</w:t>
            </w:r>
          </w:p>
        </w:tc>
        <w:tc>
          <w:tcPr>
            <w:tcW w:w="8208" w:type="dxa"/>
            <w:vAlign w:val="center"/>
          </w:tcPr>
          <w:p w14:paraId="18CF0E54" w14:textId="77777777" w:rsidR="002C6DCB" w:rsidRPr="002C6DCB" w:rsidRDefault="002C6DCB" w:rsidP="00D72076">
            <w:pPr>
              <w:rPr>
                <w:color w:val="000000" w:themeColor="text1"/>
              </w:rPr>
            </w:pPr>
            <w:r w:rsidRPr="002C6DCB">
              <w:rPr>
                <w:color w:val="000000" w:themeColor="text1"/>
              </w:rPr>
              <w:t>Intervertebral sagittal translation divided by radiographic sagittal canal diameter</w:t>
            </w:r>
          </w:p>
        </w:tc>
        <w:tc>
          <w:tcPr>
            <w:tcW w:w="3024" w:type="dxa"/>
            <w:vAlign w:val="center"/>
          </w:tcPr>
          <w:p w14:paraId="5A656D8D" w14:textId="77777777" w:rsidR="002C6DCB" w:rsidRPr="002C6DCB" w:rsidRDefault="002C6DCB" w:rsidP="00D72076">
            <w:pPr>
              <w:rPr>
                <w:color w:val="000000" w:themeColor="text1"/>
              </w:rPr>
            </w:pPr>
            <w:r w:rsidRPr="002C6DCB">
              <w:rPr>
                <w:color w:val="000000" w:themeColor="text1"/>
              </w:rPr>
              <w:t>Derived parameter</w:t>
            </w:r>
          </w:p>
        </w:tc>
      </w:tr>
      <w:tr w:rsidR="002C6DCB" w:rsidRPr="00CA417F" w14:paraId="6ECD9063" w14:textId="77777777" w:rsidTr="00D72076">
        <w:trPr>
          <w:jc w:val="center"/>
        </w:trPr>
        <w:tc>
          <w:tcPr>
            <w:tcW w:w="3168" w:type="dxa"/>
            <w:vAlign w:val="center"/>
          </w:tcPr>
          <w:p w14:paraId="33964F84" w14:textId="77777777" w:rsidR="002C6DCB" w:rsidRPr="002C6DCB" w:rsidRDefault="002C6DCB" w:rsidP="00D72076">
            <w:pPr>
              <w:rPr>
                <w:color w:val="000000" w:themeColor="text1"/>
              </w:rPr>
            </w:pPr>
            <w:r w:rsidRPr="002C6DCB">
              <w:rPr>
                <w:color w:val="000000" w:themeColor="text1"/>
              </w:rPr>
              <w:t>Disc-space height/normal disc-space height</w:t>
            </w:r>
          </w:p>
        </w:tc>
        <w:tc>
          <w:tcPr>
            <w:tcW w:w="8208" w:type="dxa"/>
            <w:vAlign w:val="center"/>
          </w:tcPr>
          <w:p w14:paraId="28754044" w14:textId="77777777" w:rsidR="002C6DCB" w:rsidRPr="002C6DCB" w:rsidRDefault="002C6DCB" w:rsidP="00D72076">
            <w:pPr>
              <w:rPr>
                <w:color w:val="000000" w:themeColor="text1"/>
              </w:rPr>
            </w:pPr>
            <w:r w:rsidRPr="002C6DCB">
              <w:rPr>
                <w:color w:val="000000" w:themeColor="text1"/>
              </w:rPr>
              <w:t>Disc-space height at the affected segment divided by normal disc-space height</w:t>
            </w:r>
          </w:p>
        </w:tc>
        <w:tc>
          <w:tcPr>
            <w:tcW w:w="3024" w:type="dxa"/>
            <w:vAlign w:val="center"/>
          </w:tcPr>
          <w:p w14:paraId="352F333E" w14:textId="77777777" w:rsidR="002C6DCB" w:rsidRPr="002C6DCB" w:rsidRDefault="002C6DCB" w:rsidP="00D72076">
            <w:pPr>
              <w:rPr>
                <w:color w:val="000000" w:themeColor="text1"/>
              </w:rPr>
            </w:pPr>
            <w:r w:rsidRPr="002C6DCB">
              <w:rPr>
                <w:color w:val="000000" w:themeColor="text1"/>
              </w:rPr>
              <w:t>Derived parameter</w:t>
            </w:r>
          </w:p>
        </w:tc>
      </w:tr>
      <w:tr w:rsidR="002C6DCB" w:rsidRPr="00CA417F" w14:paraId="32AD9791" w14:textId="77777777" w:rsidTr="00D72076">
        <w:trPr>
          <w:jc w:val="center"/>
        </w:trPr>
        <w:tc>
          <w:tcPr>
            <w:tcW w:w="3168" w:type="dxa"/>
            <w:vAlign w:val="center"/>
          </w:tcPr>
          <w:p w14:paraId="5F290F03" w14:textId="77777777" w:rsidR="002C6DCB" w:rsidRPr="002C6DCB" w:rsidRDefault="002C6DCB" w:rsidP="00D72076">
            <w:pPr>
              <w:rPr>
                <w:color w:val="000000" w:themeColor="text1"/>
              </w:rPr>
            </w:pPr>
            <w:r w:rsidRPr="002C6DCB">
              <w:rPr>
                <w:color w:val="000000" w:themeColor="text1"/>
              </w:rPr>
              <w:t>Intervertebral sagittal translation/normal disc-space height</w:t>
            </w:r>
          </w:p>
        </w:tc>
        <w:tc>
          <w:tcPr>
            <w:tcW w:w="8208" w:type="dxa"/>
            <w:vAlign w:val="center"/>
          </w:tcPr>
          <w:p w14:paraId="4531D968" w14:textId="77777777" w:rsidR="002C6DCB" w:rsidRPr="002C6DCB" w:rsidRDefault="002C6DCB" w:rsidP="00D72076">
            <w:pPr>
              <w:rPr>
                <w:color w:val="000000" w:themeColor="text1"/>
              </w:rPr>
            </w:pPr>
            <w:r w:rsidRPr="002C6DCB">
              <w:rPr>
                <w:color w:val="000000" w:themeColor="text1"/>
              </w:rPr>
              <w:t>Intervertebral sagittal translation divided by normal disc-space height</w:t>
            </w:r>
          </w:p>
        </w:tc>
        <w:tc>
          <w:tcPr>
            <w:tcW w:w="3024" w:type="dxa"/>
            <w:vAlign w:val="center"/>
          </w:tcPr>
          <w:p w14:paraId="246E332A" w14:textId="77777777" w:rsidR="002C6DCB" w:rsidRPr="002C6DCB" w:rsidRDefault="002C6DCB" w:rsidP="00D72076">
            <w:pPr>
              <w:rPr>
                <w:color w:val="000000" w:themeColor="text1"/>
              </w:rPr>
            </w:pPr>
            <w:r w:rsidRPr="002C6DCB">
              <w:rPr>
                <w:color w:val="000000" w:themeColor="text1"/>
              </w:rPr>
              <w:t>Derived parameter</w:t>
            </w:r>
          </w:p>
        </w:tc>
      </w:tr>
      <w:tr w:rsidR="002C6DCB" w:rsidRPr="00CA417F" w14:paraId="2FD55B01" w14:textId="77777777" w:rsidTr="00D72076">
        <w:trPr>
          <w:jc w:val="center"/>
        </w:trPr>
        <w:tc>
          <w:tcPr>
            <w:tcW w:w="3168" w:type="dxa"/>
            <w:vAlign w:val="center"/>
          </w:tcPr>
          <w:p w14:paraId="489C7030" w14:textId="77777777" w:rsidR="002C6DCB" w:rsidRPr="002C6DCB" w:rsidRDefault="002C6DCB" w:rsidP="00D72076">
            <w:pPr>
              <w:rPr>
                <w:color w:val="000000" w:themeColor="text1"/>
              </w:rPr>
            </w:pPr>
            <w:r w:rsidRPr="002C6DCB">
              <w:rPr>
                <w:color w:val="000000" w:themeColor="text1"/>
              </w:rPr>
              <w:t>Intervertebral angulation/radiographic sagittal canal diameter</w:t>
            </w:r>
          </w:p>
        </w:tc>
        <w:tc>
          <w:tcPr>
            <w:tcW w:w="8208" w:type="dxa"/>
            <w:vAlign w:val="center"/>
          </w:tcPr>
          <w:p w14:paraId="3488CB76" w14:textId="77777777" w:rsidR="002C6DCB" w:rsidRPr="002C6DCB" w:rsidRDefault="002C6DCB" w:rsidP="00D72076">
            <w:pPr>
              <w:rPr>
                <w:color w:val="000000" w:themeColor="text1"/>
              </w:rPr>
            </w:pPr>
            <w:r w:rsidRPr="002C6DCB">
              <w:rPr>
                <w:color w:val="000000" w:themeColor="text1"/>
              </w:rPr>
              <w:t>Intervertebral angulation divided by radiographic sagittal canal diameter</w:t>
            </w:r>
          </w:p>
        </w:tc>
        <w:tc>
          <w:tcPr>
            <w:tcW w:w="3024" w:type="dxa"/>
            <w:vAlign w:val="center"/>
          </w:tcPr>
          <w:p w14:paraId="7EF24887" w14:textId="77777777" w:rsidR="002C6DCB" w:rsidRPr="002C6DCB" w:rsidRDefault="002C6DCB" w:rsidP="00D72076">
            <w:pPr>
              <w:rPr>
                <w:color w:val="000000" w:themeColor="text1"/>
              </w:rPr>
            </w:pPr>
            <w:r w:rsidRPr="002C6DCB">
              <w:rPr>
                <w:color w:val="000000" w:themeColor="text1"/>
              </w:rPr>
              <w:t>Derived parameter</w:t>
            </w:r>
          </w:p>
        </w:tc>
      </w:tr>
      <w:tr w:rsidR="002C6DCB" w:rsidRPr="00CA417F" w14:paraId="220873BF" w14:textId="77777777" w:rsidTr="00D72076">
        <w:trPr>
          <w:jc w:val="center"/>
        </w:trPr>
        <w:tc>
          <w:tcPr>
            <w:tcW w:w="3168" w:type="dxa"/>
            <w:vAlign w:val="center"/>
          </w:tcPr>
          <w:p w14:paraId="271107DC" w14:textId="77777777" w:rsidR="002C6DCB" w:rsidRPr="002C6DCB" w:rsidRDefault="002C6DCB" w:rsidP="00D72076">
            <w:pPr>
              <w:rPr>
                <w:color w:val="000000" w:themeColor="text1"/>
              </w:rPr>
            </w:pPr>
            <w:r w:rsidRPr="002C6DCB">
              <w:rPr>
                <w:color w:val="000000" w:themeColor="text1"/>
              </w:rPr>
              <w:t>Mid-sagittal vertebral body diameter/radiographic sagittal canal diameter</w:t>
            </w:r>
          </w:p>
        </w:tc>
        <w:tc>
          <w:tcPr>
            <w:tcW w:w="8208" w:type="dxa"/>
            <w:vAlign w:val="center"/>
          </w:tcPr>
          <w:p w14:paraId="53675C3C" w14:textId="77777777" w:rsidR="002C6DCB" w:rsidRPr="002C6DCB" w:rsidRDefault="002C6DCB" w:rsidP="00D72076">
            <w:pPr>
              <w:rPr>
                <w:color w:val="000000" w:themeColor="text1"/>
              </w:rPr>
            </w:pPr>
            <w:r w:rsidRPr="002C6DCB">
              <w:rPr>
                <w:color w:val="000000" w:themeColor="text1"/>
              </w:rPr>
              <w:t>Mid-sagittal vertebral body diameter divided by radiographic sagittal canal diameter</w:t>
            </w:r>
          </w:p>
        </w:tc>
        <w:tc>
          <w:tcPr>
            <w:tcW w:w="3024" w:type="dxa"/>
            <w:vAlign w:val="center"/>
          </w:tcPr>
          <w:p w14:paraId="3F4A576B" w14:textId="77777777" w:rsidR="002C6DCB" w:rsidRPr="002C6DCB" w:rsidRDefault="002C6DCB" w:rsidP="00D72076">
            <w:pPr>
              <w:rPr>
                <w:color w:val="000000" w:themeColor="text1"/>
              </w:rPr>
            </w:pPr>
            <w:r w:rsidRPr="002C6DCB">
              <w:rPr>
                <w:color w:val="000000" w:themeColor="text1"/>
              </w:rPr>
              <w:t>Derived parameter</w:t>
            </w:r>
          </w:p>
        </w:tc>
      </w:tr>
      <w:tr w:rsidR="002C6DCB" w:rsidRPr="00CA417F" w14:paraId="04074636" w14:textId="77777777" w:rsidTr="00D72076">
        <w:trPr>
          <w:jc w:val="center"/>
        </w:trPr>
        <w:tc>
          <w:tcPr>
            <w:tcW w:w="3168" w:type="dxa"/>
            <w:vAlign w:val="center"/>
          </w:tcPr>
          <w:p w14:paraId="394D31FD" w14:textId="77777777" w:rsidR="002C6DCB" w:rsidRPr="002C6DCB" w:rsidRDefault="002C6DCB" w:rsidP="00D72076">
            <w:pPr>
              <w:rPr>
                <w:color w:val="000000" w:themeColor="text1"/>
              </w:rPr>
            </w:pPr>
            <w:proofErr w:type="spellStart"/>
            <w:r w:rsidRPr="002C6DCB">
              <w:rPr>
                <w:color w:val="000000" w:themeColor="text1"/>
              </w:rPr>
              <w:t>Pfirrmann</w:t>
            </w:r>
            <w:proofErr w:type="spellEnd"/>
            <w:r w:rsidRPr="002C6DCB">
              <w:rPr>
                <w:color w:val="000000" w:themeColor="text1"/>
              </w:rPr>
              <w:t xml:space="preserve"> grade</w:t>
            </w:r>
          </w:p>
        </w:tc>
        <w:tc>
          <w:tcPr>
            <w:tcW w:w="8208" w:type="dxa"/>
            <w:vAlign w:val="center"/>
          </w:tcPr>
          <w:p w14:paraId="61839B50" w14:textId="77777777" w:rsidR="002C6DCB" w:rsidRPr="002C6DCB" w:rsidRDefault="002C6DCB" w:rsidP="00D72076">
            <w:pPr>
              <w:rPr>
                <w:color w:val="000000" w:themeColor="text1"/>
              </w:rPr>
            </w:pPr>
            <w:r w:rsidRPr="002C6DCB">
              <w:rPr>
                <w:color w:val="000000" w:themeColor="text1"/>
              </w:rPr>
              <w:t>Disc degeneration grade assessed on MRI</w:t>
            </w:r>
          </w:p>
        </w:tc>
        <w:tc>
          <w:tcPr>
            <w:tcW w:w="3024" w:type="dxa"/>
            <w:vAlign w:val="center"/>
          </w:tcPr>
          <w:p w14:paraId="10EA3531" w14:textId="77777777" w:rsidR="002C6DCB" w:rsidRPr="002C6DCB" w:rsidRDefault="002C6DCB" w:rsidP="00D72076">
            <w:pPr>
              <w:rPr>
                <w:color w:val="000000" w:themeColor="text1"/>
              </w:rPr>
            </w:pPr>
            <w:r w:rsidRPr="002C6DCB">
              <w:rPr>
                <w:color w:val="000000" w:themeColor="text1"/>
              </w:rPr>
              <w:t>MRI</w:t>
            </w:r>
          </w:p>
        </w:tc>
      </w:tr>
      <w:tr w:rsidR="002C6DCB" w:rsidRPr="00CA417F" w14:paraId="157600C7" w14:textId="77777777" w:rsidTr="00D72076">
        <w:trPr>
          <w:jc w:val="center"/>
        </w:trPr>
        <w:tc>
          <w:tcPr>
            <w:tcW w:w="3168" w:type="dxa"/>
            <w:vAlign w:val="center"/>
          </w:tcPr>
          <w:p w14:paraId="261D3BF1" w14:textId="77777777" w:rsidR="002C6DCB" w:rsidRPr="002C6DCB" w:rsidRDefault="002C6DCB" w:rsidP="00D72076">
            <w:pPr>
              <w:rPr>
                <w:color w:val="000000" w:themeColor="text1"/>
              </w:rPr>
            </w:pPr>
            <w:proofErr w:type="spellStart"/>
            <w:r w:rsidRPr="002C6DCB">
              <w:rPr>
                <w:color w:val="000000" w:themeColor="text1"/>
              </w:rPr>
              <w:t>Weishaupt</w:t>
            </w:r>
            <w:proofErr w:type="spellEnd"/>
            <w:r w:rsidRPr="002C6DCB">
              <w:rPr>
                <w:color w:val="000000" w:themeColor="text1"/>
              </w:rPr>
              <w:t xml:space="preserve"> grade</w:t>
            </w:r>
          </w:p>
        </w:tc>
        <w:tc>
          <w:tcPr>
            <w:tcW w:w="8208" w:type="dxa"/>
            <w:vAlign w:val="center"/>
          </w:tcPr>
          <w:p w14:paraId="4A915A7A" w14:textId="77777777" w:rsidR="002C6DCB" w:rsidRPr="002C6DCB" w:rsidRDefault="002C6DCB" w:rsidP="00D72076">
            <w:pPr>
              <w:rPr>
                <w:color w:val="000000" w:themeColor="text1"/>
              </w:rPr>
            </w:pPr>
            <w:r w:rsidRPr="002C6DCB">
              <w:rPr>
                <w:color w:val="000000" w:themeColor="text1"/>
              </w:rPr>
              <w:t>Facet degeneration grade assessed on CT</w:t>
            </w:r>
          </w:p>
        </w:tc>
        <w:tc>
          <w:tcPr>
            <w:tcW w:w="3024" w:type="dxa"/>
            <w:vAlign w:val="center"/>
          </w:tcPr>
          <w:p w14:paraId="4548D090" w14:textId="77777777" w:rsidR="002C6DCB" w:rsidRPr="002C6DCB" w:rsidRDefault="002C6DCB" w:rsidP="00D72076">
            <w:pPr>
              <w:rPr>
                <w:color w:val="000000" w:themeColor="text1"/>
              </w:rPr>
            </w:pPr>
            <w:r w:rsidRPr="002C6DCB">
              <w:rPr>
                <w:color w:val="000000" w:themeColor="text1"/>
              </w:rPr>
              <w:t>CT</w:t>
            </w:r>
          </w:p>
        </w:tc>
      </w:tr>
    </w:tbl>
    <w:p w14:paraId="42D4A68D" w14:textId="77777777" w:rsidR="007D7787" w:rsidRDefault="007D7787"/>
    <w:sectPr w:rsidR="007D778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DCB"/>
    <w:rsid w:val="000040EA"/>
    <w:rsid w:val="00042A7D"/>
    <w:rsid w:val="00047212"/>
    <w:rsid w:val="0004764D"/>
    <w:rsid w:val="000B7F43"/>
    <w:rsid w:val="000F6C4E"/>
    <w:rsid w:val="000F720F"/>
    <w:rsid w:val="00172CB4"/>
    <w:rsid w:val="00196A8D"/>
    <w:rsid w:val="001E68EA"/>
    <w:rsid w:val="00254FDD"/>
    <w:rsid w:val="00257CCD"/>
    <w:rsid w:val="002832CF"/>
    <w:rsid w:val="002876C3"/>
    <w:rsid w:val="002974F6"/>
    <w:rsid w:val="002A2981"/>
    <w:rsid w:val="002C6DCB"/>
    <w:rsid w:val="00322D31"/>
    <w:rsid w:val="00366ED8"/>
    <w:rsid w:val="003843B1"/>
    <w:rsid w:val="003B0118"/>
    <w:rsid w:val="003B7BC4"/>
    <w:rsid w:val="003E0A69"/>
    <w:rsid w:val="00454DD2"/>
    <w:rsid w:val="00474A4B"/>
    <w:rsid w:val="004E786B"/>
    <w:rsid w:val="005C19BD"/>
    <w:rsid w:val="005E40DE"/>
    <w:rsid w:val="00632E7E"/>
    <w:rsid w:val="006A1F0E"/>
    <w:rsid w:val="006F4551"/>
    <w:rsid w:val="0075230F"/>
    <w:rsid w:val="00775239"/>
    <w:rsid w:val="007C0D82"/>
    <w:rsid w:val="007D7787"/>
    <w:rsid w:val="007F03A9"/>
    <w:rsid w:val="00881A98"/>
    <w:rsid w:val="00891B20"/>
    <w:rsid w:val="008C3FB0"/>
    <w:rsid w:val="008E1CE0"/>
    <w:rsid w:val="009270B8"/>
    <w:rsid w:val="009C0B35"/>
    <w:rsid w:val="009C11E2"/>
    <w:rsid w:val="009D3165"/>
    <w:rsid w:val="00A51FCF"/>
    <w:rsid w:val="00A72856"/>
    <w:rsid w:val="00A7543D"/>
    <w:rsid w:val="00AE18D1"/>
    <w:rsid w:val="00AE4478"/>
    <w:rsid w:val="00B24D6B"/>
    <w:rsid w:val="00B547E4"/>
    <w:rsid w:val="00BC65B8"/>
    <w:rsid w:val="00BE4E08"/>
    <w:rsid w:val="00C04651"/>
    <w:rsid w:val="00C16E1F"/>
    <w:rsid w:val="00C23F32"/>
    <w:rsid w:val="00C711F5"/>
    <w:rsid w:val="00C81F5C"/>
    <w:rsid w:val="00C87A1A"/>
    <w:rsid w:val="00CF7903"/>
    <w:rsid w:val="00D115E6"/>
    <w:rsid w:val="00D44C5B"/>
    <w:rsid w:val="00DA5908"/>
    <w:rsid w:val="00DC5B2F"/>
    <w:rsid w:val="00DD7E47"/>
    <w:rsid w:val="00DE32D4"/>
    <w:rsid w:val="00E10519"/>
    <w:rsid w:val="00E91480"/>
    <w:rsid w:val="00E972E4"/>
    <w:rsid w:val="00EA0546"/>
    <w:rsid w:val="00F4612D"/>
    <w:rsid w:val="00F739C2"/>
    <w:rsid w:val="00F742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5CE5E39"/>
  <w15:chartTrackingRefBased/>
  <w15:docId w15:val="{AF97317B-A0F0-6C40-A645-56E3C02EF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6DCB"/>
    <w:pPr>
      <w:spacing w:after="200" w:line="276" w:lineRule="auto"/>
    </w:pPr>
    <w:rPr>
      <w:rFonts w:ascii="Times New Roman" w:eastAsia="Times New Roman" w:hAnsi="Times New Roman"/>
      <w:kern w:val="0"/>
      <w:sz w:val="22"/>
      <w:szCs w:val="22"/>
      <w:lang w:eastAsia="en-US"/>
    </w:rPr>
  </w:style>
  <w:style w:type="paragraph" w:styleId="1">
    <w:name w:val="heading 1"/>
    <w:basedOn w:val="a"/>
    <w:next w:val="a"/>
    <w:link w:val="10"/>
    <w:uiPriority w:val="9"/>
    <w:qFormat/>
    <w:rsid w:val="002C6DCB"/>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2C6DCB"/>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C6DCB"/>
    <w:rPr>
      <w:rFonts w:asciiTheme="majorHAnsi" w:eastAsiaTheme="majorEastAsia" w:hAnsiTheme="majorHAnsi" w:cstheme="majorBidi"/>
      <w:b/>
      <w:bCs/>
      <w:color w:val="2F5496" w:themeColor="accent1" w:themeShade="BF"/>
      <w:kern w:val="0"/>
      <w:sz w:val="28"/>
      <w:szCs w:val="28"/>
      <w:lang w:eastAsia="en-US"/>
    </w:rPr>
  </w:style>
  <w:style w:type="character" w:customStyle="1" w:styleId="20">
    <w:name w:val="标题 2 字符"/>
    <w:basedOn w:val="a0"/>
    <w:link w:val="2"/>
    <w:uiPriority w:val="9"/>
    <w:rsid w:val="002C6DCB"/>
    <w:rPr>
      <w:rFonts w:asciiTheme="majorHAnsi" w:eastAsiaTheme="majorEastAsia" w:hAnsiTheme="majorHAnsi" w:cstheme="majorBidi"/>
      <w:b/>
      <w:bCs/>
      <w:color w:val="4472C4" w:themeColor="accent1"/>
      <w:kern w:val="0"/>
      <w:sz w:val="26"/>
      <w:szCs w:val="26"/>
      <w:lang w:eastAsia="en-US"/>
    </w:rPr>
  </w:style>
  <w:style w:type="table" w:styleId="a3">
    <w:name w:val="Table Grid"/>
    <w:basedOn w:val="a1"/>
    <w:uiPriority w:val="59"/>
    <w:rsid w:val="002C6DCB"/>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858</Words>
  <Characters>4894</Characters>
  <Application>Microsoft Office Word</Application>
  <DocSecurity>0</DocSecurity>
  <Lines>40</Lines>
  <Paragraphs>11</Paragraphs>
  <ScaleCrop>false</ScaleCrop>
  <Company/>
  <LinksUpToDate>false</LinksUpToDate>
  <CharactersWithSpaces>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2026-06-26T13:11:00Z</dcterms:created>
  <dcterms:modified xsi:type="dcterms:W3CDTF">2026-06-27T08:49:00Z</dcterms:modified>
</cp:coreProperties>
</file>