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E0502" w14:textId="77777777" w:rsidR="004D640F" w:rsidRPr="00194A58" w:rsidRDefault="004D640F" w:rsidP="004D640F">
      <w:pPr>
        <w:spacing w:line="480" w:lineRule="auto"/>
      </w:pPr>
      <w:r w:rsidRPr="00194A58">
        <w:rPr>
          <w:b/>
          <w:bCs/>
          <w:lang w:val="en-US"/>
        </w:rPr>
        <w:t>Online Resource 1. Comparison of two-region versus three-region fracture location classification schemes for multivariable logistic (Panel A) and log-linear (Panel B) regression models (n = 171).</w:t>
      </w:r>
    </w:p>
    <w:p w14:paraId="5792E91A" w14:textId="77777777" w:rsidR="004D640F" w:rsidRPr="00194A58" w:rsidRDefault="004D640F" w:rsidP="004D640F">
      <w:pPr>
        <w:spacing w:line="480" w:lineRule="auto"/>
      </w:pPr>
      <w:r w:rsidRPr="00194A58">
        <w:rPr>
          <w:b/>
          <w:bCs/>
          <w:lang w:val="en-US"/>
        </w:rPr>
        <w:t>Panel A — Determinants of surgical treatment (multivariable logistic regression)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7"/>
        <w:gridCol w:w="767"/>
        <w:gridCol w:w="767"/>
        <w:gridCol w:w="772"/>
        <w:gridCol w:w="417"/>
        <w:gridCol w:w="756"/>
        <w:gridCol w:w="3514"/>
      </w:tblGrid>
      <w:tr w:rsidR="004D640F" w:rsidRPr="00194A58" w14:paraId="1CFB948A" w14:textId="77777777" w:rsidTr="00713F5E">
        <w:tc>
          <w:tcPr>
            <w:tcW w:w="0" w:type="auto"/>
            <w:shd w:val="clear" w:color="auto" w:fill="D9D9D9"/>
          </w:tcPr>
          <w:p w14:paraId="3A05804F" w14:textId="77777777" w:rsidR="004D640F" w:rsidRPr="00194A58" w:rsidRDefault="004D640F" w:rsidP="00713F5E">
            <w:pPr>
              <w:jc w:val="left"/>
            </w:pPr>
            <w:r w:rsidRPr="00194A58">
              <w:rPr>
                <w:b/>
                <w:bCs/>
                <w:sz w:val="18"/>
                <w:szCs w:val="18"/>
                <w:lang w:val="en-US"/>
              </w:rPr>
              <w:t>Scheme</w:t>
            </w:r>
          </w:p>
        </w:tc>
        <w:tc>
          <w:tcPr>
            <w:tcW w:w="0" w:type="auto"/>
            <w:shd w:val="clear" w:color="auto" w:fill="D9D9D9"/>
          </w:tcPr>
          <w:p w14:paraId="001825D4" w14:textId="77777777" w:rsidR="004D640F" w:rsidRPr="00194A58" w:rsidRDefault="004D640F" w:rsidP="00713F5E">
            <w:pPr>
              <w:jc w:val="left"/>
            </w:pPr>
            <w:r w:rsidRPr="00194A58">
              <w:rPr>
                <w:b/>
                <w:bCs/>
                <w:sz w:val="18"/>
                <w:szCs w:val="18"/>
                <w:lang w:val="en-US"/>
              </w:rPr>
              <w:t>AIC</w:t>
            </w:r>
          </w:p>
        </w:tc>
        <w:tc>
          <w:tcPr>
            <w:tcW w:w="0" w:type="auto"/>
            <w:shd w:val="clear" w:color="auto" w:fill="D9D9D9"/>
          </w:tcPr>
          <w:p w14:paraId="396FE24D" w14:textId="77777777" w:rsidR="004D640F" w:rsidRPr="00194A58" w:rsidRDefault="004D640F" w:rsidP="00713F5E">
            <w:pPr>
              <w:jc w:val="left"/>
            </w:pPr>
            <w:r w:rsidRPr="00194A58">
              <w:rPr>
                <w:b/>
                <w:bCs/>
                <w:sz w:val="18"/>
                <w:szCs w:val="18"/>
                <w:lang w:val="en-US"/>
              </w:rPr>
              <w:t>BIC</w:t>
            </w:r>
          </w:p>
        </w:tc>
        <w:tc>
          <w:tcPr>
            <w:tcW w:w="0" w:type="auto"/>
            <w:shd w:val="clear" w:color="auto" w:fill="D9D9D9"/>
          </w:tcPr>
          <w:p w14:paraId="144964DD" w14:textId="77777777" w:rsidR="004D640F" w:rsidRPr="00194A58" w:rsidRDefault="004D640F" w:rsidP="00713F5E">
            <w:pPr>
              <w:jc w:val="left"/>
            </w:pPr>
            <w:proofErr w:type="spellStart"/>
            <w:r w:rsidRPr="00194A58">
              <w:rPr>
                <w:b/>
                <w:bCs/>
                <w:sz w:val="18"/>
                <w:szCs w:val="18"/>
                <w:lang w:val="en-US"/>
              </w:rPr>
              <w:t>logLik</w:t>
            </w:r>
            <w:proofErr w:type="spellEnd"/>
          </w:p>
        </w:tc>
        <w:tc>
          <w:tcPr>
            <w:tcW w:w="0" w:type="auto"/>
            <w:shd w:val="clear" w:color="auto" w:fill="D9D9D9"/>
          </w:tcPr>
          <w:p w14:paraId="5EAF3EEF" w14:textId="77777777" w:rsidR="004D640F" w:rsidRPr="00194A58" w:rsidRDefault="004D640F" w:rsidP="00713F5E">
            <w:pPr>
              <w:jc w:val="left"/>
            </w:pPr>
            <w:proofErr w:type="spellStart"/>
            <w:r w:rsidRPr="00194A58">
              <w:rPr>
                <w:b/>
                <w:bCs/>
                <w:sz w:val="18"/>
                <w:szCs w:val="18"/>
                <w:lang w:val="en-US"/>
              </w:rPr>
              <w:t>df</w:t>
            </w:r>
            <w:proofErr w:type="spellEnd"/>
          </w:p>
        </w:tc>
        <w:tc>
          <w:tcPr>
            <w:tcW w:w="0" w:type="auto"/>
            <w:shd w:val="clear" w:color="auto" w:fill="D9D9D9"/>
          </w:tcPr>
          <w:p w14:paraId="040E5010" w14:textId="77777777" w:rsidR="004D640F" w:rsidRPr="00194A58" w:rsidRDefault="004D640F" w:rsidP="00713F5E">
            <w:pPr>
              <w:jc w:val="left"/>
            </w:pPr>
            <w:r w:rsidRPr="00194A58">
              <w:rPr>
                <w:b/>
                <w:bCs/>
                <w:sz w:val="18"/>
                <w:szCs w:val="18"/>
                <w:lang w:val="en-US"/>
              </w:rPr>
              <w:t>GVIF^(1/2df)</w:t>
            </w:r>
          </w:p>
        </w:tc>
        <w:tc>
          <w:tcPr>
            <w:tcW w:w="0" w:type="auto"/>
            <w:shd w:val="clear" w:color="auto" w:fill="D9D9D9"/>
          </w:tcPr>
          <w:p w14:paraId="3422253E" w14:textId="77777777" w:rsidR="004D640F" w:rsidRPr="00194A58" w:rsidRDefault="004D640F" w:rsidP="00713F5E">
            <w:pPr>
              <w:jc w:val="left"/>
            </w:pPr>
            <w:r w:rsidRPr="00194A58">
              <w:rPr>
                <w:b/>
                <w:bCs/>
                <w:sz w:val="18"/>
                <w:szCs w:val="18"/>
                <w:lang w:val="en-US"/>
              </w:rPr>
              <w:t>Location term(s): OR [95% CI], p</w:t>
            </w:r>
          </w:p>
        </w:tc>
      </w:tr>
      <w:tr w:rsidR="004D640F" w:rsidRPr="00194A58" w14:paraId="236DD1F4" w14:textId="77777777" w:rsidTr="00713F5E">
        <w:tc>
          <w:tcPr>
            <w:tcW w:w="0" w:type="auto"/>
          </w:tcPr>
          <w:p w14:paraId="7A7E43E0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Two-region (thoracic/lumbar)</w:t>
            </w:r>
          </w:p>
        </w:tc>
        <w:tc>
          <w:tcPr>
            <w:tcW w:w="0" w:type="auto"/>
          </w:tcPr>
          <w:p w14:paraId="58FEEF18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180.35</w:t>
            </w:r>
          </w:p>
        </w:tc>
        <w:tc>
          <w:tcPr>
            <w:tcW w:w="0" w:type="auto"/>
          </w:tcPr>
          <w:p w14:paraId="47275C56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214.90</w:t>
            </w:r>
          </w:p>
        </w:tc>
        <w:tc>
          <w:tcPr>
            <w:tcW w:w="0" w:type="auto"/>
          </w:tcPr>
          <w:p w14:paraId="4C0E294E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−79.17</w:t>
            </w:r>
          </w:p>
        </w:tc>
        <w:tc>
          <w:tcPr>
            <w:tcW w:w="0" w:type="auto"/>
          </w:tcPr>
          <w:p w14:paraId="56537BE9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</w:tcPr>
          <w:p w14:paraId="5BC58D08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1.12</w:t>
            </w:r>
          </w:p>
        </w:tc>
        <w:tc>
          <w:tcPr>
            <w:tcW w:w="0" w:type="auto"/>
          </w:tcPr>
          <w:p w14:paraId="44C0619E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Thoracic vs lumbar: OR 1.21 [0.52–2.82], p = 0.66</w:t>
            </w:r>
          </w:p>
        </w:tc>
      </w:tr>
      <w:tr w:rsidR="004D640F" w:rsidRPr="00194A58" w14:paraId="5A43EBCA" w14:textId="77777777" w:rsidTr="00713F5E">
        <w:tc>
          <w:tcPr>
            <w:tcW w:w="0" w:type="auto"/>
          </w:tcPr>
          <w:p w14:paraId="471C322A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Three-region (thoracic/TLJ/lumbar)</w:t>
            </w:r>
          </w:p>
        </w:tc>
        <w:tc>
          <w:tcPr>
            <w:tcW w:w="0" w:type="auto"/>
          </w:tcPr>
          <w:p w14:paraId="1FBD5BC3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180.14</w:t>
            </w:r>
          </w:p>
        </w:tc>
        <w:tc>
          <w:tcPr>
            <w:tcW w:w="0" w:type="auto"/>
          </w:tcPr>
          <w:p w14:paraId="3E760DE6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217.84</w:t>
            </w:r>
          </w:p>
        </w:tc>
        <w:tc>
          <w:tcPr>
            <w:tcW w:w="0" w:type="auto"/>
          </w:tcPr>
          <w:p w14:paraId="52000406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−78.07</w:t>
            </w:r>
          </w:p>
        </w:tc>
        <w:tc>
          <w:tcPr>
            <w:tcW w:w="0" w:type="auto"/>
          </w:tcPr>
          <w:p w14:paraId="65A7415B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0" w:type="auto"/>
          </w:tcPr>
          <w:p w14:paraId="5C831E78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1.12</w:t>
            </w:r>
          </w:p>
        </w:tc>
        <w:tc>
          <w:tcPr>
            <w:tcW w:w="0" w:type="auto"/>
          </w:tcPr>
          <w:p w14:paraId="2D34B657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Thoracic vs TLJ: 0.94 [0.30–2.97], p = 0.91; Lumbar vs TLJ: 0.44 [0.15–1.26], p = 0.13</w:t>
            </w:r>
          </w:p>
        </w:tc>
      </w:tr>
    </w:tbl>
    <w:p w14:paraId="7AB98975" w14:textId="77777777" w:rsidR="004D640F" w:rsidRPr="00194A58" w:rsidRDefault="004D640F" w:rsidP="004D640F">
      <w:pPr>
        <w:spacing w:line="480" w:lineRule="auto"/>
      </w:pPr>
    </w:p>
    <w:p w14:paraId="3ADB4EFB" w14:textId="77777777" w:rsidR="004D640F" w:rsidRPr="00194A58" w:rsidRDefault="004D640F" w:rsidP="004D640F">
      <w:pPr>
        <w:spacing w:line="480" w:lineRule="auto"/>
      </w:pPr>
      <w:r w:rsidRPr="00194A58">
        <w:rPr>
          <w:b/>
          <w:bCs/>
          <w:lang w:val="en-US"/>
        </w:rPr>
        <w:t>Panel B — Determinants of length of hospital stay (log-linear regression)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2"/>
        <w:gridCol w:w="767"/>
        <w:gridCol w:w="767"/>
        <w:gridCol w:w="872"/>
        <w:gridCol w:w="417"/>
        <w:gridCol w:w="630"/>
        <w:gridCol w:w="3535"/>
      </w:tblGrid>
      <w:tr w:rsidR="004D640F" w:rsidRPr="00194A58" w14:paraId="08A55D91" w14:textId="77777777" w:rsidTr="00713F5E">
        <w:tc>
          <w:tcPr>
            <w:tcW w:w="0" w:type="auto"/>
            <w:shd w:val="clear" w:color="auto" w:fill="D9D9D9"/>
          </w:tcPr>
          <w:p w14:paraId="0A71C83B" w14:textId="77777777" w:rsidR="004D640F" w:rsidRPr="00194A58" w:rsidRDefault="004D640F" w:rsidP="00713F5E">
            <w:pPr>
              <w:jc w:val="left"/>
            </w:pPr>
            <w:r w:rsidRPr="00194A58">
              <w:rPr>
                <w:b/>
                <w:bCs/>
                <w:sz w:val="18"/>
                <w:szCs w:val="18"/>
                <w:lang w:val="en-US"/>
              </w:rPr>
              <w:t>Scheme</w:t>
            </w:r>
          </w:p>
        </w:tc>
        <w:tc>
          <w:tcPr>
            <w:tcW w:w="0" w:type="auto"/>
            <w:shd w:val="clear" w:color="auto" w:fill="D9D9D9"/>
          </w:tcPr>
          <w:p w14:paraId="4A1B3921" w14:textId="77777777" w:rsidR="004D640F" w:rsidRPr="00194A58" w:rsidRDefault="004D640F" w:rsidP="00713F5E">
            <w:pPr>
              <w:jc w:val="left"/>
            </w:pPr>
            <w:r w:rsidRPr="00194A58">
              <w:rPr>
                <w:b/>
                <w:bCs/>
                <w:sz w:val="18"/>
                <w:szCs w:val="18"/>
                <w:lang w:val="en-US"/>
              </w:rPr>
              <w:t>AIC</w:t>
            </w:r>
          </w:p>
        </w:tc>
        <w:tc>
          <w:tcPr>
            <w:tcW w:w="0" w:type="auto"/>
            <w:shd w:val="clear" w:color="auto" w:fill="D9D9D9"/>
          </w:tcPr>
          <w:p w14:paraId="116B7B96" w14:textId="77777777" w:rsidR="004D640F" w:rsidRPr="00194A58" w:rsidRDefault="004D640F" w:rsidP="00713F5E">
            <w:pPr>
              <w:jc w:val="left"/>
            </w:pPr>
            <w:r w:rsidRPr="00194A58">
              <w:rPr>
                <w:b/>
                <w:bCs/>
                <w:sz w:val="18"/>
                <w:szCs w:val="18"/>
                <w:lang w:val="en-US"/>
              </w:rPr>
              <w:t>BIC</w:t>
            </w:r>
          </w:p>
        </w:tc>
        <w:tc>
          <w:tcPr>
            <w:tcW w:w="0" w:type="auto"/>
            <w:shd w:val="clear" w:color="auto" w:fill="D9D9D9"/>
          </w:tcPr>
          <w:p w14:paraId="6370DFBD" w14:textId="77777777" w:rsidR="004D640F" w:rsidRPr="00194A58" w:rsidRDefault="004D640F" w:rsidP="00713F5E">
            <w:pPr>
              <w:jc w:val="left"/>
            </w:pPr>
            <w:proofErr w:type="spellStart"/>
            <w:r w:rsidRPr="00194A58">
              <w:rPr>
                <w:b/>
                <w:bCs/>
                <w:sz w:val="18"/>
                <w:szCs w:val="18"/>
                <w:lang w:val="en-US"/>
              </w:rPr>
              <w:t>logLik</w:t>
            </w:r>
            <w:proofErr w:type="spellEnd"/>
          </w:p>
        </w:tc>
        <w:tc>
          <w:tcPr>
            <w:tcW w:w="0" w:type="auto"/>
            <w:shd w:val="clear" w:color="auto" w:fill="D9D9D9"/>
          </w:tcPr>
          <w:p w14:paraId="7C4442FA" w14:textId="77777777" w:rsidR="004D640F" w:rsidRPr="00194A58" w:rsidRDefault="004D640F" w:rsidP="00713F5E">
            <w:pPr>
              <w:jc w:val="left"/>
            </w:pPr>
            <w:proofErr w:type="spellStart"/>
            <w:r w:rsidRPr="00194A58">
              <w:rPr>
                <w:b/>
                <w:bCs/>
                <w:sz w:val="18"/>
                <w:szCs w:val="18"/>
                <w:lang w:val="en-US"/>
              </w:rPr>
              <w:t>df</w:t>
            </w:r>
            <w:proofErr w:type="spellEnd"/>
          </w:p>
        </w:tc>
        <w:tc>
          <w:tcPr>
            <w:tcW w:w="0" w:type="auto"/>
            <w:shd w:val="clear" w:color="auto" w:fill="D9D9D9"/>
          </w:tcPr>
          <w:p w14:paraId="61CA718C" w14:textId="77777777" w:rsidR="004D640F" w:rsidRPr="00194A58" w:rsidRDefault="004D640F" w:rsidP="00713F5E">
            <w:pPr>
              <w:jc w:val="left"/>
            </w:pPr>
            <w:r w:rsidRPr="00194A58">
              <w:rPr>
                <w:b/>
                <w:bCs/>
                <w:sz w:val="18"/>
                <w:szCs w:val="18"/>
                <w:lang w:val="en-US"/>
              </w:rPr>
              <w:t>adj R²</w:t>
            </w:r>
          </w:p>
        </w:tc>
        <w:tc>
          <w:tcPr>
            <w:tcW w:w="0" w:type="auto"/>
            <w:shd w:val="clear" w:color="auto" w:fill="D9D9D9"/>
          </w:tcPr>
          <w:p w14:paraId="2E72E419" w14:textId="77777777" w:rsidR="004D640F" w:rsidRPr="00194A58" w:rsidRDefault="004D640F" w:rsidP="00713F5E">
            <w:pPr>
              <w:jc w:val="left"/>
            </w:pPr>
            <w:r w:rsidRPr="00194A58">
              <w:rPr>
                <w:b/>
                <w:bCs/>
                <w:sz w:val="18"/>
                <w:szCs w:val="18"/>
                <w:lang w:val="en-US"/>
              </w:rPr>
              <w:t>Location term(s): exp(β) [95% CI], p</w:t>
            </w:r>
          </w:p>
        </w:tc>
      </w:tr>
      <w:tr w:rsidR="004D640F" w:rsidRPr="00194A58" w14:paraId="683C00B2" w14:textId="77777777" w:rsidTr="00713F5E">
        <w:tc>
          <w:tcPr>
            <w:tcW w:w="0" w:type="auto"/>
          </w:tcPr>
          <w:p w14:paraId="4B0325EB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Two-region (thoracic/lumbar)</w:t>
            </w:r>
          </w:p>
        </w:tc>
        <w:tc>
          <w:tcPr>
            <w:tcW w:w="0" w:type="auto"/>
          </w:tcPr>
          <w:p w14:paraId="52D28295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312.22</w:t>
            </w:r>
          </w:p>
        </w:tc>
        <w:tc>
          <w:tcPr>
            <w:tcW w:w="0" w:type="auto"/>
          </w:tcPr>
          <w:p w14:paraId="70E882A4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346.77</w:t>
            </w:r>
          </w:p>
        </w:tc>
        <w:tc>
          <w:tcPr>
            <w:tcW w:w="0" w:type="auto"/>
          </w:tcPr>
          <w:p w14:paraId="22E8B8BA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−145.11</w:t>
            </w:r>
          </w:p>
        </w:tc>
        <w:tc>
          <w:tcPr>
            <w:tcW w:w="0" w:type="auto"/>
          </w:tcPr>
          <w:p w14:paraId="550387D1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</w:tcPr>
          <w:p w14:paraId="037E4B60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0.31</w:t>
            </w:r>
          </w:p>
        </w:tc>
        <w:tc>
          <w:tcPr>
            <w:tcW w:w="0" w:type="auto"/>
          </w:tcPr>
          <w:p w14:paraId="1F1E4B50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Thoracic vs lumbar: exp(β) 1.10 [0.90–1.34], p = 0.34</w:t>
            </w:r>
          </w:p>
        </w:tc>
      </w:tr>
      <w:tr w:rsidR="004D640F" w:rsidRPr="00194A58" w14:paraId="5C90213B" w14:textId="77777777" w:rsidTr="00713F5E">
        <w:tc>
          <w:tcPr>
            <w:tcW w:w="0" w:type="auto"/>
          </w:tcPr>
          <w:p w14:paraId="60F39530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Three-region (thoracic/TLJ/lumbar)</w:t>
            </w:r>
          </w:p>
        </w:tc>
        <w:tc>
          <w:tcPr>
            <w:tcW w:w="0" w:type="auto"/>
          </w:tcPr>
          <w:p w14:paraId="7BAF3B2F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312.31</w:t>
            </w:r>
          </w:p>
        </w:tc>
        <w:tc>
          <w:tcPr>
            <w:tcW w:w="0" w:type="auto"/>
          </w:tcPr>
          <w:p w14:paraId="0C7E77BC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350.01</w:t>
            </w:r>
          </w:p>
        </w:tc>
        <w:tc>
          <w:tcPr>
            <w:tcW w:w="0" w:type="auto"/>
          </w:tcPr>
          <w:p w14:paraId="6AC40BEF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−144.15</w:t>
            </w:r>
          </w:p>
        </w:tc>
        <w:tc>
          <w:tcPr>
            <w:tcW w:w="0" w:type="auto"/>
          </w:tcPr>
          <w:p w14:paraId="7E0AC934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0" w:type="auto"/>
          </w:tcPr>
          <w:p w14:paraId="7ED5D9FB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0.31</w:t>
            </w:r>
          </w:p>
        </w:tc>
        <w:tc>
          <w:tcPr>
            <w:tcW w:w="0" w:type="auto"/>
          </w:tcPr>
          <w:p w14:paraId="6D186964" w14:textId="77777777" w:rsidR="004D640F" w:rsidRPr="00194A58" w:rsidRDefault="004D640F" w:rsidP="00713F5E">
            <w:pPr>
              <w:jc w:val="left"/>
            </w:pPr>
            <w:r w:rsidRPr="00194A58">
              <w:rPr>
                <w:sz w:val="18"/>
                <w:szCs w:val="18"/>
                <w:lang w:val="en-US"/>
              </w:rPr>
              <w:t>Thoracic vs TLJ: 1.01 [0.79–1.29], p = 0.93; Lumbar vs TLJ: 0.82 [0.65–1.05], p = 0.11</w:t>
            </w:r>
          </w:p>
        </w:tc>
      </w:tr>
    </w:tbl>
    <w:p w14:paraId="2057B0AC" w14:textId="77777777" w:rsidR="004D640F" w:rsidRPr="00194A58" w:rsidRDefault="004D640F" w:rsidP="004D640F">
      <w:pPr>
        <w:spacing w:line="480" w:lineRule="auto"/>
      </w:pPr>
    </w:p>
    <w:p w14:paraId="5F2180F6" w14:textId="77777777" w:rsidR="004D640F" w:rsidRDefault="004D640F" w:rsidP="004D640F">
      <w:pPr>
        <w:spacing w:line="480" w:lineRule="auto"/>
      </w:pPr>
      <w:r w:rsidRPr="00194A58">
        <w:rPr>
          <w:sz w:val="18"/>
          <w:szCs w:val="18"/>
          <w:lang w:val="en-US"/>
        </w:rPr>
        <w:t xml:space="preserve">AIC, Akaike information criterion; BIC, Bayesian information criterion; </w:t>
      </w:r>
      <w:proofErr w:type="spellStart"/>
      <w:r w:rsidRPr="00194A58">
        <w:rPr>
          <w:sz w:val="18"/>
          <w:szCs w:val="18"/>
          <w:lang w:val="en-US"/>
        </w:rPr>
        <w:t>logLik</w:t>
      </w:r>
      <w:proofErr w:type="spellEnd"/>
      <w:r w:rsidRPr="00194A58">
        <w:rPr>
          <w:sz w:val="18"/>
          <w:szCs w:val="18"/>
          <w:lang w:val="en-US"/>
        </w:rPr>
        <w:t xml:space="preserve">, log-likelihood; </w:t>
      </w:r>
      <w:proofErr w:type="spellStart"/>
      <w:r w:rsidRPr="00194A58">
        <w:rPr>
          <w:sz w:val="18"/>
          <w:szCs w:val="18"/>
          <w:lang w:val="en-US"/>
        </w:rPr>
        <w:t>df</w:t>
      </w:r>
      <w:proofErr w:type="spellEnd"/>
      <w:r w:rsidRPr="00194A58">
        <w:rPr>
          <w:sz w:val="18"/>
          <w:szCs w:val="18"/>
          <w:lang w:val="en-US"/>
        </w:rPr>
        <w:t xml:space="preserve">, model degrees of freedom; GVIF^(1/2df), generalized variance inflation factor (square root, per </w:t>
      </w:r>
      <w:proofErr w:type="spellStart"/>
      <w:r w:rsidRPr="00194A58">
        <w:rPr>
          <w:sz w:val="18"/>
          <w:szCs w:val="18"/>
          <w:lang w:val="en-US"/>
        </w:rPr>
        <w:t>df</w:t>
      </w:r>
      <w:proofErr w:type="spellEnd"/>
      <w:r w:rsidRPr="00194A58">
        <w:rPr>
          <w:sz w:val="18"/>
          <w:szCs w:val="18"/>
          <w:lang w:val="en-US"/>
        </w:rPr>
        <w:t xml:space="preserve">); TLJ, thoracolumbar junction (Th11–L2); OR, odds ratio; exp(β), exponentiated beta coefficient; CI, confidence interval; adj R², adjusted R-squared. ΔAIC &lt; 2 (observed: 0.21 and 0.09) for both outcomes indicates equivalent model fit. BIC </w:t>
      </w:r>
      <w:proofErr w:type="spellStart"/>
      <w:r w:rsidRPr="00194A58">
        <w:rPr>
          <w:sz w:val="18"/>
          <w:szCs w:val="18"/>
          <w:lang w:val="en-US"/>
        </w:rPr>
        <w:t>favours</w:t>
      </w:r>
      <w:proofErr w:type="spellEnd"/>
      <w:r w:rsidRPr="00194A58">
        <w:rPr>
          <w:sz w:val="18"/>
          <w:szCs w:val="18"/>
          <w:lang w:val="en-US"/>
        </w:rPr>
        <w:t xml:space="preserve"> the two-region scheme (ΔBIC +2.9 for </w:t>
      </w:r>
      <w:proofErr w:type="gramStart"/>
      <w:r w:rsidRPr="00194A58">
        <w:rPr>
          <w:sz w:val="18"/>
          <w:szCs w:val="18"/>
          <w:lang w:val="en-US"/>
        </w:rPr>
        <w:t>logistic</w:t>
      </w:r>
      <w:proofErr w:type="gramEnd"/>
      <w:r w:rsidRPr="00194A58">
        <w:rPr>
          <w:sz w:val="18"/>
          <w:szCs w:val="18"/>
          <w:lang w:val="en-US"/>
        </w:rPr>
        <w:t>, +3.2 for log-linear). Fracture location was not significant in any scheme or outcome (smallest p = 0.11). Core predictors (OF grade, age, neurological deficit) remained stable across both schemes. Maximum GVIF^(1/2df) = 1.12, indicating negligible multicollinearity.</w:t>
      </w:r>
    </w:p>
    <w:p w14:paraId="00D520CB" w14:textId="77777777" w:rsidR="00431221" w:rsidRDefault="00431221"/>
    <w:sectPr w:rsidR="00431221" w:rsidSect="004D640F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F206" w14:textId="77777777" w:rsidR="004D640F" w:rsidRDefault="004D640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1812460"/>
      <w:docPartObj>
        <w:docPartGallery w:val="Page Numbers (Bottom of Page)"/>
        <w:docPartUnique/>
      </w:docPartObj>
    </w:sdtPr>
    <w:sdtContent>
      <w:p w14:paraId="5C3007D9" w14:textId="77777777" w:rsidR="004D640F" w:rsidRDefault="004D640F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A9F5F6" w14:textId="77777777" w:rsidR="004D640F" w:rsidRDefault="004D640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40A2" w14:textId="77777777" w:rsidR="004D640F" w:rsidRDefault="004D640F">
    <w:pPr>
      <w:pStyle w:val="Fuzeil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D4C57" w14:textId="77777777" w:rsidR="004D640F" w:rsidRDefault="004D640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2ABA8" w14:textId="77777777" w:rsidR="004D640F" w:rsidRDefault="004D640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0D6FD" w14:textId="77777777" w:rsidR="004D640F" w:rsidRDefault="004D640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40F"/>
    <w:rsid w:val="000F302B"/>
    <w:rsid w:val="00431221"/>
    <w:rsid w:val="00465D7D"/>
    <w:rsid w:val="004D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3CCDF"/>
  <w15:chartTrackingRefBased/>
  <w15:docId w15:val="{BF2B939D-1061-4430-8F6E-6CD4C2E5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640F"/>
    <w:pPr>
      <w:spacing w:after="200" w:line="360" w:lineRule="auto"/>
      <w:jc w:val="both"/>
    </w:pPr>
    <w:rPr>
      <w:rFonts w:ascii="Arial" w:eastAsiaTheme="minorEastAsia" w:hAnsi="Arial"/>
      <w:sz w:val="22"/>
      <w:szCs w:val="22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D640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D640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D640F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D640F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D640F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D640F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D640F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D640F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D640F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D6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D6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D6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D640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D640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D640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D640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D640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D640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D640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4D6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D640F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D6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D640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sz w:val="24"/>
      <w:szCs w:val="24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4D640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D640F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sz w:val="24"/>
      <w:szCs w:val="24"/>
      <w:lang w:eastAsia="en-US"/>
    </w:rPr>
  </w:style>
  <w:style w:type="character" w:styleId="IntensiveHervorhebung">
    <w:name w:val="Intense Emphasis"/>
    <w:basedOn w:val="Absatz-Standardschriftart"/>
    <w:uiPriority w:val="21"/>
    <w:qFormat/>
    <w:rsid w:val="004D640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D6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sz w:val="24"/>
      <w:szCs w:val="24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D640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D640F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D6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D640F"/>
    <w:rPr>
      <w:rFonts w:ascii="Arial" w:eastAsiaTheme="minorEastAsia" w:hAnsi="Arial"/>
      <w:sz w:val="22"/>
      <w:szCs w:val="22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4D6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D640F"/>
    <w:rPr>
      <w:rFonts w:ascii="Arial" w:eastAsiaTheme="minorEastAsia" w:hAnsi="Arial"/>
      <w:sz w:val="22"/>
      <w:szCs w:val="22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4D6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Völker</dc:creator>
  <cp:keywords/>
  <dc:description/>
  <cp:lastModifiedBy>Anna Völker</cp:lastModifiedBy>
  <cp:revision>1</cp:revision>
  <dcterms:created xsi:type="dcterms:W3CDTF">2026-07-15T10:05:00Z</dcterms:created>
  <dcterms:modified xsi:type="dcterms:W3CDTF">2026-07-15T10:05:00Z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