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4735B" w14:textId="13A0780A" w:rsidR="00891206" w:rsidRDefault="0089120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Fig. 2</w:t>
      </w:r>
    </w:p>
    <w:p w14:paraId="0E29CC63" w14:textId="4A3938CD" w:rsidR="00891206" w:rsidRPr="00ED5818" w:rsidRDefault="00ED58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</w:p>
    <w:p w14:paraId="035F7193" w14:textId="3DF327AF" w:rsidR="00891206" w:rsidRDefault="00891206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34463859" wp14:editId="04EC7BA9">
            <wp:extent cx="4572000" cy="2743200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23C88466-CBD0-CF11-4C1D-F975F2A3DB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B740104" w14:textId="3E9ADA46" w:rsidR="00891206" w:rsidRPr="00ED5818" w:rsidRDefault="00ED5818">
      <w:pPr>
        <w:rPr>
          <w:rFonts w:ascii="Times New Roman" w:hAnsi="Times New Roman" w:cs="Times New Roman"/>
        </w:rPr>
      </w:pPr>
      <w:r w:rsidRPr="00ED5818">
        <w:rPr>
          <w:rFonts w:ascii="Times New Roman" w:hAnsi="Times New Roman" w:cs="Times New Roman"/>
        </w:rPr>
        <w:t>b.</w:t>
      </w:r>
    </w:p>
    <w:p w14:paraId="24C13004" w14:textId="1B56FE9E" w:rsidR="00891206" w:rsidRDefault="00891206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30943F2F" wp14:editId="4248C178">
            <wp:extent cx="4572000" cy="2743200"/>
            <wp:effectExtent l="0" t="0" r="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43B5226F-2FE3-6199-5E11-7C95BF2218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372C598" w14:textId="15133C07" w:rsidR="00891206" w:rsidRDefault="00891206">
      <w:pPr>
        <w:rPr>
          <w:rFonts w:ascii="Times New Roman" w:hAnsi="Times New Roman" w:cs="Times New Roman"/>
          <w:b/>
          <w:bCs/>
        </w:rPr>
      </w:pPr>
    </w:p>
    <w:p w14:paraId="1DF289EC" w14:textId="7CA1F11B" w:rsidR="00891206" w:rsidRDefault="00891206">
      <w:pPr>
        <w:rPr>
          <w:rFonts w:ascii="Times New Roman" w:hAnsi="Times New Roman" w:cs="Times New Roman"/>
          <w:b/>
          <w:bCs/>
        </w:rPr>
      </w:pPr>
    </w:p>
    <w:p w14:paraId="6BAB98DC" w14:textId="31141A19" w:rsidR="00891206" w:rsidRDefault="00891206">
      <w:pPr>
        <w:rPr>
          <w:rFonts w:ascii="Times New Roman" w:hAnsi="Times New Roman" w:cs="Times New Roman"/>
          <w:b/>
          <w:bCs/>
        </w:rPr>
      </w:pPr>
    </w:p>
    <w:p w14:paraId="6B39F364" w14:textId="293B3A04" w:rsidR="00891206" w:rsidRDefault="00891206">
      <w:pPr>
        <w:rPr>
          <w:rFonts w:ascii="Times New Roman" w:hAnsi="Times New Roman" w:cs="Times New Roman"/>
          <w:b/>
          <w:bCs/>
        </w:rPr>
      </w:pPr>
    </w:p>
    <w:p w14:paraId="602D7A80" w14:textId="4BC1728A" w:rsidR="00891206" w:rsidRDefault="00891206">
      <w:pPr>
        <w:rPr>
          <w:rFonts w:ascii="Times New Roman" w:hAnsi="Times New Roman" w:cs="Times New Roman"/>
          <w:b/>
          <w:bCs/>
        </w:rPr>
      </w:pPr>
    </w:p>
    <w:p w14:paraId="57540381" w14:textId="77777777" w:rsidR="00891206" w:rsidRDefault="00891206">
      <w:pPr>
        <w:rPr>
          <w:rFonts w:ascii="Times New Roman" w:hAnsi="Times New Roman" w:cs="Times New Roman"/>
          <w:b/>
          <w:bCs/>
        </w:rPr>
      </w:pPr>
    </w:p>
    <w:p w14:paraId="361AF4BC" w14:textId="114CD39C" w:rsidR="00891206" w:rsidRPr="00ED5818" w:rsidRDefault="00ED58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c.</w:t>
      </w:r>
    </w:p>
    <w:p w14:paraId="4EB7D962" w14:textId="518F6443" w:rsidR="00891206" w:rsidRDefault="00891206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5063928" wp14:editId="5ACB6CB3">
            <wp:extent cx="4572000" cy="2743200"/>
            <wp:effectExtent l="0" t="0" r="0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950E9D2D-AF60-5FE5-7147-2639F46954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939DB48" w14:textId="73C5DC4C" w:rsidR="00891206" w:rsidRPr="00ED5818" w:rsidRDefault="00ED58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</w:p>
    <w:p w14:paraId="261E7F2E" w14:textId="08A15343" w:rsidR="00891206" w:rsidRDefault="00891206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4E8DDE61" wp14:editId="3399100C">
            <wp:extent cx="4572000" cy="2743200"/>
            <wp:effectExtent l="0" t="0" r="0" b="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78DC7CF3-9A79-AE52-2C1A-6810ED1FE5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003EA5D" w14:textId="2142AE08" w:rsidR="00ED5818" w:rsidRDefault="00ED5818">
      <w:pPr>
        <w:rPr>
          <w:rFonts w:ascii="Times New Roman" w:hAnsi="Times New Roman" w:cs="Times New Roman"/>
          <w:b/>
          <w:bCs/>
        </w:rPr>
      </w:pPr>
    </w:p>
    <w:p w14:paraId="161B1DE2" w14:textId="29562AB0" w:rsidR="00ED5818" w:rsidRDefault="00ED5818">
      <w:pPr>
        <w:rPr>
          <w:rFonts w:ascii="Times New Roman" w:hAnsi="Times New Roman" w:cs="Times New Roman"/>
          <w:b/>
          <w:bCs/>
        </w:rPr>
      </w:pPr>
    </w:p>
    <w:p w14:paraId="69B075A1" w14:textId="319D9D92" w:rsidR="00ED5818" w:rsidRDefault="00ED5818">
      <w:pPr>
        <w:rPr>
          <w:rFonts w:ascii="Times New Roman" w:hAnsi="Times New Roman" w:cs="Times New Roman"/>
          <w:b/>
          <w:bCs/>
        </w:rPr>
      </w:pPr>
    </w:p>
    <w:p w14:paraId="06B2BC17" w14:textId="11E66DDD" w:rsidR="00ED5818" w:rsidRDefault="00ED5818">
      <w:pPr>
        <w:rPr>
          <w:rFonts w:ascii="Times New Roman" w:hAnsi="Times New Roman" w:cs="Times New Roman"/>
          <w:b/>
          <w:bCs/>
        </w:rPr>
      </w:pPr>
    </w:p>
    <w:p w14:paraId="501170E8" w14:textId="482541E8" w:rsidR="00ED5818" w:rsidRDefault="00ED5818">
      <w:pPr>
        <w:rPr>
          <w:rFonts w:ascii="Times New Roman" w:hAnsi="Times New Roman" w:cs="Times New Roman"/>
          <w:b/>
          <w:bCs/>
        </w:rPr>
      </w:pPr>
    </w:p>
    <w:p w14:paraId="585E4203" w14:textId="33175A09" w:rsidR="00ED5818" w:rsidRDefault="00ED5818">
      <w:pPr>
        <w:rPr>
          <w:rFonts w:ascii="Times New Roman" w:hAnsi="Times New Roman" w:cs="Times New Roman"/>
          <w:b/>
          <w:bCs/>
        </w:rPr>
      </w:pPr>
    </w:p>
    <w:p w14:paraId="21E5E928" w14:textId="77777777" w:rsidR="00ED5818" w:rsidRDefault="00ED5818">
      <w:pPr>
        <w:rPr>
          <w:rFonts w:ascii="Times New Roman" w:hAnsi="Times New Roman" w:cs="Times New Roman"/>
          <w:b/>
          <w:bCs/>
        </w:rPr>
      </w:pPr>
    </w:p>
    <w:p w14:paraId="0ECCD737" w14:textId="6FE963F8" w:rsidR="00891206" w:rsidRPr="00ED5818" w:rsidRDefault="00ED58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e.</w:t>
      </w:r>
    </w:p>
    <w:p w14:paraId="47BC7D63" w14:textId="62FCF936" w:rsidR="00891206" w:rsidRDefault="00891206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1DF1724C" wp14:editId="52BA93BE">
            <wp:extent cx="4572000" cy="2743200"/>
            <wp:effectExtent l="0" t="0" r="0" b="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CE1DC8DB-259D-17AD-AF97-D590438015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615E29" w14:textId="7AB2CAC1" w:rsidR="00891206" w:rsidRPr="00ED5818" w:rsidRDefault="00ED58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f.</w:t>
      </w:r>
    </w:p>
    <w:p w14:paraId="146491E6" w14:textId="503D14F0" w:rsidR="00891206" w:rsidRPr="00891206" w:rsidRDefault="00891206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52590CB5" wp14:editId="3D496D92">
            <wp:extent cx="4572000" cy="2743200"/>
            <wp:effectExtent l="0" t="0" r="0" b="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2FD3D7E2-184F-99F0-961B-BBBDCFDD54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891206" w:rsidRPr="00891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206"/>
    <w:rsid w:val="002A2BB8"/>
    <w:rsid w:val="003D45CA"/>
    <w:rsid w:val="007328CE"/>
    <w:rsid w:val="00887F32"/>
    <w:rsid w:val="00891206"/>
    <w:rsid w:val="00A07932"/>
    <w:rsid w:val="00A63F50"/>
    <w:rsid w:val="00AB6FD4"/>
    <w:rsid w:val="00D417AF"/>
    <w:rsid w:val="00ED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027F2"/>
  <w15:chartTrackingRefBased/>
  <w15:docId w15:val="{78A41365-1075-40E0-835B-2039A637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206"/>
    <w:rPr>
      <w:rFonts w:ascii="Calibri" w:hAnsi="Calibri" w:cs="Calibri"/>
      <w:color w:val="00000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ulia\OneDrive\Documents\Keck%2019-20\Research\Ortho\Trauma\NIS_acetabtx_trends\trend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ulia\OneDrive\Documents\Keck%2019-20\Research\Ortho\Trauma\NIS_acetabtx_trends\trend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ulia\OneDrive\Documents\Keck%2019-20\Research\Ortho\Trauma\NIS_acetabtx_trends\trend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ulia\OneDrive\Documents\Keck%2019-20\Research\Ortho\Trauma\NIS_acetabtx_trends\trend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ulia\OneDrive\Documents\Keck%2019-20\Research\Ortho\Trauma\NIS_acetabtx_trends\trend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ulia\OneDrive\Documents\Keck%2019-20\Research\Ortho\Trauma\NIS_acetabtx_trends\trend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Acetabular treatment trends in rural hospitals (ages ≥65)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Hospitaltype_o65!$B$15</c:f>
              <c:strCache>
                <c:ptCount val="1"/>
                <c:pt idx="0">
                  <c:v>ORIF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Hospitaltype_o65!$A$16:$A$26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Hospitaltype_o65!$B$16:$B$26</c:f>
              <c:numCache>
                <c:formatCode>0%</c:formatCode>
                <c:ptCount val="11"/>
                <c:pt idx="0">
                  <c:v>0.6</c:v>
                </c:pt>
                <c:pt idx="1">
                  <c:v>0.8</c:v>
                </c:pt>
                <c:pt idx="2">
                  <c:v>0.5</c:v>
                </c:pt>
                <c:pt idx="3">
                  <c:v>0.75</c:v>
                </c:pt>
                <c:pt idx="4">
                  <c:v>0.8</c:v>
                </c:pt>
                <c:pt idx="5">
                  <c:v>0.5</c:v>
                </c:pt>
                <c:pt idx="6">
                  <c:v>0.7142857142857143</c:v>
                </c:pt>
                <c:pt idx="7">
                  <c:v>0.22222222222222221</c:v>
                </c:pt>
                <c:pt idx="8">
                  <c:v>0.5</c:v>
                </c:pt>
                <c:pt idx="9">
                  <c:v>0.44444444444444442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45E-43C9-B1AA-188A76FA65B6}"/>
            </c:ext>
          </c:extLst>
        </c:ser>
        <c:ser>
          <c:idx val="1"/>
          <c:order val="1"/>
          <c:tx>
            <c:strRef>
              <c:f>Hospitaltype_o65!$C$15</c:f>
              <c:strCache>
                <c:ptCount val="1"/>
                <c:pt idx="0">
                  <c:v>THA</c:v>
                </c:pt>
              </c:strCache>
            </c:strRef>
          </c:tx>
          <c:spPr>
            <a:ln w="28575" cap="rnd">
              <a:solidFill>
                <a:schemeClr val="bg2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bg2">
                    <a:lumMod val="50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Hospitaltype_o65!$A$16:$A$26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Hospitaltype_o65!$C$16:$C$26</c:f>
              <c:numCache>
                <c:formatCode>0%</c:formatCode>
                <c:ptCount val="11"/>
                <c:pt idx="0">
                  <c:v>0.3</c:v>
                </c:pt>
                <c:pt idx="1">
                  <c:v>0.2</c:v>
                </c:pt>
                <c:pt idx="2">
                  <c:v>0.25</c:v>
                </c:pt>
                <c:pt idx="3">
                  <c:v>0.25</c:v>
                </c:pt>
                <c:pt idx="4">
                  <c:v>0</c:v>
                </c:pt>
                <c:pt idx="5">
                  <c:v>0</c:v>
                </c:pt>
                <c:pt idx="6">
                  <c:v>0.14285714285714285</c:v>
                </c:pt>
                <c:pt idx="7">
                  <c:v>0.66666666666666663</c:v>
                </c:pt>
                <c:pt idx="8">
                  <c:v>0.5</c:v>
                </c:pt>
                <c:pt idx="9">
                  <c:v>0.44444444444444442</c:v>
                </c:pt>
                <c:pt idx="10">
                  <c:v>0.83333333333333337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45E-43C9-B1AA-188A76FA65B6}"/>
            </c:ext>
          </c:extLst>
        </c:ser>
        <c:ser>
          <c:idx val="2"/>
          <c:order val="2"/>
          <c:tx>
            <c:strRef>
              <c:f>Hospitaltype_o65!$D$15</c:f>
              <c:strCache>
                <c:ptCount val="1"/>
                <c:pt idx="0">
                  <c:v>CHP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Hospitaltype_o65!$A$16:$A$26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Hospitaltype_o65!$D$16:$D$26</c:f>
              <c:numCache>
                <c:formatCode>0%</c:formatCode>
                <c:ptCount val="11"/>
                <c:pt idx="0">
                  <c:v>0.1</c:v>
                </c:pt>
                <c:pt idx="1">
                  <c:v>0</c:v>
                </c:pt>
                <c:pt idx="2">
                  <c:v>0.25</c:v>
                </c:pt>
                <c:pt idx="3">
                  <c:v>0</c:v>
                </c:pt>
                <c:pt idx="4">
                  <c:v>0.2</c:v>
                </c:pt>
                <c:pt idx="5">
                  <c:v>0.5</c:v>
                </c:pt>
                <c:pt idx="6">
                  <c:v>0.14285714285714285</c:v>
                </c:pt>
                <c:pt idx="7">
                  <c:v>0.1111111111111111</c:v>
                </c:pt>
                <c:pt idx="8">
                  <c:v>0</c:v>
                </c:pt>
                <c:pt idx="9">
                  <c:v>0.1111111111111111</c:v>
                </c:pt>
                <c:pt idx="10">
                  <c:v>0.16666666666666666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745E-43C9-B1AA-188A76FA65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28457424"/>
        <c:axId val="2028457840"/>
      </c:lineChart>
      <c:catAx>
        <c:axId val="20284574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 rtl="0">
                  <a:def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rPr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28457840"/>
        <c:crosses val="autoZero"/>
        <c:auto val="1"/>
        <c:lblAlgn val="ctr"/>
        <c:lblOffset val="100"/>
        <c:noMultiLvlLbl val="0"/>
      </c:catAx>
      <c:valAx>
        <c:axId val="2028457840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rPr>
                  <a:t>Percent of Total Admissions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28457424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Acetabular treatment trends in urban non-teaching hospitals (ages ≥65)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Hospitaltype_o65!$H$15</c:f>
              <c:strCache>
                <c:ptCount val="1"/>
                <c:pt idx="0">
                  <c:v>ORIF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Hospitaltype_o65!$G$16:$G$26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Hospitaltype_o65!$H$16:$H$26</c:f>
              <c:numCache>
                <c:formatCode>0%</c:formatCode>
                <c:ptCount val="11"/>
                <c:pt idx="0">
                  <c:v>0.58139534883720934</c:v>
                </c:pt>
                <c:pt idx="1">
                  <c:v>0.59259259259259256</c:v>
                </c:pt>
                <c:pt idx="2">
                  <c:v>0.46153846153846156</c:v>
                </c:pt>
                <c:pt idx="3">
                  <c:v>0.63636363636363635</c:v>
                </c:pt>
                <c:pt idx="4">
                  <c:v>0.625</c:v>
                </c:pt>
                <c:pt idx="5">
                  <c:v>0.47619047619047616</c:v>
                </c:pt>
                <c:pt idx="6">
                  <c:v>0.4</c:v>
                </c:pt>
                <c:pt idx="7">
                  <c:v>0.55555555555555558</c:v>
                </c:pt>
                <c:pt idx="8">
                  <c:v>0.31818181818181818</c:v>
                </c:pt>
                <c:pt idx="9">
                  <c:v>0.4</c:v>
                </c:pt>
                <c:pt idx="10">
                  <c:v>0.29411764705882354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846-42F3-A682-A54D84BBA46B}"/>
            </c:ext>
          </c:extLst>
        </c:ser>
        <c:ser>
          <c:idx val="1"/>
          <c:order val="1"/>
          <c:tx>
            <c:strRef>
              <c:f>Hospitaltype_o65!$I$15</c:f>
              <c:strCache>
                <c:ptCount val="1"/>
                <c:pt idx="0">
                  <c:v>THA</c:v>
                </c:pt>
              </c:strCache>
            </c:strRef>
          </c:tx>
          <c:spPr>
            <a:ln w="28575" cap="rnd">
              <a:solidFill>
                <a:schemeClr val="bg2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bg2">
                    <a:lumMod val="50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Hospitaltype_o65!$G$16:$G$26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Hospitaltype_o65!$I$16:$I$26</c:f>
              <c:numCache>
                <c:formatCode>0%</c:formatCode>
                <c:ptCount val="11"/>
                <c:pt idx="0">
                  <c:v>0.23255813953488372</c:v>
                </c:pt>
                <c:pt idx="1">
                  <c:v>0.29629629629629628</c:v>
                </c:pt>
                <c:pt idx="2">
                  <c:v>0.38461538461538464</c:v>
                </c:pt>
                <c:pt idx="3">
                  <c:v>0.27272727272727271</c:v>
                </c:pt>
                <c:pt idx="4">
                  <c:v>0.25</c:v>
                </c:pt>
                <c:pt idx="5">
                  <c:v>0.47619047619047616</c:v>
                </c:pt>
                <c:pt idx="6">
                  <c:v>0.48</c:v>
                </c:pt>
                <c:pt idx="7">
                  <c:v>0.27777777777777779</c:v>
                </c:pt>
                <c:pt idx="8">
                  <c:v>0.54545454545454541</c:v>
                </c:pt>
                <c:pt idx="9">
                  <c:v>0.6</c:v>
                </c:pt>
                <c:pt idx="10">
                  <c:v>0.47058823529411764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846-42F3-A682-A54D84BBA46B}"/>
            </c:ext>
          </c:extLst>
        </c:ser>
        <c:ser>
          <c:idx val="2"/>
          <c:order val="2"/>
          <c:tx>
            <c:strRef>
              <c:f>Hospitaltype_o65!$J$15</c:f>
              <c:strCache>
                <c:ptCount val="1"/>
                <c:pt idx="0">
                  <c:v>CHP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Hospitaltype_o65!$G$16:$G$26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Hospitaltype_o65!$J$16:$J$26</c:f>
              <c:numCache>
                <c:formatCode>0%</c:formatCode>
                <c:ptCount val="11"/>
                <c:pt idx="0">
                  <c:v>0.18604651162790697</c:v>
                </c:pt>
                <c:pt idx="1">
                  <c:v>0.1111111111111111</c:v>
                </c:pt>
                <c:pt idx="2">
                  <c:v>0.15384615384615385</c:v>
                </c:pt>
                <c:pt idx="3">
                  <c:v>9.0909090909090912E-2</c:v>
                </c:pt>
                <c:pt idx="4">
                  <c:v>0.125</c:v>
                </c:pt>
                <c:pt idx="5">
                  <c:v>4.7619047619047616E-2</c:v>
                </c:pt>
                <c:pt idx="6">
                  <c:v>0.12</c:v>
                </c:pt>
                <c:pt idx="7">
                  <c:v>0.16666666666666666</c:v>
                </c:pt>
                <c:pt idx="8">
                  <c:v>0.13636363636363635</c:v>
                </c:pt>
                <c:pt idx="9">
                  <c:v>0</c:v>
                </c:pt>
                <c:pt idx="10">
                  <c:v>0.23529411764705882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E846-42F3-A682-A54D84BBA4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28457424"/>
        <c:axId val="2028457840"/>
      </c:lineChart>
      <c:catAx>
        <c:axId val="20284574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 rtl="0">
                  <a:def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rPr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28457840"/>
        <c:crosses val="autoZero"/>
        <c:auto val="1"/>
        <c:lblAlgn val="ctr"/>
        <c:lblOffset val="100"/>
        <c:noMultiLvlLbl val="0"/>
      </c:catAx>
      <c:valAx>
        <c:axId val="2028457840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rPr>
                  <a:t>Percent of Total Admissions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28457424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lang="en-US"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Acetabular treatment trends in urban teaching hospitals (ages ≥65)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Hospitaltype_o65!$N$15</c:f>
              <c:strCache>
                <c:ptCount val="1"/>
                <c:pt idx="0">
                  <c:v>ORIF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Hospitaltype_o65!$M$16:$M$26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Hospitaltype_o65!$N$16:$N$26</c:f>
              <c:numCache>
                <c:formatCode>0%</c:formatCode>
                <c:ptCount val="11"/>
                <c:pt idx="0">
                  <c:v>0.83088235294117652</c:v>
                </c:pt>
                <c:pt idx="1">
                  <c:v>0.69306930693069302</c:v>
                </c:pt>
                <c:pt idx="2">
                  <c:v>0.86170212765957444</c:v>
                </c:pt>
                <c:pt idx="3">
                  <c:v>0.86734693877551017</c:v>
                </c:pt>
                <c:pt idx="4">
                  <c:v>0.73404255319148937</c:v>
                </c:pt>
                <c:pt idx="5">
                  <c:v>0.75206611570247939</c:v>
                </c:pt>
                <c:pt idx="6">
                  <c:v>0.64197530864197527</c:v>
                </c:pt>
                <c:pt idx="7">
                  <c:v>0.63101604278074863</c:v>
                </c:pt>
                <c:pt idx="8">
                  <c:v>0.67647058823529416</c:v>
                </c:pt>
                <c:pt idx="9">
                  <c:v>0.5</c:v>
                </c:pt>
                <c:pt idx="10">
                  <c:v>0.59473684210526312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557-40D2-86A4-91DA722C7D46}"/>
            </c:ext>
          </c:extLst>
        </c:ser>
        <c:ser>
          <c:idx val="1"/>
          <c:order val="1"/>
          <c:tx>
            <c:strRef>
              <c:f>Hospitaltype_o65!$O$15</c:f>
              <c:strCache>
                <c:ptCount val="1"/>
                <c:pt idx="0">
                  <c:v>THA</c:v>
                </c:pt>
              </c:strCache>
            </c:strRef>
          </c:tx>
          <c:spPr>
            <a:ln w="28575" cap="rnd">
              <a:solidFill>
                <a:schemeClr val="bg2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bg2">
                    <a:lumMod val="50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Hospitaltype_o65!$M$16:$M$26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Hospitaltype_o65!$O$16:$O$26</c:f>
              <c:numCache>
                <c:formatCode>0%</c:formatCode>
                <c:ptCount val="11"/>
                <c:pt idx="0">
                  <c:v>8.0882352941176475E-2</c:v>
                </c:pt>
                <c:pt idx="1">
                  <c:v>0.14851485148514851</c:v>
                </c:pt>
                <c:pt idx="2">
                  <c:v>5.3191489361702128E-2</c:v>
                </c:pt>
                <c:pt idx="3">
                  <c:v>0.10204081632653061</c:v>
                </c:pt>
                <c:pt idx="4">
                  <c:v>0.19148936170212766</c:v>
                </c:pt>
                <c:pt idx="5">
                  <c:v>0.13223140495867769</c:v>
                </c:pt>
                <c:pt idx="6">
                  <c:v>0.19135802469135801</c:v>
                </c:pt>
                <c:pt idx="7">
                  <c:v>0.20320855614973263</c:v>
                </c:pt>
                <c:pt idx="8">
                  <c:v>0.21176470588235294</c:v>
                </c:pt>
                <c:pt idx="9">
                  <c:v>0.26415094339622641</c:v>
                </c:pt>
                <c:pt idx="10">
                  <c:v>0.25263157894736843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557-40D2-86A4-91DA722C7D46}"/>
            </c:ext>
          </c:extLst>
        </c:ser>
        <c:ser>
          <c:idx val="2"/>
          <c:order val="2"/>
          <c:tx>
            <c:strRef>
              <c:f>Hospitaltype_o65!$P$15</c:f>
              <c:strCache>
                <c:ptCount val="1"/>
                <c:pt idx="0">
                  <c:v>CHP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Hospitaltype_o65!$M$16:$M$26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Hospitaltype_o65!$P$16:$P$26</c:f>
              <c:numCache>
                <c:formatCode>0%</c:formatCode>
                <c:ptCount val="11"/>
                <c:pt idx="0">
                  <c:v>8.8235294117647065E-2</c:v>
                </c:pt>
                <c:pt idx="1">
                  <c:v>0.15841584158415842</c:v>
                </c:pt>
                <c:pt idx="2">
                  <c:v>8.5106382978723402E-2</c:v>
                </c:pt>
                <c:pt idx="3">
                  <c:v>3.0612244897959183E-2</c:v>
                </c:pt>
                <c:pt idx="4">
                  <c:v>7.4468085106382975E-2</c:v>
                </c:pt>
                <c:pt idx="5">
                  <c:v>0.11570247933884298</c:v>
                </c:pt>
                <c:pt idx="6">
                  <c:v>0.16666666666666666</c:v>
                </c:pt>
                <c:pt idx="7">
                  <c:v>0.16577540106951871</c:v>
                </c:pt>
                <c:pt idx="8">
                  <c:v>0.11176470588235295</c:v>
                </c:pt>
                <c:pt idx="9">
                  <c:v>0.23584905660377359</c:v>
                </c:pt>
                <c:pt idx="10">
                  <c:v>0.15263157894736842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3557-40D2-86A4-91DA722C7D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28457424"/>
        <c:axId val="2028457840"/>
      </c:lineChart>
      <c:catAx>
        <c:axId val="20284574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 rtl="0">
                  <a:def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rPr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28457840"/>
        <c:crosses val="autoZero"/>
        <c:auto val="1"/>
        <c:lblAlgn val="ctr"/>
        <c:lblOffset val="100"/>
        <c:noMultiLvlLbl val="0"/>
      </c:catAx>
      <c:valAx>
        <c:axId val="2028457840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rPr>
                  <a:t>Percent of Total Admissions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28457424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Acetabular treatment trends in rural hospitals (ages 45-64)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Hospitaltype_u65!$B$15</c:f>
              <c:strCache>
                <c:ptCount val="1"/>
                <c:pt idx="0">
                  <c:v>ORIF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Hospitaltype_u65!$A$16:$A$26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Hospitaltype_u65!$B$16:$B$26</c:f>
              <c:numCache>
                <c:formatCode>0%</c:formatCode>
                <c:ptCount val="11"/>
                <c:pt idx="0">
                  <c:v>0.8125</c:v>
                </c:pt>
                <c:pt idx="1">
                  <c:v>1</c:v>
                </c:pt>
                <c:pt idx="2">
                  <c:v>0.91666666666666663</c:v>
                </c:pt>
                <c:pt idx="3">
                  <c:v>0.88888888888888884</c:v>
                </c:pt>
                <c:pt idx="4">
                  <c:v>0.76923076923076927</c:v>
                </c:pt>
                <c:pt idx="5">
                  <c:v>0.66666666666666663</c:v>
                </c:pt>
                <c:pt idx="6">
                  <c:v>0.8571428571428571</c:v>
                </c:pt>
                <c:pt idx="7">
                  <c:v>0.63636363636363635</c:v>
                </c:pt>
                <c:pt idx="8">
                  <c:v>0.66666666666666663</c:v>
                </c:pt>
                <c:pt idx="9">
                  <c:v>1</c:v>
                </c:pt>
                <c:pt idx="10">
                  <c:v>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F07-404A-9C83-73B01DF9042D}"/>
            </c:ext>
          </c:extLst>
        </c:ser>
        <c:ser>
          <c:idx val="1"/>
          <c:order val="1"/>
          <c:tx>
            <c:strRef>
              <c:f>Hospitaltype_u65!$C$15</c:f>
              <c:strCache>
                <c:ptCount val="1"/>
                <c:pt idx="0">
                  <c:v>THA</c:v>
                </c:pt>
              </c:strCache>
            </c:strRef>
          </c:tx>
          <c:spPr>
            <a:ln w="28575" cap="rnd">
              <a:solidFill>
                <a:schemeClr val="bg2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bg2">
                    <a:lumMod val="50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Hospitaltype_u65!$A$16:$A$26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Hospitaltype_u65!$C$16:$C$26</c:f>
              <c:numCache>
                <c:formatCode>0%</c:formatCode>
                <c:ptCount val="11"/>
                <c:pt idx="0">
                  <c:v>0.125</c:v>
                </c:pt>
                <c:pt idx="1">
                  <c:v>0</c:v>
                </c:pt>
                <c:pt idx="2">
                  <c:v>8.3333333333333329E-2</c:v>
                </c:pt>
                <c:pt idx="3">
                  <c:v>0.1111111111111111</c:v>
                </c:pt>
                <c:pt idx="4">
                  <c:v>0.23076923076923078</c:v>
                </c:pt>
                <c:pt idx="5">
                  <c:v>0.33333333333333331</c:v>
                </c:pt>
                <c:pt idx="6">
                  <c:v>0</c:v>
                </c:pt>
                <c:pt idx="7">
                  <c:v>0.27272727272727271</c:v>
                </c:pt>
                <c:pt idx="8">
                  <c:v>0.1111111111111111</c:v>
                </c:pt>
                <c:pt idx="9">
                  <c:v>0</c:v>
                </c:pt>
                <c:pt idx="10">
                  <c:v>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F07-404A-9C83-73B01DF9042D}"/>
            </c:ext>
          </c:extLst>
        </c:ser>
        <c:ser>
          <c:idx val="2"/>
          <c:order val="2"/>
          <c:tx>
            <c:strRef>
              <c:f>Hospitaltype_u65!$D$15</c:f>
              <c:strCache>
                <c:ptCount val="1"/>
                <c:pt idx="0">
                  <c:v>CHP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Hospitaltype_u65!$A$16:$A$26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Hospitaltype_u65!$D$16:$D$26</c:f>
              <c:numCache>
                <c:formatCode>0%</c:formatCode>
                <c:ptCount val="11"/>
                <c:pt idx="0">
                  <c:v>6.25E-2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0.14285714285714285</c:v>
                </c:pt>
                <c:pt idx="7">
                  <c:v>9.0909090909090912E-2</c:v>
                </c:pt>
                <c:pt idx="8">
                  <c:v>0.22222222222222221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AF07-404A-9C83-73B01DF904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28457424"/>
        <c:axId val="2028457840"/>
      </c:lineChart>
      <c:catAx>
        <c:axId val="20284574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 rtl="0">
                  <a:def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rPr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28457840"/>
        <c:crosses val="autoZero"/>
        <c:auto val="1"/>
        <c:lblAlgn val="ctr"/>
        <c:lblOffset val="100"/>
        <c:noMultiLvlLbl val="0"/>
      </c:catAx>
      <c:valAx>
        <c:axId val="2028457840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rPr>
                  <a:t>Percent of Total Admissions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28457424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Acetabular treatment trends in urban</a:t>
            </a:r>
            <a:r>
              <a:rPr lang="en-US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non-teaching</a:t>
            </a:r>
            <a:r>
              <a:rPr lang="en-US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hospitals (ages 45-64)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Hospitaltype_u65!$H$15</c:f>
              <c:strCache>
                <c:ptCount val="1"/>
                <c:pt idx="0">
                  <c:v>ORIF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Hospitaltype_u65!$G$16:$G$26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Hospitaltype_u65!$H$16:$H$26</c:f>
              <c:numCache>
                <c:formatCode>0%</c:formatCode>
                <c:ptCount val="11"/>
                <c:pt idx="0">
                  <c:v>0.8571428571428571</c:v>
                </c:pt>
                <c:pt idx="1">
                  <c:v>0.8</c:v>
                </c:pt>
                <c:pt idx="2">
                  <c:v>0.7931034482758621</c:v>
                </c:pt>
                <c:pt idx="3">
                  <c:v>0.8125</c:v>
                </c:pt>
                <c:pt idx="4">
                  <c:v>0.625</c:v>
                </c:pt>
                <c:pt idx="5">
                  <c:v>0.75</c:v>
                </c:pt>
                <c:pt idx="6">
                  <c:v>0.875</c:v>
                </c:pt>
                <c:pt idx="7">
                  <c:v>0.77777777777777779</c:v>
                </c:pt>
                <c:pt idx="8">
                  <c:v>0.66666666666666663</c:v>
                </c:pt>
                <c:pt idx="9">
                  <c:v>1</c:v>
                </c:pt>
                <c:pt idx="10">
                  <c:v>0.90909090909090906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552-4432-BB5D-E2EB5417F7FE}"/>
            </c:ext>
          </c:extLst>
        </c:ser>
        <c:ser>
          <c:idx val="1"/>
          <c:order val="1"/>
          <c:tx>
            <c:strRef>
              <c:f>Hospitaltype_u65!$I$15</c:f>
              <c:strCache>
                <c:ptCount val="1"/>
                <c:pt idx="0">
                  <c:v>THA</c:v>
                </c:pt>
              </c:strCache>
            </c:strRef>
          </c:tx>
          <c:spPr>
            <a:ln w="28575" cap="rnd">
              <a:solidFill>
                <a:schemeClr val="bg2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bg2">
                    <a:lumMod val="50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Hospitaltype_u65!$G$16:$G$26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Hospitaltype_u65!$I$16:$I$26</c:f>
              <c:numCache>
                <c:formatCode>0%</c:formatCode>
                <c:ptCount val="11"/>
                <c:pt idx="0">
                  <c:v>0.10204081632653061</c:v>
                </c:pt>
                <c:pt idx="1">
                  <c:v>0.16666666666666666</c:v>
                </c:pt>
                <c:pt idx="2">
                  <c:v>0.20689655172413793</c:v>
                </c:pt>
                <c:pt idx="3">
                  <c:v>0.125</c:v>
                </c:pt>
                <c:pt idx="4">
                  <c:v>0.25</c:v>
                </c:pt>
                <c:pt idx="5">
                  <c:v>0.1875</c:v>
                </c:pt>
                <c:pt idx="6">
                  <c:v>0.125</c:v>
                </c:pt>
                <c:pt idx="7">
                  <c:v>0.1111111111111111</c:v>
                </c:pt>
                <c:pt idx="8">
                  <c:v>0.33333333333333331</c:v>
                </c:pt>
                <c:pt idx="9">
                  <c:v>0</c:v>
                </c:pt>
                <c:pt idx="10">
                  <c:v>9.0909090909090912E-2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552-4432-BB5D-E2EB5417F7FE}"/>
            </c:ext>
          </c:extLst>
        </c:ser>
        <c:ser>
          <c:idx val="2"/>
          <c:order val="2"/>
          <c:tx>
            <c:strRef>
              <c:f>Hospitaltype_u65!$J$15</c:f>
              <c:strCache>
                <c:ptCount val="1"/>
                <c:pt idx="0">
                  <c:v>CHP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Hospitaltype_u65!$G$16:$G$26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Hospitaltype_u65!$J$16:$J$26</c:f>
              <c:numCache>
                <c:formatCode>0%</c:formatCode>
                <c:ptCount val="11"/>
                <c:pt idx="0">
                  <c:v>4.0816326530612242E-2</c:v>
                </c:pt>
                <c:pt idx="1">
                  <c:v>3.3333333333333333E-2</c:v>
                </c:pt>
                <c:pt idx="2">
                  <c:v>0</c:v>
                </c:pt>
                <c:pt idx="3">
                  <c:v>6.25E-2</c:v>
                </c:pt>
                <c:pt idx="4">
                  <c:v>0.125</c:v>
                </c:pt>
                <c:pt idx="5">
                  <c:v>6.25E-2</c:v>
                </c:pt>
                <c:pt idx="6">
                  <c:v>0</c:v>
                </c:pt>
                <c:pt idx="7">
                  <c:v>0.1111111111111111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552-4432-BB5D-E2EB5417F7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28457424"/>
        <c:axId val="2028457840"/>
      </c:lineChart>
      <c:catAx>
        <c:axId val="20284574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 rtl="0">
                  <a:def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rPr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28457840"/>
        <c:crosses val="autoZero"/>
        <c:auto val="1"/>
        <c:lblAlgn val="ctr"/>
        <c:lblOffset val="100"/>
        <c:noMultiLvlLbl val="0"/>
      </c:catAx>
      <c:valAx>
        <c:axId val="2028457840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rPr>
                  <a:t>Percent of Total Admissions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28457424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Acetabular treatment trends in urban </a:t>
            </a:r>
            <a:r>
              <a:rPr lang="en-US"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teaching</a:t>
            </a:r>
            <a:r>
              <a:rPr lang="en-US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hospitals (ages 45-64)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Hospitaltype_u65!$N$15</c:f>
              <c:strCache>
                <c:ptCount val="1"/>
                <c:pt idx="0">
                  <c:v>ORIF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Hospitaltype_u65!$M$16:$M$26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Hospitaltype_u65!$N$16:$N$26</c:f>
              <c:numCache>
                <c:formatCode>0%</c:formatCode>
                <c:ptCount val="11"/>
                <c:pt idx="0">
                  <c:v>0.9717314487632509</c:v>
                </c:pt>
                <c:pt idx="1">
                  <c:v>0.97905759162303663</c:v>
                </c:pt>
                <c:pt idx="2">
                  <c:v>0.94009216589861755</c:v>
                </c:pt>
                <c:pt idx="3">
                  <c:v>0.92270531400966183</c:v>
                </c:pt>
                <c:pt idx="4">
                  <c:v>0.90134529147982068</c:v>
                </c:pt>
                <c:pt idx="5">
                  <c:v>0.95238095238095233</c:v>
                </c:pt>
                <c:pt idx="6">
                  <c:v>0.90041493775933612</c:v>
                </c:pt>
                <c:pt idx="7">
                  <c:v>0.89516129032258063</c:v>
                </c:pt>
                <c:pt idx="8">
                  <c:v>0.87351778656126478</c:v>
                </c:pt>
                <c:pt idx="9">
                  <c:v>0.86885245901639341</c:v>
                </c:pt>
                <c:pt idx="10">
                  <c:v>0.87903225806451613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CC6-477C-9159-BA795C222044}"/>
            </c:ext>
          </c:extLst>
        </c:ser>
        <c:ser>
          <c:idx val="1"/>
          <c:order val="1"/>
          <c:tx>
            <c:strRef>
              <c:f>Hospitaltype_u65!$O$15</c:f>
              <c:strCache>
                <c:ptCount val="1"/>
                <c:pt idx="0">
                  <c:v>THA</c:v>
                </c:pt>
              </c:strCache>
            </c:strRef>
          </c:tx>
          <c:spPr>
            <a:ln w="28575" cap="rnd">
              <a:solidFill>
                <a:schemeClr val="bg2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bg2">
                    <a:lumMod val="50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Hospitaltype_u65!$M$16:$M$26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Hospitaltype_u65!$O$16:$O$26</c:f>
              <c:numCache>
                <c:formatCode>0%</c:formatCode>
                <c:ptCount val="11"/>
                <c:pt idx="0">
                  <c:v>1.4134275618374558E-2</c:v>
                </c:pt>
                <c:pt idx="1">
                  <c:v>1.0471204188481676E-2</c:v>
                </c:pt>
                <c:pt idx="2">
                  <c:v>3.6866359447004608E-2</c:v>
                </c:pt>
                <c:pt idx="3">
                  <c:v>5.7971014492753624E-2</c:v>
                </c:pt>
                <c:pt idx="4">
                  <c:v>7.1748878923766815E-2</c:v>
                </c:pt>
                <c:pt idx="5">
                  <c:v>2.3809523809523808E-2</c:v>
                </c:pt>
                <c:pt idx="6">
                  <c:v>6.2240663900414939E-2</c:v>
                </c:pt>
                <c:pt idx="7">
                  <c:v>6.4516129032258063E-2</c:v>
                </c:pt>
                <c:pt idx="8">
                  <c:v>8.3003952569169967E-2</c:v>
                </c:pt>
                <c:pt idx="9">
                  <c:v>9.8360655737704916E-2</c:v>
                </c:pt>
                <c:pt idx="10">
                  <c:v>7.2580645161290328E-2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CC6-477C-9159-BA795C222044}"/>
            </c:ext>
          </c:extLst>
        </c:ser>
        <c:ser>
          <c:idx val="2"/>
          <c:order val="2"/>
          <c:tx>
            <c:strRef>
              <c:f>Hospitaltype_u65!$P$15</c:f>
              <c:strCache>
                <c:ptCount val="1"/>
                <c:pt idx="0">
                  <c:v>CHP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Hospitaltype_u65!$M$16:$M$26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Hospitaltype_u65!$P$16:$P$26</c:f>
              <c:numCache>
                <c:formatCode>0%</c:formatCode>
                <c:ptCount val="11"/>
                <c:pt idx="0">
                  <c:v>1.4134275618374558E-2</c:v>
                </c:pt>
                <c:pt idx="1">
                  <c:v>1.0471204188481676E-2</c:v>
                </c:pt>
                <c:pt idx="2">
                  <c:v>2.3041474654377881E-2</c:v>
                </c:pt>
                <c:pt idx="3">
                  <c:v>1.932367149758454E-2</c:v>
                </c:pt>
                <c:pt idx="4">
                  <c:v>2.6905829596412557E-2</c:v>
                </c:pt>
                <c:pt idx="5">
                  <c:v>2.3809523809523808E-2</c:v>
                </c:pt>
                <c:pt idx="6">
                  <c:v>3.7344398340248962E-2</c:v>
                </c:pt>
                <c:pt idx="7">
                  <c:v>4.0322580645161289E-2</c:v>
                </c:pt>
                <c:pt idx="8">
                  <c:v>4.3478260869565216E-2</c:v>
                </c:pt>
                <c:pt idx="9">
                  <c:v>3.2786885245901641E-2</c:v>
                </c:pt>
                <c:pt idx="10">
                  <c:v>4.8387096774193547E-2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7CC6-477C-9159-BA795C2220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28457424"/>
        <c:axId val="2028457840"/>
      </c:lineChart>
      <c:catAx>
        <c:axId val="20284574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 rtl="0">
                  <a:def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rPr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28457840"/>
        <c:crosses val="autoZero"/>
        <c:auto val="1"/>
        <c:lblAlgn val="ctr"/>
        <c:lblOffset val="100"/>
        <c:noMultiLvlLbl val="0"/>
      </c:catAx>
      <c:valAx>
        <c:axId val="2028457840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rPr>
                  <a:t>Percent of Total Admissions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28457424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Wier</dc:creator>
  <cp:keywords/>
  <dc:description/>
  <cp:lastModifiedBy>Julian Wier</cp:lastModifiedBy>
  <cp:revision>5</cp:revision>
  <dcterms:created xsi:type="dcterms:W3CDTF">2023-03-06T01:55:00Z</dcterms:created>
  <dcterms:modified xsi:type="dcterms:W3CDTF">2023-04-06T03:52:00Z</dcterms:modified>
</cp:coreProperties>
</file>