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275BF" w14:textId="03F786FE" w:rsidR="00DB42C0" w:rsidRPr="003A0A83" w:rsidRDefault="005759EA">
      <w:pPr>
        <w:rPr>
          <w:rFonts w:ascii="Times New Roman" w:hAnsi="Times New Roman" w:cs="Times New Roman"/>
        </w:rPr>
      </w:pPr>
      <w:r w:rsidRPr="00103435">
        <w:rPr>
          <w:rFonts w:ascii="Times New Roman" w:hAnsi="Times New Roman" w:cs="Times New Roman"/>
          <w:b/>
          <w:bCs/>
        </w:rPr>
        <w:t xml:space="preserve">Supplemental Table </w:t>
      </w:r>
      <w:r w:rsidR="006F3522">
        <w:rPr>
          <w:rFonts w:ascii="Times New Roman" w:hAnsi="Times New Roman" w:cs="Times New Roman"/>
          <w:b/>
          <w:bCs/>
        </w:rPr>
        <w:t>2</w:t>
      </w:r>
      <w:r w:rsidR="0010343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3A0A83">
        <w:rPr>
          <w:rFonts w:ascii="Times New Roman" w:hAnsi="Times New Roman" w:cs="Times New Roman"/>
        </w:rPr>
        <w:t xml:space="preserve">Heterogeneity was assessed using </w:t>
      </w:r>
      <w:r w:rsidR="003A0A83" w:rsidRPr="003A0A83">
        <w:rPr>
          <w:rFonts w:ascii="Times New Roman" w:hAnsi="Times New Roman" w:cs="Times New Roman"/>
        </w:rPr>
        <w:t>Higgin’s I</w:t>
      </w:r>
      <w:r w:rsidR="003A0A83" w:rsidRPr="003A0A83">
        <w:rPr>
          <w:rFonts w:ascii="Times New Roman" w:hAnsi="Times New Roman" w:cs="Times New Roman"/>
          <w:vertAlign w:val="superscript"/>
        </w:rPr>
        <w:t>2</w:t>
      </w:r>
      <w:r w:rsidR="003A0A83">
        <w:rPr>
          <w:rFonts w:ascii="Times New Roman" w:hAnsi="Times New Roman" w:cs="Times New Roman"/>
        </w:rPr>
        <w:t>,</w:t>
      </w:r>
      <w:r w:rsidR="003A0A83" w:rsidRPr="003A0A83">
        <w:rPr>
          <w:rFonts w:ascii="Times New Roman" w:hAnsi="Times New Roman" w:cs="Times New Roman"/>
        </w:rPr>
        <w:t xml:space="preserve"> τ</w:t>
      </w:r>
      <w:r w:rsidR="003A0A83" w:rsidRPr="003A0A83">
        <w:rPr>
          <w:rFonts w:ascii="Times New Roman" w:hAnsi="Times New Roman" w:cs="Times New Roman"/>
          <w:vertAlign w:val="superscript"/>
        </w:rPr>
        <w:t>2</w:t>
      </w:r>
      <w:r w:rsidR="003A0A83">
        <w:rPr>
          <w:rFonts w:ascii="Times New Roman" w:hAnsi="Times New Roman" w:cs="Times New Roman"/>
        </w:rPr>
        <w:t>, Cochran’s Q Test. Publication bias assessment from small study effects was evaluated using Egger’s Test.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0"/>
        <w:gridCol w:w="1745"/>
        <w:gridCol w:w="1745"/>
        <w:gridCol w:w="1745"/>
        <w:gridCol w:w="1745"/>
        <w:gridCol w:w="1745"/>
        <w:gridCol w:w="1745"/>
      </w:tblGrid>
      <w:tr w:rsidR="00622E1A" w:rsidRPr="005759EA" w14:paraId="6DB31A8F" w14:textId="77777777" w:rsidTr="0091180C">
        <w:trPr>
          <w:trHeight w:val="320"/>
        </w:trPr>
        <w:tc>
          <w:tcPr>
            <w:tcW w:w="2480" w:type="dxa"/>
            <w:noWrap/>
            <w:hideMark/>
          </w:tcPr>
          <w:p w14:paraId="1613AA81" w14:textId="77777777" w:rsidR="00622E1A" w:rsidRPr="005759EA" w:rsidRDefault="00622E1A">
            <w:pPr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80" w:type="dxa"/>
            <w:gridSpan w:val="4"/>
            <w:noWrap/>
            <w:vAlign w:val="center"/>
            <w:hideMark/>
          </w:tcPr>
          <w:p w14:paraId="2EE2B112" w14:textId="0D1D477E" w:rsidR="00622E1A" w:rsidRPr="005759EA" w:rsidRDefault="00622E1A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Heterogeneity</w:t>
            </w:r>
          </w:p>
        </w:tc>
        <w:tc>
          <w:tcPr>
            <w:tcW w:w="3490" w:type="dxa"/>
            <w:gridSpan w:val="2"/>
            <w:noWrap/>
            <w:vAlign w:val="center"/>
            <w:hideMark/>
          </w:tcPr>
          <w:p w14:paraId="789B0245" w14:textId="313CB7AD" w:rsidR="00622E1A" w:rsidRPr="005759EA" w:rsidRDefault="00622E1A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Publication Bias / Small-study Effects</w:t>
            </w:r>
          </w:p>
        </w:tc>
      </w:tr>
      <w:tr w:rsidR="00DB42C0" w:rsidRPr="005759EA" w14:paraId="715B94D3" w14:textId="77777777" w:rsidTr="00622E1A">
        <w:trPr>
          <w:trHeight w:val="320"/>
        </w:trPr>
        <w:tc>
          <w:tcPr>
            <w:tcW w:w="2480" w:type="dxa"/>
            <w:noWrap/>
            <w:hideMark/>
          </w:tcPr>
          <w:p w14:paraId="0B0EC5C8" w14:textId="77777777" w:rsidR="00DB42C0" w:rsidRPr="005759EA" w:rsidRDefault="00DB42C0">
            <w:pPr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45" w:type="dxa"/>
            <w:noWrap/>
            <w:vAlign w:val="center"/>
            <w:hideMark/>
          </w:tcPr>
          <w:p w14:paraId="50C63770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I^2</w:t>
            </w:r>
          </w:p>
        </w:tc>
        <w:tc>
          <w:tcPr>
            <w:tcW w:w="1745" w:type="dxa"/>
            <w:noWrap/>
            <w:vAlign w:val="center"/>
            <w:hideMark/>
          </w:tcPr>
          <w:p w14:paraId="5F499CDA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tau^2</w:t>
            </w:r>
          </w:p>
        </w:tc>
        <w:tc>
          <w:tcPr>
            <w:tcW w:w="1745" w:type="dxa"/>
            <w:noWrap/>
            <w:vAlign w:val="center"/>
            <w:hideMark/>
          </w:tcPr>
          <w:p w14:paraId="261336E1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Cochran's Q Statistic</w:t>
            </w:r>
          </w:p>
        </w:tc>
        <w:tc>
          <w:tcPr>
            <w:tcW w:w="1745" w:type="dxa"/>
            <w:noWrap/>
            <w:vAlign w:val="center"/>
            <w:hideMark/>
          </w:tcPr>
          <w:p w14:paraId="4A2D2DDB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Cochran's Q P-value</w:t>
            </w:r>
          </w:p>
        </w:tc>
        <w:tc>
          <w:tcPr>
            <w:tcW w:w="1745" w:type="dxa"/>
            <w:noWrap/>
            <w:vAlign w:val="center"/>
            <w:hideMark/>
          </w:tcPr>
          <w:p w14:paraId="4244F56A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Egger's Test Z-statistic</w:t>
            </w:r>
          </w:p>
        </w:tc>
        <w:tc>
          <w:tcPr>
            <w:tcW w:w="1745" w:type="dxa"/>
            <w:noWrap/>
            <w:vAlign w:val="center"/>
            <w:hideMark/>
          </w:tcPr>
          <w:p w14:paraId="6A87A897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Egger's Test P-value</w:t>
            </w:r>
          </w:p>
        </w:tc>
      </w:tr>
      <w:tr w:rsidR="00DB42C0" w:rsidRPr="005759EA" w14:paraId="74944150" w14:textId="77777777" w:rsidTr="00622E1A">
        <w:trPr>
          <w:trHeight w:val="320"/>
        </w:trPr>
        <w:tc>
          <w:tcPr>
            <w:tcW w:w="2480" w:type="dxa"/>
            <w:noWrap/>
            <w:hideMark/>
          </w:tcPr>
          <w:p w14:paraId="6169590A" w14:textId="77777777" w:rsidR="00DB42C0" w:rsidRPr="005759EA" w:rsidRDefault="00DB42C0">
            <w:pPr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Revision Rate</w:t>
            </w:r>
          </w:p>
        </w:tc>
        <w:tc>
          <w:tcPr>
            <w:tcW w:w="1745" w:type="dxa"/>
            <w:noWrap/>
            <w:vAlign w:val="center"/>
            <w:hideMark/>
          </w:tcPr>
          <w:p w14:paraId="2189AE2D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0.0%</w:t>
            </w:r>
          </w:p>
        </w:tc>
        <w:tc>
          <w:tcPr>
            <w:tcW w:w="1745" w:type="dxa"/>
            <w:noWrap/>
            <w:vAlign w:val="center"/>
            <w:hideMark/>
          </w:tcPr>
          <w:p w14:paraId="39EBAA26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745" w:type="dxa"/>
            <w:noWrap/>
            <w:vAlign w:val="center"/>
            <w:hideMark/>
          </w:tcPr>
          <w:p w14:paraId="20EB3751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17.847</w:t>
            </w:r>
          </w:p>
        </w:tc>
        <w:tc>
          <w:tcPr>
            <w:tcW w:w="1745" w:type="dxa"/>
            <w:noWrap/>
            <w:vAlign w:val="center"/>
            <w:hideMark/>
          </w:tcPr>
          <w:p w14:paraId="7AB5EB26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0.333</w:t>
            </w:r>
          </w:p>
        </w:tc>
        <w:tc>
          <w:tcPr>
            <w:tcW w:w="1745" w:type="dxa"/>
            <w:noWrap/>
            <w:vAlign w:val="center"/>
            <w:hideMark/>
          </w:tcPr>
          <w:p w14:paraId="300B1102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-1.326</w:t>
            </w:r>
          </w:p>
        </w:tc>
        <w:tc>
          <w:tcPr>
            <w:tcW w:w="1745" w:type="dxa"/>
            <w:noWrap/>
            <w:vAlign w:val="center"/>
            <w:hideMark/>
          </w:tcPr>
          <w:p w14:paraId="33984B79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0.185</w:t>
            </w:r>
          </w:p>
        </w:tc>
      </w:tr>
      <w:tr w:rsidR="00DB42C0" w:rsidRPr="005759EA" w14:paraId="6F224407" w14:textId="77777777" w:rsidTr="00622E1A">
        <w:trPr>
          <w:trHeight w:val="320"/>
        </w:trPr>
        <w:tc>
          <w:tcPr>
            <w:tcW w:w="2480" w:type="dxa"/>
            <w:noWrap/>
            <w:hideMark/>
          </w:tcPr>
          <w:p w14:paraId="769A8A87" w14:textId="77777777" w:rsidR="00DB42C0" w:rsidRPr="005759EA" w:rsidRDefault="00DB42C0">
            <w:pPr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Infection Rate</w:t>
            </w:r>
          </w:p>
        </w:tc>
        <w:tc>
          <w:tcPr>
            <w:tcW w:w="1745" w:type="dxa"/>
            <w:noWrap/>
            <w:vAlign w:val="center"/>
            <w:hideMark/>
          </w:tcPr>
          <w:p w14:paraId="21C14F9C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23.2%</w:t>
            </w:r>
          </w:p>
        </w:tc>
        <w:tc>
          <w:tcPr>
            <w:tcW w:w="1745" w:type="dxa"/>
            <w:noWrap/>
            <w:vAlign w:val="center"/>
            <w:hideMark/>
          </w:tcPr>
          <w:p w14:paraId="1017E32D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0.194</w:t>
            </w:r>
          </w:p>
        </w:tc>
        <w:tc>
          <w:tcPr>
            <w:tcW w:w="1745" w:type="dxa"/>
            <w:noWrap/>
            <w:vAlign w:val="center"/>
            <w:hideMark/>
          </w:tcPr>
          <w:p w14:paraId="7F72DE1B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17.300</w:t>
            </w:r>
          </w:p>
        </w:tc>
        <w:tc>
          <w:tcPr>
            <w:tcW w:w="1745" w:type="dxa"/>
            <w:noWrap/>
            <w:vAlign w:val="center"/>
            <w:hideMark/>
          </w:tcPr>
          <w:p w14:paraId="74BFAAD1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0.367</w:t>
            </w:r>
          </w:p>
        </w:tc>
        <w:tc>
          <w:tcPr>
            <w:tcW w:w="1745" w:type="dxa"/>
            <w:noWrap/>
            <w:vAlign w:val="center"/>
            <w:hideMark/>
          </w:tcPr>
          <w:p w14:paraId="7808FB40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-0.259</w:t>
            </w:r>
          </w:p>
        </w:tc>
        <w:tc>
          <w:tcPr>
            <w:tcW w:w="1745" w:type="dxa"/>
            <w:noWrap/>
            <w:vAlign w:val="center"/>
            <w:hideMark/>
          </w:tcPr>
          <w:p w14:paraId="0B9BB2AD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0.795</w:t>
            </w:r>
          </w:p>
        </w:tc>
      </w:tr>
      <w:tr w:rsidR="00DB42C0" w:rsidRPr="005759EA" w14:paraId="26B1239C" w14:textId="77777777" w:rsidTr="00622E1A">
        <w:trPr>
          <w:trHeight w:val="320"/>
        </w:trPr>
        <w:tc>
          <w:tcPr>
            <w:tcW w:w="2480" w:type="dxa"/>
            <w:noWrap/>
            <w:hideMark/>
          </w:tcPr>
          <w:p w14:paraId="1098AEB1" w14:textId="77777777" w:rsidR="00DB42C0" w:rsidRPr="005759EA" w:rsidRDefault="00DB42C0">
            <w:pPr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Dislocation Rate</w:t>
            </w:r>
          </w:p>
        </w:tc>
        <w:tc>
          <w:tcPr>
            <w:tcW w:w="1745" w:type="dxa"/>
            <w:noWrap/>
            <w:vAlign w:val="center"/>
            <w:hideMark/>
          </w:tcPr>
          <w:p w14:paraId="4C72703A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27.9%</w:t>
            </w:r>
          </w:p>
        </w:tc>
        <w:tc>
          <w:tcPr>
            <w:tcW w:w="1745" w:type="dxa"/>
            <w:noWrap/>
            <w:vAlign w:val="center"/>
            <w:hideMark/>
          </w:tcPr>
          <w:p w14:paraId="5D483630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0.171</w:t>
            </w:r>
          </w:p>
        </w:tc>
        <w:tc>
          <w:tcPr>
            <w:tcW w:w="1745" w:type="dxa"/>
            <w:noWrap/>
            <w:vAlign w:val="center"/>
            <w:hideMark/>
          </w:tcPr>
          <w:p w14:paraId="3653B677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19.851</w:t>
            </w:r>
          </w:p>
        </w:tc>
        <w:tc>
          <w:tcPr>
            <w:tcW w:w="1745" w:type="dxa"/>
            <w:noWrap/>
            <w:vAlign w:val="center"/>
            <w:hideMark/>
          </w:tcPr>
          <w:p w14:paraId="448BC3B4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0.227</w:t>
            </w:r>
          </w:p>
        </w:tc>
        <w:tc>
          <w:tcPr>
            <w:tcW w:w="1745" w:type="dxa"/>
            <w:noWrap/>
            <w:vAlign w:val="center"/>
            <w:hideMark/>
          </w:tcPr>
          <w:p w14:paraId="40DFAD60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1.172</w:t>
            </w:r>
          </w:p>
        </w:tc>
        <w:tc>
          <w:tcPr>
            <w:tcW w:w="1745" w:type="dxa"/>
            <w:noWrap/>
            <w:vAlign w:val="center"/>
            <w:hideMark/>
          </w:tcPr>
          <w:p w14:paraId="600B25AC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0.241</w:t>
            </w:r>
          </w:p>
        </w:tc>
      </w:tr>
      <w:tr w:rsidR="00DB42C0" w:rsidRPr="005759EA" w14:paraId="3DD106AA" w14:textId="77777777" w:rsidTr="00622E1A">
        <w:trPr>
          <w:trHeight w:val="320"/>
        </w:trPr>
        <w:tc>
          <w:tcPr>
            <w:tcW w:w="2480" w:type="dxa"/>
            <w:noWrap/>
            <w:hideMark/>
          </w:tcPr>
          <w:p w14:paraId="74AFCF44" w14:textId="3902E2CB" w:rsidR="00DB42C0" w:rsidRPr="005759EA" w:rsidRDefault="00DB42C0">
            <w:pPr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Periprosthetic Fracture Rate</w:t>
            </w:r>
          </w:p>
        </w:tc>
        <w:tc>
          <w:tcPr>
            <w:tcW w:w="1745" w:type="dxa"/>
            <w:noWrap/>
            <w:vAlign w:val="center"/>
            <w:hideMark/>
          </w:tcPr>
          <w:p w14:paraId="17AF5B5E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6.4%</w:t>
            </w:r>
          </w:p>
        </w:tc>
        <w:tc>
          <w:tcPr>
            <w:tcW w:w="1745" w:type="dxa"/>
            <w:noWrap/>
            <w:vAlign w:val="center"/>
            <w:hideMark/>
          </w:tcPr>
          <w:p w14:paraId="3D50DBC6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1745" w:type="dxa"/>
            <w:noWrap/>
            <w:vAlign w:val="center"/>
            <w:hideMark/>
          </w:tcPr>
          <w:p w14:paraId="620BFE5D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16.611</w:t>
            </w:r>
          </w:p>
        </w:tc>
        <w:tc>
          <w:tcPr>
            <w:tcW w:w="1745" w:type="dxa"/>
            <w:noWrap/>
            <w:vAlign w:val="center"/>
            <w:hideMark/>
          </w:tcPr>
          <w:p w14:paraId="012A21E9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0.411</w:t>
            </w:r>
          </w:p>
        </w:tc>
        <w:tc>
          <w:tcPr>
            <w:tcW w:w="1745" w:type="dxa"/>
            <w:noWrap/>
            <w:vAlign w:val="center"/>
            <w:hideMark/>
          </w:tcPr>
          <w:p w14:paraId="48639F3E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-1.738</w:t>
            </w:r>
          </w:p>
        </w:tc>
        <w:tc>
          <w:tcPr>
            <w:tcW w:w="1745" w:type="dxa"/>
            <w:noWrap/>
            <w:vAlign w:val="center"/>
            <w:hideMark/>
          </w:tcPr>
          <w:p w14:paraId="30E0DED3" w14:textId="77777777" w:rsidR="00DB42C0" w:rsidRPr="005759EA" w:rsidRDefault="00DB42C0" w:rsidP="00DB42C0">
            <w:pPr>
              <w:jc w:val="center"/>
              <w:rPr>
                <w:rFonts w:ascii="Times New Roman" w:hAnsi="Times New Roman" w:cs="Times New Roman"/>
              </w:rPr>
            </w:pPr>
            <w:r w:rsidRPr="005759EA">
              <w:rPr>
                <w:rFonts w:ascii="Times New Roman" w:hAnsi="Times New Roman" w:cs="Times New Roman"/>
              </w:rPr>
              <w:t>0.082</w:t>
            </w:r>
          </w:p>
        </w:tc>
      </w:tr>
    </w:tbl>
    <w:p w14:paraId="13594A96" w14:textId="77777777" w:rsidR="006F3AE1" w:rsidRPr="005759EA" w:rsidRDefault="006F3AE1">
      <w:pPr>
        <w:rPr>
          <w:rFonts w:ascii="Times New Roman" w:hAnsi="Times New Roman" w:cs="Times New Roman"/>
        </w:rPr>
      </w:pPr>
    </w:p>
    <w:sectPr w:rsidR="006F3AE1" w:rsidRPr="005759EA" w:rsidSect="00DB42C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41"/>
    <w:rsid w:val="000107BA"/>
    <w:rsid w:val="00103435"/>
    <w:rsid w:val="001F19AC"/>
    <w:rsid w:val="00224D67"/>
    <w:rsid w:val="00272123"/>
    <w:rsid w:val="00342B41"/>
    <w:rsid w:val="003A0A83"/>
    <w:rsid w:val="005759EA"/>
    <w:rsid w:val="00622E1A"/>
    <w:rsid w:val="006C6B38"/>
    <w:rsid w:val="006F3522"/>
    <w:rsid w:val="006F3AE1"/>
    <w:rsid w:val="009133A1"/>
    <w:rsid w:val="00C70E95"/>
    <w:rsid w:val="00DB42C0"/>
    <w:rsid w:val="00E66F83"/>
    <w:rsid w:val="00E95395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45F3EC"/>
  <w15:chartTrackingRefBased/>
  <w15:docId w15:val="{48B53383-042B-6B4C-9059-992AC387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B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B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B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B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B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B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B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B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B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B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B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B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B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B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B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B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B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B4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4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59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59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59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9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9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J. Wong</dc:creator>
  <cp:keywords/>
  <dc:description/>
  <cp:lastModifiedBy>Khela, Harmon</cp:lastModifiedBy>
  <cp:revision>2</cp:revision>
  <dcterms:created xsi:type="dcterms:W3CDTF">2026-01-10T23:12:00Z</dcterms:created>
  <dcterms:modified xsi:type="dcterms:W3CDTF">2026-01-10T23:12:00Z</dcterms:modified>
</cp:coreProperties>
</file>