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2365"/>
        <w:gridCol w:w="7183"/>
      </w:tblGrid>
      <w:tr w:rsidR="00CA36C7" w:rsidRPr="0090702E" w14:paraId="41623668" w14:textId="77777777" w:rsidTr="00355C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tcBorders>
              <w:top w:val="nil"/>
              <w:bottom w:val="single" w:sz="4" w:space="0" w:color="auto"/>
            </w:tcBorders>
            <w:hideMark/>
          </w:tcPr>
          <w:p w14:paraId="5D64167C" w14:textId="77777777" w:rsidR="00CA36C7" w:rsidRPr="0090702E" w:rsidRDefault="00CA36C7" w:rsidP="00355C62">
            <w:pPr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eastAsia="it-IT"/>
                <w14:ligatures w14:val="none"/>
              </w:rPr>
              <w:t>Aspect</w:t>
            </w:r>
          </w:p>
        </w:tc>
        <w:tc>
          <w:tcPr>
            <w:tcW w:w="7183" w:type="dxa"/>
            <w:tcBorders>
              <w:top w:val="nil"/>
              <w:bottom w:val="single" w:sz="4" w:space="0" w:color="auto"/>
            </w:tcBorders>
            <w:hideMark/>
          </w:tcPr>
          <w:p w14:paraId="63BF6A69" w14:textId="77777777" w:rsidR="00CA36C7" w:rsidRPr="0090702E" w:rsidRDefault="00CA36C7" w:rsidP="00355C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eastAsia="it-IT"/>
                <w14:ligatures w14:val="none"/>
              </w:rPr>
              <w:t>Findings</w:t>
            </w:r>
          </w:p>
        </w:tc>
      </w:tr>
      <w:tr w:rsidR="00CA36C7" w:rsidRPr="002A72E7" w14:paraId="0F8FC5EC" w14:textId="77777777" w:rsidTr="00355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hideMark/>
          </w:tcPr>
          <w:p w14:paraId="6FCDFBB6" w14:textId="77777777" w:rsidR="00CA36C7" w:rsidRPr="0090702E" w:rsidRDefault="00CA36C7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eastAsia="it-IT"/>
                <w14:ligatures w14:val="none"/>
              </w:rPr>
              <w:t>Corticosteroids</w:t>
            </w:r>
          </w:p>
        </w:tc>
        <w:tc>
          <w:tcPr>
            <w:tcW w:w="7183" w:type="dxa"/>
            <w:hideMark/>
          </w:tcPr>
          <w:p w14:paraId="4C3E5D58" w14:textId="77777777" w:rsidR="00CA36C7" w:rsidRPr="0090702E" w:rsidRDefault="00CA36C7" w:rsidP="00355C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Mostly used intra-articularly in PsA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, therefore</w:t>
            </w: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general </w:t>
            </w: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minimal systemic impact on glucose metabolism [19].</w:t>
            </w:r>
          </w:p>
        </w:tc>
      </w:tr>
      <w:tr w:rsidR="00CA36C7" w:rsidRPr="002A72E7" w14:paraId="3E052EC5" w14:textId="77777777" w:rsidTr="00355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hideMark/>
          </w:tcPr>
          <w:p w14:paraId="19A8B71E" w14:textId="77777777" w:rsidR="00CA36C7" w:rsidRPr="0090702E" w:rsidRDefault="00CA36C7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eastAsia="it-IT"/>
                <w14:ligatures w14:val="none"/>
              </w:rPr>
              <w:t>NSAIDs</w:t>
            </w:r>
          </w:p>
        </w:tc>
        <w:tc>
          <w:tcPr>
            <w:tcW w:w="7183" w:type="dxa"/>
            <w:hideMark/>
          </w:tcPr>
          <w:p w14:paraId="7885BF34" w14:textId="77777777" w:rsidR="00CA36C7" w:rsidRPr="0090702E" w:rsidRDefault="00CA36C7" w:rsidP="00355C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Generally safe in PsA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 although </w:t>
            </w: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rare 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cases of </w:t>
            </w: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hypoglycemia reported [20]; 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l</w:t>
            </w: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ong-term use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 might reduce </w:t>
            </w: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T2DM risk [21].</w:t>
            </w:r>
          </w:p>
        </w:tc>
      </w:tr>
      <w:tr w:rsidR="00CA36C7" w:rsidRPr="002A72E7" w14:paraId="53C0B3E5" w14:textId="77777777" w:rsidTr="00355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hideMark/>
          </w:tcPr>
          <w:p w14:paraId="67DFFF39" w14:textId="77777777" w:rsidR="00CA36C7" w:rsidRPr="0090702E" w:rsidRDefault="00CA36C7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Methotrexate </w:t>
            </w:r>
          </w:p>
        </w:tc>
        <w:tc>
          <w:tcPr>
            <w:tcW w:w="7183" w:type="dxa"/>
            <w:hideMark/>
          </w:tcPr>
          <w:p w14:paraId="174F2EBD" w14:textId="77777777" w:rsidR="00CA36C7" w:rsidRPr="0090702E" w:rsidRDefault="00CA36C7" w:rsidP="00355C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No significant changes in FPG or HbA1c [22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], l</w:t>
            </w: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ong-term use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 might reduce </w:t>
            </w: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T2DM risk [23].</w:t>
            </w:r>
          </w:p>
        </w:tc>
      </w:tr>
      <w:tr w:rsidR="00CA36C7" w:rsidRPr="002A72E7" w14:paraId="55FAC9FA" w14:textId="77777777" w:rsidTr="00355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hideMark/>
          </w:tcPr>
          <w:p w14:paraId="22C22A9D" w14:textId="77777777" w:rsidR="00CA36C7" w:rsidRPr="0090702E" w:rsidRDefault="00CA36C7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eastAsia="it-IT"/>
                <w14:ligatures w14:val="none"/>
              </w:rPr>
              <w:t>Other csDMARDs</w:t>
            </w:r>
          </w:p>
        </w:tc>
        <w:tc>
          <w:tcPr>
            <w:tcW w:w="7183" w:type="dxa"/>
            <w:hideMark/>
          </w:tcPr>
          <w:p w14:paraId="0DE99B62" w14:textId="77777777" w:rsidR="00CA36C7" w:rsidRPr="0090702E" w:rsidRDefault="00CA36C7" w:rsidP="00355C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Leflunomide, sulfasalazine: no major effect on glucose metabolism [24].</w:t>
            </w:r>
          </w:p>
        </w:tc>
      </w:tr>
      <w:tr w:rsidR="00CA36C7" w:rsidRPr="002A72E7" w14:paraId="31C646AD" w14:textId="77777777" w:rsidTr="00355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hideMark/>
          </w:tcPr>
          <w:p w14:paraId="112371B0" w14:textId="77777777" w:rsidR="00CA36C7" w:rsidRPr="0090702E" w:rsidRDefault="00CA36C7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Anti-TNF-α </w:t>
            </w:r>
          </w:p>
        </w:tc>
        <w:tc>
          <w:tcPr>
            <w:tcW w:w="7183" w:type="dxa"/>
            <w:hideMark/>
          </w:tcPr>
          <w:p w14:paraId="17CD15B4" w14:textId="77777777" w:rsidR="00CA36C7" w:rsidRPr="0090702E" w:rsidRDefault="00CA36C7" w:rsidP="00355C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Generally neutral on FPG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, e</w:t>
            </w: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tanercept may reduce FPG in MetS [25];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 l</w:t>
            </w: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ong-term use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 might reduce </w:t>
            </w: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T2DM risk [26].</w:t>
            </w:r>
          </w:p>
        </w:tc>
      </w:tr>
      <w:tr w:rsidR="00CA36C7" w:rsidRPr="002A72E7" w14:paraId="153E1D79" w14:textId="77777777" w:rsidTr="00355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hideMark/>
          </w:tcPr>
          <w:p w14:paraId="1E921BBD" w14:textId="77777777" w:rsidR="00CA36C7" w:rsidRPr="0090702E" w:rsidRDefault="00CA36C7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eastAsia="it-IT"/>
                <w14:ligatures w14:val="none"/>
              </w:rPr>
              <w:t>Anti-IL-17 / IL-23</w:t>
            </w:r>
          </w:p>
        </w:tc>
        <w:tc>
          <w:tcPr>
            <w:tcW w:w="7183" w:type="dxa"/>
            <w:hideMark/>
          </w:tcPr>
          <w:p w14:paraId="663EE0AC" w14:textId="77777777" w:rsidR="00CA36C7" w:rsidRPr="0090702E" w:rsidRDefault="00CA36C7" w:rsidP="00355C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Neutral impact on glucose homeostasis in real-world data [17].</w:t>
            </w:r>
          </w:p>
        </w:tc>
      </w:tr>
      <w:tr w:rsidR="00CA36C7" w:rsidRPr="002A72E7" w14:paraId="5C02F419" w14:textId="77777777" w:rsidTr="00355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hideMark/>
          </w:tcPr>
          <w:p w14:paraId="0AFD6F85" w14:textId="77777777" w:rsidR="00CA36C7" w:rsidRPr="0090702E" w:rsidRDefault="00CA36C7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>Apremilast</w:t>
            </w:r>
          </w:p>
        </w:tc>
        <w:tc>
          <w:tcPr>
            <w:tcW w:w="7183" w:type="dxa"/>
            <w:hideMark/>
          </w:tcPr>
          <w:p w14:paraId="37ABFC83" w14:textId="77777777" w:rsidR="00CA36C7" w:rsidRPr="0090702E" w:rsidRDefault="00CA36C7" w:rsidP="00355C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Reduced</w:t>
            </w: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 HbA1c after 16 weeks, especially in patients with baseline HbA1c &gt;6.5% [27].</w:t>
            </w:r>
          </w:p>
        </w:tc>
      </w:tr>
      <w:tr w:rsidR="00CA36C7" w:rsidRPr="002A72E7" w14:paraId="74CB7C82" w14:textId="77777777" w:rsidTr="00355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hideMark/>
          </w:tcPr>
          <w:p w14:paraId="785B39FF" w14:textId="77777777" w:rsidR="00CA36C7" w:rsidRPr="0090702E" w:rsidRDefault="00CA36C7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JAK inhibitors </w:t>
            </w:r>
          </w:p>
        </w:tc>
        <w:tc>
          <w:tcPr>
            <w:tcW w:w="7183" w:type="dxa"/>
            <w:hideMark/>
          </w:tcPr>
          <w:p w14:paraId="5ECCE073" w14:textId="77777777" w:rsidR="00CA36C7" w:rsidRPr="0090702E" w:rsidRDefault="00CA36C7" w:rsidP="00355C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Promising for MetS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,</w:t>
            </w: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 insufficient real-life data in PsA for glycemic effects [28, 29].</w:t>
            </w:r>
          </w:p>
        </w:tc>
      </w:tr>
      <w:tr w:rsidR="00CA36C7" w:rsidRPr="002A72E7" w14:paraId="1AB68A16" w14:textId="77777777" w:rsidTr="00355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hideMark/>
          </w:tcPr>
          <w:p w14:paraId="3D74742C" w14:textId="77777777" w:rsidR="00CA36C7" w:rsidRPr="0090702E" w:rsidRDefault="00CA36C7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MetS </w:t>
            </w:r>
            <w:r w:rsidRPr="00CC6BD1">
              <w:rPr>
                <w:rFonts w:eastAsia="Times New Roman" w:cstheme="minorHAnsi"/>
                <w:kern w:val="0"/>
                <w:lang w:eastAsia="it-IT"/>
                <w14:ligatures w14:val="none"/>
              </w:rPr>
              <w:t>and</w:t>
            </w:r>
            <w:r w:rsidRPr="0090702E"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 </w:t>
            </w:r>
            <w:r w:rsidRPr="00CC6BD1">
              <w:rPr>
                <w:rFonts w:eastAsia="Times New Roman" w:cstheme="minorHAnsi"/>
                <w:kern w:val="0"/>
                <w:lang w:eastAsia="it-IT"/>
                <w14:ligatures w14:val="none"/>
              </w:rPr>
              <w:t>d</w:t>
            </w:r>
            <w:r w:rsidRPr="0090702E"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rug </w:t>
            </w:r>
            <w:r w:rsidRPr="00CC6BD1">
              <w:rPr>
                <w:rFonts w:eastAsia="Times New Roman" w:cstheme="minorHAnsi"/>
                <w:kern w:val="0"/>
                <w:lang w:eastAsia="it-IT"/>
                <w14:ligatures w14:val="none"/>
              </w:rPr>
              <w:t>e</w:t>
            </w:r>
            <w:r w:rsidRPr="0090702E">
              <w:rPr>
                <w:rFonts w:eastAsia="Times New Roman" w:cstheme="minorHAnsi"/>
                <w:kern w:val="0"/>
                <w:lang w:eastAsia="it-IT"/>
                <w14:ligatures w14:val="none"/>
              </w:rPr>
              <w:t>fficacy</w:t>
            </w:r>
          </w:p>
        </w:tc>
        <w:tc>
          <w:tcPr>
            <w:tcW w:w="7183" w:type="dxa"/>
            <w:hideMark/>
          </w:tcPr>
          <w:p w14:paraId="37999A05" w14:textId="77777777" w:rsidR="00CA36C7" w:rsidRPr="0090702E" w:rsidRDefault="00CA36C7" w:rsidP="00355C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May reduce efficacy of anti-TNF-</w:t>
            </w:r>
            <w:r w:rsidRPr="0090702E">
              <w:rPr>
                <w:rFonts w:eastAsia="Times New Roman" w:cstheme="minorHAnsi"/>
                <w:kern w:val="0"/>
                <w:lang w:eastAsia="it-IT"/>
                <w14:ligatures w14:val="none"/>
              </w:rPr>
              <w:t>α</w:t>
            </w:r>
            <w:r w:rsidRPr="0090702E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 agents, mainly due to obesity-related factors (pharmacokinetics, persistent inflammation) [24, 30].</w:t>
            </w:r>
          </w:p>
        </w:tc>
      </w:tr>
    </w:tbl>
    <w:p w14:paraId="7225E0B4" w14:textId="7EC26770" w:rsidR="00CA36C7" w:rsidRDefault="00CA36C7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  <w:r w:rsidRPr="00C57C2F">
        <w:rPr>
          <w:rFonts w:eastAsia="Calibri" w:cstheme="minorHAnsi"/>
          <w:b/>
          <w:bCs/>
          <w:lang w:val="en-US"/>
        </w:rPr>
        <w:t>Supplementary T</w:t>
      </w:r>
      <w:r w:rsidRPr="00C57C2F">
        <w:rPr>
          <w:rFonts w:eastAsia="Calibri" w:cstheme="minorHAnsi"/>
          <w:b/>
          <w:bCs/>
          <w:lang w:val="en-US"/>
        </w:rPr>
        <w:t>able 1.</w:t>
      </w:r>
      <w:r w:rsidRPr="008D56FD">
        <w:rPr>
          <w:rFonts w:eastAsia="Calibri" w:cstheme="minorHAnsi"/>
          <w:b/>
          <w:bCs/>
          <w:lang w:val="en-US"/>
        </w:rPr>
        <w:t xml:space="preserve"> Impact of </w:t>
      </w:r>
      <w:r>
        <w:rPr>
          <w:rFonts w:eastAsia="Calibri" w:cstheme="minorHAnsi"/>
          <w:b/>
          <w:bCs/>
          <w:lang w:val="en-US"/>
        </w:rPr>
        <w:t>glycemic</w:t>
      </w:r>
      <w:r w:rsidRPr="008D56FD">
        <w:rPr>
          <w:rFonts w:eastAsia="Calibri" w:cstheme="minorHAnsi"/>
          <w:b/>
          <w:bCs/>
          <w:lang w:val="en-US"/>
        </w:rPr>
        <w:t xml:space="preserve"> changes and antirheumatic therapies in psoriatic arthritis (PsA).</w:t>
      </w:r>
      <w:r>
        <w:rPr>
          <w:rFonts w:eastAsia="Calibri" w:cstheme="minorHAnsi"/>
          <w:lang w:val="en-US"/>
        </w:rPr>
        <w:t xml:space="preserve"> Legend: T2DM, Type 2 Diabetes Mellitus; MetS, Metabolic Syndrome; NAFLD, 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N</w:t>
      </w:r>
      <w:r w:rsidRPr="002F1A83"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on-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A</w:t>
      </w:r>
      <w:r w:rsidRPr="002F1A83"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 xml:space="preserve">lcoholic 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F</w:t>
      </w:r>
      <w:r w:rsidRPr="002F1A83"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 xml:space="preserve">atty 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L</w:t>
      </w:r>
      <w:r w:rsidRPr="002F1A83"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 xml:space="preserve">iver 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D</w:t>
      </w:r>
      <w:r w:rsidRPr="002F1A83"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isease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; MACE, M</w:t>
      </w:r>
      <w:r w:rsidRPr="002F1A83"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 xml:space="preserve">ajor 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A</w:t>
      </w:r>
      <w:r w:rsidRPr="002F1A83"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 xml:space="preserve">dverse 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C</w:t>
      </w:r>
      <w:r w:rsidRPr="002F1A83"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 xml:space="preserve">ardiovascular 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E</w:t>
      </w:r>
      <w:r w:rsidRPr="002F1A83"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vents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 xml:space="preserve">; NSAIDs, </w:t>
      </w:r>
      <w:r w:rsidRPr="002F1A83"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Non-Steroidal Anti-Inflammatory Drugs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; FPG, F</w:t>
      </w:r>
      <w:r w:rsidRPr="007D2230"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 xml:space="preserve">asting 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P</w:t>
      </w:r>
      <w:r w:rsidRPr="007D2230"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 xml:space="preserve">lasma 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G</w:t>
      </w:r>
      <w:r w:rsidRPr="007D2230"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lucose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;</w:t>
      </w:r>
      <w:r w:rsidRPr="007D2230"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 xml:space="preserve"> HbA1c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,</w:t>
      </w:r>
      <w:r w:rsidRPr="007D2230"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 xml:space="preserve"> 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H</w:t>
      </w:r>
      <w:r w:rsidRPr="007D2230"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>emoglobin A1c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 xml:space="preserve">; csDMARDs, Conventional Synthetis </w:t>
      </w:r>
      <w:r>
        <w:rPr>
          <w:rFonts w:ascii="Calibri" w:eastAsia="Calibri" w:hAnsi="Calibri" w:cs="Times New Roman"/>
          <w:lang w:val="en-US"/>
        </w:rPr>
        <w:t>D</w:t>
      </w:r>
      <w:r w:rsidRPr="00064D64">
        <w:rPr>
          <w:rFonts w:ascii="Calibri" w:eastAsia="Calibri" w:hAnsi="Calibri" w:cs="Times New Roman"/>
          <w:lang w:val="en-US"/>
        </w:rPr>
        <w:t>isease-</w:t>
      </w:r>
      <w:r>
        <w:rPr>
          <w:rFonts w:ascii="Calibri" w:eastAsia="Calibri" w:hAnsi="Calibri" w:cs="Times New Roman"/>
          <w:lang w:val="en-US"/>
        </w:rPr>
        <w:t>M</w:t>
      </w:r>
      <w:r w:rsidRPr="00064D64">
        <w:rPr>
          <w:rFonts w:ascii="Calibri" w:eastAsia="Calibri" w:hAnsi="Calibri" w:cs="Times New Roman"/>
          <w:lang w:val="en-US"/>
        </w:rPr>
        <w:t xml:space="preserve">odifying </w:t>
      </w:r>
      <w:r>
        <w:rPr>
          <w:rFonts w:ascii="Calibri" w:eastAsia="Calibri" w:hAnsi="Calibri" w:cs="Times New Roman"/>
          <w:lang w:val="en-US"/>
        </w:rPr>
        <w:t>A</w:t>
      </w:r>
      <w:r w:rsidRPr="00064D64">
        <w:rPr>
          <w:rFonts w:ascii="Calibri" w:eastAsia="Calibri" w:hAnsi="Calibri" w:cs="Times New Roman"/>
          <w:lang w:val="en-US"/>
        </w:rPr>
        <w:t xml:space="preserve">ntirheumatic </w:t>
      </w:r>
      <w:r>
        <w:rPr>
          <w:rFonts w:ascii="Calibri" w:eastAsia="Calibri" w:hAnsi="Calibri" w:cs="Times New Roman"/>
          <w:lang w:val="en-US"/>
        </w:rPr>
        <w:t>D</w:t>
      </w:r>
      <w:r w:rsidRPr="00064D64">
        <w:rPr>
          <w:rFonts w:ascii="Calibri" w:eastAsia="Calibri" w:hAnsi="Calibri" w:cs="Times New Roman"/>
          <w:lang w:val="en-US"/>
        </w:rPr>
        <w:t>rug</w:t>
      </w:r>
      <w:r>
        <w:rPr>
          <w:rFonts w:ascii="Calibri" w:eastAsia="Calibri" w:hAnsi="Calibri" w:cs="Times New Roman"/>
          <w:lang w:val="en-US"/>
        </w:rPr>
        <w:t>s;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 xml:space="preserve"> TNF</w:t>
      </w:r>
      <w:r w:rsidRPr="00BB0DB1">
        <w:rPr>
          <w:rFonts w:ascii="Calibri" w:eastAsia="Calibri" w:hAnsi="Calibri" w:cs="Times New Roman"/>
          <w:lang w:val="en-US"/>
        </w:rPr>
        <w:t>-α</w:t>
      </w:r>
      <w:r>
        <w:rPr>
          <w:rFonts w:ascii="Calibri" w:eastAsia="Calibri" w:hAnsi="Calibri" w:cs="Times New Roman"/>
          <w:lang w:val="en-US"/>
        </w:rPr>
        <w:t>,</w:t>
      </w:r>
      <w:r>
        <w:rPr>
          <w:rFonts w:ascii="Calibri" w:eastAsia="Times New Roman" w:hAnsi="Calibri" w:cs="Times New Roman"/>
          <w:color w:val="000000"/>
          <w:kern w:val="0"/>
          <w:szCs w:val="24"/>
          <w:lang w:val="en-US" w:eastAsia="it-IT"/>
          <w14:ligatures w14:val="none"/>
        </w:rPr>
        <w:t xml:space="preserve"> </w:t>
      </w:r>
      <w:r w:rsidRPr="00BB0DB1">
        <w:rPr>
          <w:rFonts w:ascii="Calibri" w:eastAsia="Calibri" w:hAnsi="Calibri" w:cs="Times New Roman"/>
          <w:lang w:val="en-US"/>
        </w:rPr>
        <w:t>T</w:t>
      </w:r>
      <w:r>
        <w:rPr>
          <w:rFonts w:ascii="Calibri" w:eastAsia="Calibri" w:hAnsi="Calibri" w:cs="Times New Roman"/>
          <w:lang w:val="en-US"/>
        </w:rPr>
        <w:t xml:space="preserve">umor Necrosis Factor Alpha; IL, Interleukin; JAK, </w:t>
      </w:r>
      <w:r w:rsidRPr="001120F8">
        <w:rPr>
          <w:rFonts w:ascii="Calibri" w:eastAsia="Calibri" w:hAnsi="Calibri" w:cs="Times New Roman"/>
          <w:lang w:val="en-US"/>
        </w:rPr>
        <w:t xml:space="preserve">Janus </w:t>
      </w:r>
      <w:r>
        <w:rPr>
          <w:rFonts w:ascii="Calibri" w:eastAsia="Calibri" w:hAnsi="Calibri" w:cs="Times New Roman"/>
          <w:lang w:val="en-US"/>
        </w:rPr>
        <w:t>K</w:t>
      </w:r>
      <w:r w:rsidRPr="001120F8">
        <w:rPr>
          <w:rFonts w:ascii="Calibri" w:eastAsia="Calibri" w:hAnsi="Calibri" w:cs="Times New Roman"/>
          <w:lang w:val="en-US"/>
        </w:rPr>
        <w:t>inase</w:t>
      </w:r>
      <w:r>
        <w:rPr>
          <w:rFonts w:ascii="Calibri" w:eastAsia="Calibri" w:hAnsi="Calibri" w:cs="Times New Roman"/>
          <w:lang w:val="en-US"/>
        </w:rPr>
        <w:t>.</w:t>
      </w:r>
    </w:p>
    <w:p w14:paraId="0CB783A7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1BB97892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56CAC87D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3B6990F2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492E518E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1EDE4E66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2D7B330C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53DCEA28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43112D81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26AF7293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13D3F798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13D1D51F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6B6A1818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1839"/>
        <w:gridCol w:w="7799"/>
      </w:tblGrid>
      <w:tr w:rsidR="00C57C2F" w:rsidRPr="00391DD1" w14:paraId="2A177835" w14:textId="77777777" w:rsidTr="00355C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415202DF" w14:textId="77777777" w:rsidR="00C57C2F" w:rsidRPr="00391DD1" w:rsidRDefault="00C57C2F" w:rsidP="00355C62">
            <w:pPr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391DD1">
              <w:rPr>
                <w:rFonts w:eastAsia="Times New Roman" w:cstheme="minorHAnsi"/>
                <w:kern w:val="0"/>
                <w:lang w:eastAsia="it-IT"/>
                <w14:ligatures w14:val="none"/>
              </w:rPr>
              <w:lastRenderedPageBreak/>
              <w:t>Aspect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0244F27E" w14:textId="77777777" w:rsidR="00C57C2F" w:rsidRPr="00391DD1" w:rsidRDefault="00C57C2F" w:rsidP="00355C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391DD1">
              <w:rPr>
                <w:rFonts w:eastAsia="Times New Roman" w:cstheme="minorHAnsi"/>
                <w:kern w:val="0"/>
                <w:lang w:eastAsia="it-IT"/>
                <w14:ligatures w14:val="none"/>
              </w:rPr>
              <w:t>Findings</w:t>
            </w:r>
          </w:p>
        </w:tc>
      </w:tr>
      <w:tr w:rsidR="00C57C2F" w:rsidRPr="002A72E7" w14:paraId="3339BD17" w14:textId="77777777" w:rsidTr="00355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6B5814" w14:textId="77777777" w:rsidR="00C57C2F" w:rsidRPr="00391DD1" w:rsidRDefault="00C57C2F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391DD1"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Impact of </w:t>
            </w: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>o</w:t>
            </w:r>
            <w:r w:rsidRPr="00391DD1">
              <w:rPr>
                <w:rFonts w:eastAsia="Times New Roman" w:cstheme="minorHAnsi"/>
                <w:kern w:val="0"/>
                <w:lang w:eastAsia="it-IT"/>
                <w14:ligatures w14:val="none"/>
              </w:rPr>
              <w:t>besity</w:t>
            </w:r>
          </w:p>
        </w:tc>
        <w:tc>
          <w:tcPr>
            <w:tcW w:w="0" w:type="auto"/>
            <w:hideMark/>
          </w:tcPr>
          <w:p w14:paraId="6E1EEB67" w14:textId="77777777" w:rsidR="00C57C2F" w:rsidRPr="00391DD1" w:rsidRDefault="00C57C2F" w:rsidP="00355C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W</w:t>
            </w:r>
            <w:r w:rsidRPr="00391DD1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orsens PsA by increasing disease activity, accelerating structural progression, and impairing quality of life; it also reduces treatment response, especially to TNF</w:t>
            </w:r>
            <w:r w:rsidRPr="003B235C">
              <w:rPr>
                <w:rFonts w:ascii="Calibri" w:eastAsia="Calibri" w:hAnsi="Calibri" w:cs="Times New Roman"/>
                <w:lang w:val="en-US"/>
              </w:rPr>
              <w:t>-α</w:t>
            </w:r>
            <w:r w:rsidRPr="00391DD1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 inhibitors [17, 45, 46].</w:t>
            </w:r>
          </w:p>
        </w:tc>
      </w:tr>
      <w:tr w:rsidR="00C57C2F" w:rsidRPr="002A72E7" w14:paraId="2B4C9727" w14:textId="77777777" w:rsidTr="00355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17D9C5" w14:textId="77777777" w:rsidR="00C57C2F" w:rsidRPr="00391DD1" w:rsidRDefault="00C57C2F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391DD1">
              <w:rPr>
                <w:rFonts w:eastAsia="Times New Roman" w:cstheme="minorHAnsi"/>
                <w:kern w:val="0"/>
                <w:lang w:eastAsia="it-IT"/>
                <w14:ligatures w14:val="none"/>
              </w:rPr>
              <w:t>Corticosteroids</w:t>
            </w:r>
          </w:p>
        </w:tc>
        <w:tc>
          <w:tcPr>
            <w:tcW w:w="0" w:type="auto"/>
            <w:hideMark/>
          </w:tcPr>
          <w:p w14:paraId="330A402C" w14:textId="77777777" w:rsidR="00C57C2F" w:rsidRPr="00391DD1" w:rsidRDefault="00C57C2F" w:rsidP="00355C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 w:rsidRPr="00391DD1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Long-term use may lead to elevated TG and LDL due to increased hepatic lipogenesis and circulating 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FFA</w:t>
            </w:r>
            <w:r w:rsidRPr="00391DD1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 [19, 47, 48].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 </w:t>
            </w:r>
          </w:p>
        </w:tc>
      </w:tr>
      <w:tr w:rsidR="00C57C2F" w:rsidRPr="002A72E7" w14:paraId="78630489" w14:textId="77777777" w:rsidTr="00355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4F6B5D" w14:textId="77777777" w:rsidR="00C57C2F" w:rsidRPr="00391DD1" w:rsidRDefault="00C57C2F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391DD1">
              <w:rPr>
                <w:rFonts w:eastAsia="Times New Roman" w:cstheme="minorHAnsi"/>
                <w:kern w:val="0"/>
                <w:lang w:eastAsia="it-IT"/>
                <w14:ligatures w14:val="none"/>
              </w:rPr>
              <w:t>NSAIDs</w:t>
            </w:r>
          </w:p>
        </w:tc>
        <w:tc>
          <w:tcPr>
            <w:tcW w:w="0" w:type="auto"/>
            <w:hideMark/>
          </w:tcPr>
          <w:p w14:paraId="65D6B177" w14:textId="77777777" w:rsidR="00C57C2F" w:rsidRPr="00391DD1" w:rsidRDefault="00C57C2F" w:rsidP="00355C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Neutral impact on </w:t>
            </w:r>
            <w:r w:rsidRPr="00391DD1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lipid metabolism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,</w:t>
            </w:r>
            <w:r w:rsidRPr="00391DD1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CV</w:t>
            </w:r>
            <w:r w:rsidRPr="00391DD1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 risk is more related to thrombosis and hypertension than lipid alterations [49].</w:t>
            </w:r>
          </w:p>
        </w:tc>
      </w:tr>
      <w:tr w:rsidR="00C57C2F" w:rsidRPr="002A72E7" w14:paraId="14927EBD" w14:textId="77777777" w:rsidTr="00355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B1E19A" w14:textId="77777777" w:rsidR="00C57C2F" w:rsidRPr="00391DD1" w:rsidRDefault="00C57C2F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391DD1"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csDMARDs </w:t>
            </w:r>
          </w:p>
        </w:tc>
        <w:tc>
          <w:tcPr>
            <w:tcW w:w="0" w:type="auto"/>
            <w:hideMark/>
          </w:tcPr>
          <w:p w14:paraId="08287EBB" w14:textId="77777777" w:rsidR="00C57C2F" w:rsidRPr="00391DD1" w:rsidRDefault="00C57C2F" w:rsidP="00355C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G</w:t>
            </w:r>
            <w:r w:rsidRPr="00391DD1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enerally considered safe in patients with dyslipidemia or MetS and do not significantly alter lipid metabolism [50, 51].</w:t>
            </w:r>
          </w:p>
        </w:tc>
      </w:tr>
      <w:tr w:rsidR="00C57C2F" w:rsidRPr="002A72E7" w14:paraId="026FEED5" w14:textId="77777777" w:rsidTr="00355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14D1FB" w14:textId="77777777" w:rsidR="00C57C2F" w:rsidRPr="00391DD1" w:rsidRDefault="00C57C2F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391DD1">
              <w:rPr>
                <w:rFonts w:eastAsia="Times New Roman" w:cstheme="minorHAnsi"/>
                <w:kern w:val="0"/>
                <w:lang w:eastAsia="it-IT"/>
                <w14:ligatures w14:val="none"/>
              </w:rPr>
              <w:t>TNF</w:t>
            </w:r>
            <w:r w:rsidRPr="003B235C">
              <w:rPr>
                <w:rFonts w:ascii="Calibri" w:eastAsia="Calibri" w:hAnsi="Calibri" w:cs="Times New Roman"/>
                <w:lang w:val="en-US"/>
              </w:rPr>
              <w:t>-α</w:t>
            </w:r>
            <w:r w:rsidRPr="00391DD1"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 Inhibitors</w:t>
            </w:r>
          </w:p>
        </w:tc>
        <w:tc>
          <w:tcPr>
            <w:tcW w:w="0" w:type="auto"/>
            <w:hideMark/>
          </w:tcPr>
          <w:p w14:paraId="60C8624C" w14:textId="77777777" w:rsidR="00C57C2F" w:rsidRPr="00391DD1" w:rsidRDefault="00C57C2F" w:rsidP="00355C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R</w:t>
            </w:r>
            <w:r w:rsidRPr="00391DD1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educe pro-atherogenic Lp(a) and increase anti-inflammatory ApoA-1 levels, but may also increase TG and ApoB, leading to an overall unclear lipid effect [52].</w:t>
            </w:r>
          </w:p>
        </w:tc>
      </w:tr>
      <w:tr w:rsidR="00C57C2F" w:rsidRPr="002A72E7" w14:paraId="3F791F1D" w14:textId="77777777" w:rsidTr="00355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hideMark/>
          </w:tcPr>
          <w:p w14:paraId="1B2A001A" w14:textId="77777777" w:rsidR="00C57C2F" w:rsidRPr="00391DD1" w:rsidRDefault="00C57C2F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391DD1">
              <w:rPr>
                <w:rFonts w:eastAsia="Times New Roman" w:cstheme="minorHAnsi"/>
                <w:kern w:val="0"/>
                <w:lang w:eastAsia="it-IT"/>
                <w14:ligatures w14:val="none"/>
              </w:rPr>
              <w:t>IL-17/</w:t>
            </w: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 </w:t>
            </w:r>
            <w:r w:rsidRPr="00391DD1">
              <w:rPr>
                <w:rFonts w:eastAsia="Times New Roman" w:cstheme="minorHAnsi"/>
                <w:kern w:val="0"/>
                <w:lang w:eastAsia="it-IT"/>
                <w14:ligatures w14:val="none"/>
              </w:rPr>
              <w:t>IL-23 Inhibitors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552AB0F" w14:textId="77777777" w:rsidR="00C57C2F" w:rsidRPr="00391DD1" w:rsidRDefault="00C57C2F" w:rsidP="00355C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 w:rsidRPr="00BE13C0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A</w:t>
            </w:r>
            <w:r w:rsidRPr="00391DD1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ssociated with increased HDL levels, with minor changes in LDL and TG after 12 weeks of treatment [53].</w:t>
            </w:r>
          </w:p>
        </w:tc>
      </w:tr>
      <w:tr w:rsidR="00C57C2F" w:rsidRPr="002A72E7" w14:paraId="23165D22" w14:textId="77777777" w:rsidTr="00355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hideMark/>
          </w:tcPr>
          <w:p w14:paraId="24AB6C03" w14:textId="77777777" w:rsidR="00C57C2F" w:rsidRPr="00391DD1" w:rsidRDefault="00C57C2F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391DD1"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JAK Inhibitors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14:paraId="5F5B65B6" w14:textId="77777777" w:rsidR="00C57C2F" w:rsidRDefault="00C57C2F" w:rsidP="00355C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Tofacitinib and upadacitinib</w:t>
            </w:r>
            <w:r w:rsidRPr="00391DD1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 raise both LDL and HDL, without significantly altering LDL:HDL or TC:HDL ratios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,</w:t>
            </w:r>
            <w:r w:rsidRPr="00391DD1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 with stable blood pressure and low MACE incidence [54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, 55</w:t>
            </w:r>
            <w:r w:rsidRPr="00391DD1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].</w:t>
            </w:r>
          </w:p>
          <w:p w14:paraId="5059E0EA" w14:textId="77777777" w:rsidR="00C57C2F" w:rsidRPr="00391DD1" w:rsidRDefault="00C57C2F" w:rsidP="00355C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</w:p>
        </w:tc>
      </w:tr>
      <w:tr w:rsidR="00C57C2F" w:rsidRPr="002A72E7" w14:paraId="71ADAB50" w14:textId="77777777" w:rsidTr="00355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FF98F3" w14:textId="77777777" w:rsidR="00C57C2F" w:rsidRPr="00391DD1" w:rsidRDefault="00C57C2F" w:rsidP="00355C62">
            <w:pPr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391DD1"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Apremilast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9B7394" w14:textId="77777777" w:rsidR="00C57C2F" w:rsidRPr="00391DD1" w:rsidRDefault="00C57C2F" w:rsidP="00355C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P</w:t>
            </w:r>
            <w:r w:rsidRPr="00391DD1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otential benefits including reduced TG and increased HDL levels, alongside weight loss [</w:t>
            </w:r>
            <w: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 xml:space="preserve">56, </w:t>
            </w:r>
            <w:r w:rsidRPr="00391DD1"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  <w:t>57].</w:t>
            </w:r>
          </w:p>
        </w:tc>
      </w:tr>
      <w:tr w:rsidR="00C57C2F" w:rsidRPr="002A72E7" w14:paraId="5457ACFF" w14:textId="77777777" w:rsidTr="00355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91FEE5" w14:textId="77777777" w:rsidR="00C57C2F" w:rsidRPr="00391DD1" w:rsidRDefault="00C57C2F" w:rsidP="00355C62">
            <w:pPr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EC6126" w14:textId="77777777" w:rsidR="00C57C2F" w:rsidRPr="00391DD1" w:rsidRDefault="00C57C2F" w:rsidP="00355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lang w:val="en-US" w:eastAsia="it-IT"/>
                <w14:ligatures w14:val="none"/>
              </w:rPr>
            </w:pPr>
          </w:p>
        </w:tc>
      </w:tr>
    </w:tbl>
    <w:p w14:paraId="4B777861" w14:textId="7A492280" w:rsidR="00C57C2F" w:rsidRDefault="00C57C2F" w:rsidP="00C57C2F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  <w:r w:rsidRPr="00C57C2F">
        <w:rPr>
          <w:rFonts w:ascii="Calibri" w:eastAsia="Calibri" w:hAnsi="Calibri" w:cs="Times New Roman"/>
          <w:b/>
          <w:bCs/>
          <w:lang w:val="en-US"/>
        </w:rPr>
        <w:t>Supplementary Table 2.</w:t>
      </w:r>
      <w:r w:rsidRPr="00C57C2F">
        <w:rPr>
          <w:rFonts w:ascii="Calibri" w:eastAsia="Calibri" w:hAnsi="Calibri" w:cs="Times New Roman"/>
          <w:b/>
          <w:bCs/>
          <w:lang w:val="en-US"/>
        </w:rPr>
        <w:t xml:space="preserve"> </w:t>
      </w:r>
      <w:r w:rsidRPr="00C57C2F">
        <w:rPr>
          <w:rFonts w:ascii="Calibri" w:eastAsia="Calibri" w:hAnsi="Calibri" w:cs="Times New Roman"/>
          <w:b/>
          <w:bCs/>
          <w:lang w:val="en-US"/>
        </w:rPr>
        <w:t xml:space="preserve">Impact of lipidic changes and antirheumatic therapies in psoriatic arthritis (PsA). </w:t>
      </w:r>
      <w:r w:rsidRPr="00C57C2F">
        <w:rPr>
          <w:rFonts w:ascii="Calibri" w:eastAsia="Calibri" w:hAnsi="Calibri" w:cs="Times New Roman"/>
          <w:lang w:val="en-US"/>
        </w:rPr>
        <w:t>Legend: PsO, Psoriasis; TG, Triglycerides; HDL, High-Density Lipoproteins; LDL, Low-Density Lipoproteins; TNF-α, Tumor Necrosis Factor Alpha; NSAIDs, Non-Steroidal Anti-Inflammatory Drugs; csDMARDs, Conventional Synthetis Disease-Modifying Antirheumatic Drugs; Lp(a), Lipoprotein(a); ApoA1, Apolipoprotein A1; ApoB, Apolipoprotein B; IL, Interleukin; JAK, Janus Kinase; MACE, Major Adverse Cardiovascular Events; IMIDs, Immune-Mediated Inflammatory Diseases.</w:t>
      </w:r>
    </w:p>
    <w:p w14:paraId="47EA7632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1344F88D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13027FDA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40594699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713DECF4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0A0767A3" w14:textId="77777777" w:rsidR="00C57C2F" w:rsidRDefault="00C57C2F" w:rsidP="00CA36C7">
      <w:pPr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29EE5A98" w14:textId="77777777" w:rsidR="00C57C2F" w:rsidRPr="004519A6" w:rsidRDefault="00C57C2F" w:rsidP="00CA36C7">
      <w:pPr>
        <w:spacing w:line="360" w:lineRule="auto"/>
        <w:jc w:val="both"/>
        <w:rPr>
          <w:rFonts w:eastAsia="Calibri" w:cstheme="minorHAnsi"/>
          <w:lang w:val="en-US"/>
        </w:rPr>
      </w:pPr>
    </w:p>
    <w:p w14:paraId="6B3CCDB4" w14:textId="77777777" w:rsidR="000E0A18" w:rsidRPr="00CA36C7" w:rsidRDefault="000E0A18">
      <w:pPr>
        <w:rPr>
          <w:lang w:val="en-US"/>
        </w:rPr>
      </w:pPr>
    </w:p>
    <w:sectPr w:rsidR="000E0A18" w:rsidRPr="00CA36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10"/>
    <w:rsid w:val="000E0A18"/>
    <w:rsid w:val="0030244E"/>
    <w:rsid w:val="003F0D1E"/>
    <w:rsid w:val="00886D45"/>
    <w:rsid w:val="008A2912"/>
    <w:rsid w:val="00AC6F10"/>
    <w:rsid w:val="00C57C2F"/>
    <w:rsid w:val="00CA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473D"/>
  <w15:chartTrackingRefBased/>
  <w15:docId w15:val="{186561C2-E4B1-4CB7-A995-6C3213D6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36C7"/>
  </w:style>
  <w:style w:type="paragraph" w:styleId="Titolo1">
    <w:name w:val="heading 1"/>
    <w:basedOn w:val="Normale"/>
    <w:next w:val="Normale"/>
    <w:link w:val="Titolo1Carattere"/>
    <w:uiPriority w:val="9"/>
    <w:qFormat/>
    <w:rsid w:val="00AC6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6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6F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6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6F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6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6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6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6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6F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6F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6F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6F1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6F1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6F1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6F1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6F1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6F1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6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6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6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6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6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6F1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6F1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6F1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6F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6F1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6F10"/>
    <w:rPr>
      <w:b/>
      <w:bCs/>
      <w:smallCaps/>
      <w:color w:val="2F5496" w:themeColor="accent1" w:themeShade="BF"/>
      <w:spacing w:val="5"/>
    </w:rPr>
  </w:style>
  <w:style w:type="table" w:styleId="Tabellasemplice-2">
    <w:name w:val="Plain Table 2"/>
    <w:basedOn w:val="Tabellanormale"/>
    <w:uiPriority w:val="42"/>
    <w:rsid w:val="00CA36C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Fatica</dc:creator>
  <cp:keywords/>
  <dc:description/>
  <cp:lastModifiedBy>Mauro Fatica</cp:lastModifiedBy>
  <cp:revision>7</cp:revision>
  <dcterms:created xsi:type="dcterms:W3CDTF">2025-06-15T17:42:00Z</dcterms:created>
  <dcterms:modified xsi:type="dcterms:W3CDTF">2025-06-15T17:46:00Z</dcterms:modified>
</cp:coreProperties>
</file>