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8955E1" w14:textId="7EF9BD8A" w:rsidR="006144F2" w:rsidRDefault="006144F2" w:rsidP="006144F2">
      <w:pPr>
        <w:autoSpaceDE w:val="0"/>
        <w:autoSpaceDN w:val="0"/>
        <w:adjustRightInd w:val="0"/>
        <w:spacing w:after="0" w:line="360" w:lineRule="auto"/>
        <w:jc w:val="center"/>
        <w:rPr>
          <w:rFonts w:ascii="Times New Roman" w:eastAsia="BSGulliver" w:hAnsi="Times New Roman"/>
          <w:b/>
          <w:bCs/>
          <w:sz w:val="32"/>
          <w:szCs w:val="32"/>
          <w:lang w:val="en-GB"/>
        </w:rPr>
      </w:pPr>
      <w:bookmarkStart w:id="0" w:name="_Hlk36810079"/>
      <w:bookmarkEnd w:id="0"/>
      <w:r>
        <w:rPr>
          <w:rFonts w:ascii="Times New Roman" w:eastAsia="BSGulliver" w:hAnsi="Times New Roman"/>
          <w:b/>
          <w:bCs/>
          <w:sz w:val="32"/>
          <w:szCs w:val="32"/>
          <w:lang w:val="en-GB"/>
        </w:rPr>
        <w:t>Electronic Supplementary Material</w:t>
      </w:r>
    </w:p>
    <w:p w14:paraId="09C0077A" w14:textId="77777777" w:rsidR="006144F2" w:rsidRDefault="006144F2" w:rsidP="006144F2">
      <w:pPr>
        <w:autoSpaceDE w:val="0"/>
        <w:autoSpaceDN w:val="0"/>
        <w:adjustRightInd w:val="0"/>
        <w:spacing w:after="0" w:line="360" w:lineRule="auto"/>
        <w:jc w:val="center"/>
        <w:rPr>
          <w:rFonts w:ascii="Times New Roman" w:eastAsia="BSGulliver" w:hAnsi="Times New Roman"/>
          <w:b/>
          <w:bCs/>
          <w:sz w:val="32"/>
          <w:szCs w:val="32"/>
          <w:lang w:val="en-GB"/>
        </w:rPr>
      </w:pPr>
    </w:p>
    <w:p w14:paraId="33713F5D" w14:textId="77777777" w:rsidR="006144F2" w:rsidRDefault="006144F2" w:rsidP="006144F2">
      <w:pPr>
        <w:autoSpaceDE w:val="0"/>
        <w:autoSpaceDN w:val="0"/>
        <w:adjustRightInd w:val="0"/>
        <w:spacing w:after="0" w:line="360" w:lineRule="auto"/>
        <w:jc w:val="center"/>
        <w:rPr>
          <w:rFonts w:ascii="Times New Roman" w:eastAsia="BSGulliver" w:hAnsi="Times New Roman"/>
          <w:b/>
          <w:bCs/>
          <w:sz w:val="32"/>
          <w:szCs w:val="32"/>
          <w:lang w:val="en-GB"/>
        </w:rPr>
      </w:pPr>
    </w:p>
    <w:p w14:paraId="224D73DA" w14:textId="26EB7EEE" w:rsidR="006144F2" w:rsidRPr="006144F2" w:rsidRDefault="006144F2" w:rsidP="006144F2">
      <w:pPr>
        <w:autoSpaceDE w:val="0"/>
        <w:autoSpaceDN w:val="0"/>
        <w:adjustRightInd w:val="0"/>
        <w:spacing w:after="0" w:line="360" w:lineRule="auto"/>
        <w:jc w:val="center"/>
        <w:rPr>
          <w:rFonts w:ascii="Times New Roman" w:eastAsia="BSGulliver" w:hAnsi="Times New Roman"/>
          <w:b/>
          <w:bCs/>
          <w:sz w:val="36"/>
          <w:szCs w:val="36"/>
          <w:lang w:val="en-GB"/>
        </w:rPr>
      </w:pPr>
      <w:r w:rsidRPr="006144F2">
        <w:rPr>
          <w:rFonts w:ascii="Times New Roman" w:eastAsia="BSGulliver" w:hAnsi="Times New Roman"/>
          <w:b/>
          <w:bCs/>
          <w:sz w:val="36"/>
          <w:szCs w:val="36"/>
          <w:lang w:val="en-GB"/>
        </w:rPr>
        <w:t>Needle-type organic electrochemical transistor for spatially resolved detection of dopamine</w:t>
      </w:r>
    </w:p>
    <w:p w14:paraId="1062490A" w14:textId="77777777" w:rsidR="006144F2" w:rsidRPr="00B02554" w:rsidRDefault="006144F2" w:rsidP="006144F2">
      <w:pPr>
        <w:autoSpaceDE w:val="0"/>
        <w:autoSpaceDN w:val="0"/>
        <w:adjustRightInd w:val="0"/>
        <w:spacing w:after="0" w:line="360" w:lineRule="auto"/>
        <w:jc w:val="both"/>
        <w:rPr>
          <w:rFonts w:ascii="Times New Roman" w:eastAsia="BSGulliver" w:hAnsi="Times New Roman"/>
          <w:sz w:val="24"/>
          <w:szCs w:val="24"/>
          <w:lang w:val="en-GB"/>
        </w:rPr>
      </w:pPr>
    </w:p>
    <w:p w14:paraId="2598CC1E" w14:textId="77777777" w:rsidR="006144F2" w:rsidRPr="00CC6EBB" w:rsidRDefault="006144F2" w:rsidP="006144F2">
      <w:pPr>
        <w:autoSpaceDE w:val="0"/>
        <w:autoSpaceDN w:val="0"/>
        <w:adjustRightInd w:val="0"/>
        <w:spacing w:after="0" w:line="360" w:lineRule="auto"/>
        <w:jc w:val="both"/>
        <w:rPr>
          <w:rFonts w:ascii="Times New Roman" w:eastAsia="BSGulliver" w:hAnsi="Times New Roman"/>
          <w:sz w:val="24"/>
          <w:szCs w:val="24"/>
        </w:rPr>
      </w:pPr>
      <w:r w:rsidRPr="00B02554">
        <w:rPr>
          <w:rFonts w:ascii="Times New Roman" w:eastAsia="BSGulliver" w:hAnsi="Times New Roman"/>
          <w:sz w:val="24"/>
          <w:szCs w:val="24"/>
        </w:rPr>
        <w:t>Federica Mariani</w:t>
      </w:r>
      <w:r>
        <w:rPr>
          <w:rFonts w:ascii="Times New Roman" w:eastAsia="BSGulliver" w:hAnsi="Times New Roman"/>
          <w:sz w:val="24"/>
          <w:szCs w:val="24"/>
        </w:rPr>
        <w:t xml:space="preserve"> </w:t>
      </w:r>
      <w:r w:rsidRPr="00A635B4">
        <w:rPr>
          <w:rFonts w:ascii="Times New Roman" w:eastAsia="BSGulliver" w:hAnsi="Times New Roman"/>
          <w:sz w:val="24"/>
          <w:szCs w:val="24"/>
          <w:vertAlign w:val="superscript"/>
        </w:rPr>
        <w:t>1</w:t>
      </w:r>
      <w:r w:rsidRPr="00B02554">
        <w:rPr>
          <w:rFonts w:ascii="Times New Roman" w:eastAsia="BSGulliver" w:hAnsi="Times New Roman"/>
          <w:sz w:val="24"/>
          <w:szCs w:val="24"/>
        </w:rPr>
        <w:t xml:space="preserve">, </w:t>
      </w:r>
      <w:bookmarkStart w:id="1" w:name="_Hlk24634992"/>
      <w:r w:rsidRPr="00B02554">
        <w:rPr>
          <w:rFonts w:ascii="Times New Roman" w:eastAsia="BSGulliver" w:hAnsi="Times New Roman"/>
          <w:sz w:val="24"/>
          <w:szCs w:val="24"/>
        </w:rPr>
        <w:t xml:space="preserve">Thomas </w:t>
      </w:r>
      <w:proofErr w:type="spellStart"/>
      <w:r w:rsidRPr="00B02554">
        <w:rPr>
          <w:rFonts w:ascii="Times New Roman" w:eastAsia="BSGulliver" w:hAnsi="Times New Roman"/>
          <w:sz w:val="24"/>
          <w:szCs w:val="24"/>
        </w:rPr>
        <w:t>Quast</w:t>
      </w:r>
      <w:proofErr w:type="spellEnd"/>
      <w:r>
        <w:rPr>
          <w:rFonts w:ascii="Times New Roman" w:eastAsia="BSGulliver" w:hAnsi="Times New Roman"/>
          <w:sz w:val="24"/>
          <w:szCs w:val="24"/>
        </w:rPr>
        <w:t xml:space="preserve"> </w:t>
      </w:r>
      <w:r>
        <w:rPr>
          <w:rFonts w:ascii="Times New Roman" w:eastAsia="BSGulliver" w:hAnsi="Times New Roman"/>
          <w:sz w:val="24"/>
          <w:szCs w:val="24"/>
          <w:vertAlign w:val="superscript"/>
        </w:rPr>
        <w:t>2</w:t>
      </w:r>
      <w:r w:rsidRPr="00B02554">
        <w:rPr>
          <w:rFonts w:ascii="Times New Roman" w:eastAsia="BSGulliver" w:hAnsi="Times New Roman"/>
          <w:sz w:val="24"/>
          <w:szCs w:val="24"/>
        </w:rPr>
        <w:t xml:space="preserve">, Corina </w:t>
      </w:r>
      <w:proofErr w:type="spellStart"/>
      <w:r w:rsidRPr="00B02554">
        <w:rPr>
          <w:rFonts w:ascii="Times New Roman" w:eastAsia="BSGulliver" w:hAnsi="Times New Roman"/>
          <w:sz w:val="24"/>
          <w:szCs w:val="24"/>
        </w:rPr>
        <w:t>Andronescu</w:t>
      </w:r>
      <w:proofErr w:type="spellEnd"/>
      <w:r>
        <w:rPr>
          <w:rFonts w:ascii="Times New Roman" w:eastAsia="BSGulliver" w:hAnsi="Times New Roman"/>
          <w:sz w:val="24"/>
          <w:szCs w:val="24"/>
        </w:rPr>
        <w:t xml:space="preserve"> </w:t>
      </w:r>
      <w:r w:rsidRPr="00B51A8B">
        <w:rPr>
          <w:rFonts w:ascii="Times New Roman" w:eastAsia="BSGulliver" w:hAnsi="Times New Roman"/>
          <w:sz w:val="24"/>
          <w:szCs w:val="24"/>
          <w:vertAlign w:val="superscript"/>
        </w:rPr>
        <w:t>3</w:t>
      </w:r>
      <w:r w:rsidRPr="00B02554">
        <w:rPr>
          <w:rFonts w:ascii="Times New Roman" w:eastAsia="BSGulliver" w:hAnsi="Times New Roman"/>
          <w:sz w:val="24"/>
          <w:szCs w:val="24"/>
        </w:rPr>
        <w:t>, Isacco Gualandi</w:t>
      </w:r>
      <w:r>
        <w:rPr>
          <w:rFonts w:ascii="Times New Roman" w:eastAsia="BSGulliver" w:hAnsi="Times New Roman"/>
          <w:sz w:val="24"/>
          <w:szCs w:val="24"/>
        </w:rPr>
        <w:t xml:space="preserve"> </w:t>
      </w:r>
      <w:r>
        <w:rPr>
          <w:rFonts w:ascii="Times New Roman" w:eastAsia="BSGulliver" w:hAnsi="Times New Roman"/>
          <w:sz w:val="24"/>
          <w:szCs w:val="24"/>
          <w:vertAlign w:val="superscript"/>
        </w:rPr>
        <w:t>1</w:t>
      </w:r>
      <w:r w:rsidRPr="00B02554">
        <w:rPr>
          <w:rFonts w:ascii="Times New Roman" w:eastAsia="BSGulliver" w:hAnsi="Times New Roman"/>
          <w:sz w:val="24"/>
          <w:szCs w:val="24"/>
        </w:rPr>
        <w:t xml:space="preserve">, </w:t>
      </w:r>
      <w:r>
        <w:rPr>
          <w:rFonts w:ascii="Times New Roman" w:eastAsia="BSGulliver" w:hAnsi="Times New Roman"/>
          <w:sz w:val="24"/>
          <w:szCs w:val="24"/>
        </w:rPr>
        <w:t xml:space="preserve">Beatrice </w:t>
      </w:r>
      <w:proofErr w:type="spellStart"/>
      <w:r>
        <w:rPr>
          <w:rFonts w:ascii="Times New Roman" w:eastAsia="BSGulliver" w:hAnsi="Times New Roman"/>
          <w:sz w:val="24"/>
          <w:szCs w:val="24"/>
        </w:rPr>
        <w:t>Fraboni</w:t>
      </w:r>
      <w:proofErr w:type="spellEnd"/>
      <w:r>
        <w:rPr>
          <w:rFonts w:ascii="Times New Roman" w:eastAsia="BSGulliver" w:hAnsi="Times New Roman"/>
          <w:sz w:val="24"/>
          <w:szCs w:val="24"/>
        </w:rPr>
        <w:t xml:space="preserve"> </w:t>
      </w:r>
      <w:r>
        <w:rPr>
          <w:rFonts w:ascii="Times New Roman" w:eastAsia="BSGulliver" w:hAnsi="Times New Roman"/>
          <w:sz w:val="24"/>
          <w:szCs w:val="24"/>
          <w:vertAlign w:val="superscript"/>
        </w:rPr>
        <w:t>4</w:t>
      </w:r>
      <w:r>
        <w:rPr>
          <w:rFonts w:ascii="Times New Roman" w:eastAsia="BSGulliver" w:hAnsi="Times New Roman"/>
          <w:sz w:val="24"/>
          <w:szCs w:val="24"/>
        </w:rPr>
        <w:t xml:space="preserve">, </w:t>
      </w:r>
      <w:r w:rsidRPr="00B02554">
        <w:rPr>
          <w:rFonts w:ascii="Times New Roman" w:eastAsia="BSGulliver" w:hAnsi="Times New Roman"/>
          <w:sz w:val="24"/>
          <w:szCs w:val="24"/>
        </w:rPr>
        <w:t>Domenica Tonelli</w:t>
      </w:r>
      <w:r>
        <w:rPr>
          <w:rFonts w:ascii="Times New Roman" w:eastAsia="BSGulliver" w:hAnsi="Times New Roman"/>
          <w:sz w:val="24"/>
          <w:szCs w:val="24"/>
        </w:rPr>
        <w:t xml:space="preserve"> </w:t>
      </w:r>
      <w:r>
        <w:rPr>
          <w:rFonts w:ascii="Times New Roman" w:eastAsia="BSGulliver" w:hAnsi="Times New Roman"/>
          <w:sz w:val="24"/>
          <w:szCs w:val="24"/>
          <w:vertAlign w:val="superscript"/>
        </w:rPr>
        <w:t>1</w:t>
      </w:r>
      <w:r w:rsidRPr="00B02554">
        <w:rPr>
          <w:rFonts w:ascii="Times New Roman" w:eastAsia="BSGulliver" w:hAnsi="Times New Roman"/>
          <w:sz w:val="24"/>
          <w:szCs w:val="24"/>
        </w:rPr>
        <w:t xml:space="preserve">, Erika </w:t>
      </w:r>
      <w:proofErr w:type="spellStart"/>
      <w:r w:rsidRPr="00B02554">
        <w:rPr>
          <w:rFonts w:ascii="Times New Roman" w:eastAsia="BSGulliver" w:hAnsi="Times New Roman"/>
          <w:sz w:val="24"/>
          <w:szCs w:val="24"/>
        </w:rPr>
        <w:t>Scavetta</w:t>
      </w:r>
      <w:proofErr w:type="spellEnd"/>
      <w:r>
        <w:rPr>
          <w:rFonts w:ascii="Times New Roman" w:eastAsia="BSGulliver" w:hAnsi="Times New Roman"/>
          <w:sz w:val="24"/>
          <w:szCs w:val="24"/>
        </w:rPr>
        <w:t xml:space="preserve"> </w:t>
      </w:r>
      <w:proofErr w:type="gramStart"/>
      <w:r>
        <w:rPr>
          <w:rFonts w:ascii="Times New Roman" w:eastAsia="BSGulliver" w:hAnsi="Times New Roman"/>
          <w:sz w:val="24"/>
          <w:szCs w:val="24"/>
          <w:vertAlign w:val="superscript"/>
        </w:rPr>
        <w:t>1,*</w:t>
      </w:r>
      <w:proofErr w:type="gramEnd"/>
      <w:r w:rsidRPr="00B02554">
        <w:rPr>
          <w:rFonts w:ascii="Times New Roman" w:eastAsia="BSGulliver" w:hAnsi="Times New Roman"/>
          <w:sz w:val="24"/>
          <w:szCs w:val="24"/>
        </w:rPr>
        <w:t xml:space="preserve">, Wolfgang </w:t>
      </w:r>
      <w:proofErr w:type="spellStart"/>
      <w:r w:rsidRPr="00B02554">
        <w:rPr>
          <w:rFonts w:ascii="Times New Roman" w:eastAsia="BSGulliver" w:hAnsi="Times New Roman"/>
          <w:sz w:val="24"/>
          <w:szCs w:val="24"/>
        </w:rPr>
        <w:t>Schuhmann</w:t>
      </w:r>
      <w:proofErr w:type="spellEnd"/>
      <w:r>
        <w:rPr>
          <w:rFonts w:ascii="Times New Roman" w:eastAsia="BSGulliver" w:hAnsi="Times New Roman"/>
          <w:sz w:val="24"/>
          <w:szCs w:val="24"/>
        </w:rPr>
        <w:t xml:space="preserve"> </w:t>
      </w:r>
      <w:bookmarkEnd w:id="1"/>
      <w:r>
        <w:rPr>
          <w:rFonts w:ascii="Times New Roman" w:eastAsia="BSGulliver" w:hAnsi="Times New Roman"/>
          <w:sz w:val="24"/>
          <w:szCs w:val="24"/>
          <w:vertAlign w:val="superscript"/>
        </w:rPr>
        <w:t>2,</w:t>
      </w:r>
      <w:r>
        <w:rPr>
          <w:rFonts w:ascii="Times New Roman" w:eastAsia="BSGulliver" w:hAnsi="Times New Roman"/>
          <w:sz w:val="24"/>
          <w:szCs w:val="24"/>
        </w:rPr>
        <w:t>*</w:t>
      </w:r>
    </w:p>
    <w:p w14:paraId="71DB5950" w14:textId="77777777" w:rsidR="006144F2" w:rsidRDefault="006144F2" w:rsidP="006144F2">
      <w:pPr>
        <w:autoSpaceDE w:val="0"/>
        <w:autoSpaceDN w:val="0"/>
        <w:adjustRightInd w:val="0"/>
        <w:spacing w:after="0" w:line="360" w:lineRule="auto"/>
        <w:jc w:val="both"/>
        <w:rPr>
          <w:rFonts w:ascii="Times New Roman" w:eastAsia="BSGulliver" w:hAnsi="Times New Roman"/>
          <w:sz w:val="24"/>
          <w:szCs w:val="24"/>
          <w:vertAlign w:val="superscript"/>
        </w:rPr>
      </w:pPr>
    </w:p>
    <w:p w14:paraId="06FE37AB" w14:textId="77777777" w:rsidR="006144F2" w:rsidRPr="002C2885" w:rsidRDefault="006144F2" w:rsidP="006144F2">
      <w:pPr>
        <w:pStyle w:val="Addresses"/>
        <w:spacing w:line="480" w:lineRule="auto"/>
        <w:jc w:val="both"/>
        <w:rPr>
          <w:lang w:val="it-IT"/>
        </w:rPr>
      </w:pPr>
      <w:r>
        <w:rPr>
          <w:vertAlign w:val="superscript"/>
          <w:lang w:val="it-IT"/>
        </w:rPr>
        <w:t xml:space="preserve">1 </w:t>
      </w:r>
      <w:r w:rsidRPr="00D1015C">
        <w:rPr>
          <w:lang w:val="it-IT"/>
        </w:rPr>
        <w:t>Dipartimento di Chimica Industriale “Toso Montanari”, Università di Bologna, Viale</w:t>
      </w:r>
      <w:r>
        <w:rPr>
          <w:lang w:val="it-IT"/>
        </w:rPr>
        <w:t xml:space="preserve"> del </w:t>
      </w:r>
      <w:r w:rsidRPr="00D1015C">
        <w:rPr>
          <w:lang w:val="it-IT"/>
        </w:rPr>
        <w:t xml:space="preserve">Risorgimento 4, 40136 Bologna, </w:t>
      </w:r>
      <w:proofErr w:type="spellStart"/>
      <w:r w:rsidRPr="00D1015C">
        <w:rPr>
          <w:lang w:val="it-IT"/>
        </w:rPr>
        <w:t>Italy</w:t>
      </w:r>
      <w:proofErr w:type="spellEnd"/>
      <w:r>
        <w:rPr>
          <w:lang w:val="it-IT"/>
        </w:rPr>
        <w:t>.</w:t>
      </w:r>
    </w:p>
    <w:p w14:paraId="61AA5A49" w14:textId="77777777" w:rsidR="006144F2" w:rsidRDefault="006144F2" w:rsidP="006144F2">
      <w:pPr>
        <w:pStyle w:val="Addresses"/>
        <w:spacing w:line="480" w:lineRule="auto"/>
        <w:jc w:val="both"/>
        <w:rPr>
          <w:rStyle w:val="country"/>
          <w:lang w:val="en-GB"/>
        </w:rPr>
      </w:pPr>
      <w:r>
        <w:rPr>
          <w:vertAlign w:val="superscript"/>
          <w:lang w:val="en-GB"/>
        </w:rPr>
        <w:t>2</w:t>
      </w:r>
      <w:r>
        <w:rPr>
          <w:lang w:val="en-GB"/>
        </w:rPr>
        <w:t xml:space="preserve"> </w:t>
      </w:r>
      <w:r w:rsidRPr="00D1015C">
        <w:rPr>
          <w:lang w:val="en-GB"/>
        </w:rPr>
        <w:t xml:space="preserve">Analytical Chemistry - </w:t>
      </w:r>
      <w:proofErr w:type="spellStart"/>
      <w:r w:rsidRPr="00D1015C">
        <w:rPr>
          <w:lang w:val="en-GB"/>
        </w:rPr>
        <w:t>Center</w:t>
      </w:r>
      <w:proofErr w:type="spellEnd"/>
      <w:r w:rsidRPr="00D1015C">
        <w:rPr>
          <w:lang w:val="en-GB"/>
        </w:rPr>
        <w:t xml:space="preserve"> for Electrochemical Sciences (CES), </w:t>
      </w:r>
      <w:r>
        <w:rPr>
          <w:lang w:val="en-GB"/>
        </w:rPr>
        <w:t xml:space="preserve">Faculty of Chemistry and Biochemistry, </w:t>
      </w:r>
      <w:r w:rsidRPr="00D1015C">
        <w:rPr>
          <w:rStyle w:val="institution"/>
          <w:lang w:val="en-GB"/>
        </w:rPr>
        <w:t>Ruhr</w:t>
      </w:r>
      <w:r>
        <w:rPr>
          <w:rStyle w:val="institution"/>
          <w:lang w:val="en-GB"/>
        </w:rPr>
        <w:t xml:space="preserve"> </w:t>
      </w:r>
      <w:r w:rsidRPr="00D1015C">
        <w:rPr>
          <w:rStyle w:val="institution"/>
          <w:lang w:val="en-GB"/>
        </w:rPr>
        <w:t>Universit</w:t>
      </w:r>
      <w:r>
        <w:rPr>
          <w:rStyle w:val="institution"/>
          <w:lang w:val="en-GB"/>
        </w:rPr>
        <w:t>y</w:t>
      </w:r>
      <w:r w:rsidRPr="00D1015C">
        <w:rPr>
          <w:rStyle w:val="institution"/>
          <w:lang w:val="en-GB"/>
        </w:rPr>
        <w:t xml:space="preserve"> Bochum</w:t>
      </w:r>
      <w:r w:rsidRPr="00D1015C">
        <w:rPr>
          <w:lang w:val="en-GB"/>
        </w:rPr>
        <w:t xml:space="preserve">, </w:t>
      </w:r>
      <w:proofErr w:type="spellStart"/>
      <w:r w:rsidRPr="00D1015C">
        <w:rPr>
          <w:lang w:val="en-GB"/>
        </w:rPr>
        <w:t>Universitätsstraße</w:t>
      </w:r>
      <w:proofErr w:type="spellEnd"/>
      <w:r w:rsidRPr="00D1015C">
        <w:rPr>
          <w:lang w:val="en-GB"/>
        </w:rPr>
        <w:t xml:space="preserve"> 150, 44780 Bochum, </w:t>
      </w:r>
      <w:r w:rsidRPr="00D1015C">
        <w:rPr>
          <w:rStyle w:val="country"/>
          <w:lang w:val="en-GB"/>
        </w:rPr>
        <w:t>Germany.</w:t>
      </w:r>
    </w:p>
    <w:p w14:paraId="5F568114" w14:textId="77777777" w:rsidR="006144F2" w:rsidRPr="00B51A8B" w:rsidRDefault="006144F2" w:rsidP="006144F2">
      <w:pPr>
        <w:pStyle w:val="Addresses"/>
        <w:spacing w:line="480" w:lineRule="auto"/>
        <w:jc w:val="both"/>
        <w:rPr>
          <w:rStyle w:val="country"/>
          <w:lang w:val="it-IT"/>
        </w:rPr>
      </w:pPr>
      <w:r>
        <w:rPr>
          <w:vertAlign w:val="superscript"/>
          <w:lang w:val="en-GB"/>
        </w:rPr>
        <w:t>3</w:t>
      </w:r>
      <w:r>
        <w:rPr>
          <w:lang w:val="en-GB"/>
        </w:rPr>
        <w:t xml:space="preserve"> Chemical Technology III, Faculty of Chemistry and </w:t>
      </w:r>
      <w:proofErr w:type="spellStart"/>
      <w:r>
        <w:rPr>
          <w:lang w:val="en-GB"/>
        </w:rPr>
        <w:t>Center</w:t>
      </w:r>
      <w:proofErr w:type="spellEnd"/>
      <w:r>
        <w:rPr>
          <w:lang w:val="en-GB"/>
        </w:rPr>
        <w:t xml:space="preserve"> for </w:t>
      </w:r>
      <w:proofErr w:type="spellStart"/>
      <w:r>
        <w:rPr>
          <w:lang w:val="en-GB"/>
        </w:rPr>
        <w:t>Nanointegration</w:t>
      </w:r>
      <w:proofErr w:type="spellEnd"/>
      <w:r>
        <w:rPr>
          <w:lang w:val="en-GB"/>
        </w:rPr>
        <w:t xml:space="preserve"> (CENIDE); University Duisburg Essen, </w:t>
      </w:r>
      <w:r w:rsidRPr="006953D2">
        <w:rPr>
          <w:lang w:val="en-GB"/>
        </w:rPr>
        <w:t xml:space="preserve">Carl-Benz-Str. </w:t>
      </w:r>
      <w:r w:rsidRPr="00B51A8B">
        <w:rPr>
          <w:lang w:val="it-IT"/>
        </w:rPr>
        <w:t>201, D-47057, Duisburg, Germany</w:t>
      </w:r>
      <w:r w:rsidRPr="00B51A8B">
        <w:rPr>
          <w:rStyle w:val="country"/>
          <w:lang w:val="it-IT"/>
        </w:rPr>
        <w:t>.</w:t>
      </w:r>
    </w:p>
    <w:p w14:paraId="14A2BEF3" w14:textId="77777777" w:rsidR="006144F2" w:rsidRDefault="006144F2" w:rsidP="006144F2">
      <w:pPr>
        <w:pStyle w:val="Paragraph"/>
        <w:spacing w:before="0" w:line="480" w:lineRule="auto"/>
        <w:ind w:firstLine="0"/>
        <w:jc w:val="both"/>
        <w:rPr>
          <w:lang w:val="it-IT"/>
        </w:rPr>
      </w:pPr>
      <w:r>
        <w:rPr>
          <w:rStyle w:val="institution"/>
          <w:vertAlign w:val="superscript"/>
          <w:lang w:val="it-IT"/>
        </w:rPr>
        <w:t>4</w:t>
      </w:r>
      <w:r>
        <w:rPr>
          <w:rStyle w:val="institution"/>
          <w:lang w:val="it-IT"/>
        </w:rPr>
        <w:t xml:space="preserve"> </w:t>
      </w:r>
      <w:r w:rsidRPr="00A51256">
        <w:rPr>
          <w:rStyle w:val="institution"/>
          <w:lang w:val="it-IT"/>
        </w:rPr>
        <w:t>Dipartimento</w:t>
      </w:r>
      <w:r w:rsidRPr="00D1015C">
        <w:rPr>
          <w:rStyle w:val="institution"/>
          <w:lang w:val="it-IT"/>
        </w:rPr>
        <w:t xml:space="preserve"> di Fisica e Astronomia</w:t>
      </w:r>
      <w:r w:rsidRPr="00D1015C">
        <w:rPr>
          <w:lang w:val="it-IT"/>
        </w:rPr>
        <w:t xml:space="preserve">, </w:t>
      </w:r>
      <w:r w:rsidRPr="00D1015C">
        <w:rPr>
          <w:rStyle w:val="institution"/>
          <w:lang w:val="it-IT"/>
        </w:rPr>
        <w:t>Università di Bologna</w:t>
      </w:r>
      <w:r w:rsidRPr="00D1015C">
        <w:rPr>
          <w:lang w:val="it-IT"/>
        </w:rPr>
        <w:t xml:space="preserve">, </w:t>
      </w:r>
      <w:r w:rsidRPr="00D1015C">
        <w:rPr>
          <w:rStyle w:val="addr-line"/>
          <w:lang w:val="it-IT"/>
        </w:rPr>
        <w:t xml:space="preserve">Viale Berti </w:t>
      </w:r>
      <w:proofErr w:type="spellStart"/>
      <w:r w:rsidRPr="00D1015C">
        <w:rPr>
          <w:rStyle w:val="addr-line"/>
          <w:lang w:val="it-IT"/>
        </w:rPr>
        <w:t>Pichat</w:t>
      </w:r>
      <w:proofErr w:type="spellEnd"/>
      <w:r w:rsidRPr="00D1015C">
        <w:rPr>
          <w:rStyle w:val="addr-line"/>
          <w:lang w:val="it-IT"/>
        </w:rPr>
        <w:t xml:space="preserve"> 6/2</w:t>
      </w:r>
      <w:r w:rsidRPr="00D1015C">
        <w:rPr>
          <w:lang w:val="it-IT"/>
        </w:rPr>
        <w:t xml:space="preserve">, 40127 Bologna, </w:t>
      </w:r>
      <w:proofErr w:type="spellStart"/>
      <w:r w:rsidRPr="00D1015C">
        <w:rPr>
          <w:rStyle w:val="country"/>
          <w:lang w:val="it-IT"/>
        </w:rPr>
        <w:t>Italy</w:t>
      </w:r>
      <w:proofErr w:type="spellEnd"/>
      <w:r>
        <w:rPr>
          <w:rStyle w:val="country"/>
          <w:lang w:val="it-IT"/>
        </w:rPr>
        <w:t>.</w:t>
      </w:r>
    </w:p>
    <w:p w14:paraId="42842C38" w14:textId="77777777" w:rsidR="006144F2" w:rsidRDefault="006144F2" w:rsidP="006144F2">
      <w:pPr>
        <w:pStyle w:val="Paragraph"/>
        <w:spacing w:before="0" w:line="360" w:lineRule="auto"/>
        <w:ind w:firstLine="0"/>
        <w:jc w:val="both"/>
        <w:rPr>
          <w:lang w:val="en-GB"/>
        </w:rPr>
      </w:pPr>
      <w:r w:rsidRPr="00A51256">
        <w:rPr>
          <w:lang w:val="en-GB"/>
        </w:rPr>
        <w:t>* Corresponding author</w:t>
      </w:r>
      <w:r>
        <w:rPr>
          <w:lang w:val="en-GB"/>
        </w:rPr>
        <w:t>s</w:t>
      </w:r>
      <w:r w:rsidRPr="00A51256">
        <w:rPr>
          <w:lang w:val="en-GB"/>
        </w:rPr>
        <w:t xml:space="preserve">. </w:t>
      </w:r>
      <w:r w:rsidRPr="00D62D57">
        <w:t>erika.scavetta2@unibo.it</w:t>
      </w:r>
      <w:r>
        <w:rPr>
          <w:lang w:val="en-GB"/>
        </w:rPr>
        <w:t xml:space="preserve">; </w:t>
      </w:r>
      <w:r w:rsidRPr="00A51256">
        <w:rPr>
          <w:lang w:val="en-GB"/>
        </w:rPr>
        <w:t>wolfgang.schuhmann@rub.de</w:t>
      </w:r>
    </w:p>
    <w:p w14:paraId="12DC6ACA" w14:textId="77777777" w:rsidR="006144F2" w:rsidRDefault="006144F2">
      <w:pPr>
        <w:spacing w:after="160" w:line="259" w:lineRule="auto"/>
        <w:rPr>
          <w:rFonts w:ascii="Times New Roman" w:eastAsiaTheme="minorHAnsi" w:hAnsi="Times New Roman"/>
          <w:b/>
          <w:bCs/>
          <w:w w:val="108"/>
          <w:sz w:val="24"/>
          <w:szCs w:val="24"/>
          <w:lang w:val="en-GB"/>
        </w:rPr>
      </w:pPr>
      <w:r>
        <w:rPr>
          <w:rFonts w:ascii="Times New Roman" w:hAnsi="Times New Roman"/>
          <w:bCs/>
          <w:w w:val="108"/>
          <w:sz w:val="24"/>
          <w:szCs w:val="24"/>
        </w:rPr>
        <w:br w:type="page"/>
      </w:r>
    </w:p>
    <w:p w14:paraId="704AD98F" w14:textId="2CF981FA" w:rsidR="00D51701" w:rsidRDefault="00D51701" w:rsidP="00D51701">
      <w:pPr>
        <w:pStyle w:val="RSCB06BHeadingSub-Section"/>
        <w:spacing w:after="200" w:line="480" w:lineRule="auto"/>
        <w:jc w:val="both"/>
        <w:rPr>
          <w:rFonts w:ascii="Times New Roman" w:hAnsi="Times New Roman"/>
          <w:b w:val="0"/>
          <w:bCs/>
          <w:w w:val="108"/>
          <w:sz w:val="24"/>
          <w:szCs w:val="24"/>
        </w:rPr>
      </w:pPr>
      <w:r w:rsidRPr="00877EF4">
        <w:rPr>
          <w:rFonts w:ascii="Times New Roman" w:hAnsi="Times New Roman" w:cs="Times New Roman"/>
          <w:bCs/>
          <w:w w:val="108"/>
          <w:sz w:val="24"/>
          <w:szCs w:val="24"/>
        </w:rPr>
        <w:lastRenderedPageBreak/>
        <w:t>Nanoelectrodes fabrication.</w:t>
      </w:r>
      <w:r w:rsidRPr="00877EF4">
        <w:rPr>
          <w:rFonts w:ascii="Times New Roman" w:hAnsi="Times New Roman" w:cs="Times New Roman"/>
          <w:b w:val="0"/>
          <w:w w:val="108"/>
          <w:sz w:val="24"/>
          <w:szCs w:val="24"/>
        </w:rPr>
        <w:t xml:space="preserve"> For the fabrication of </w:t>
      </w:r>
      <w:r w:rsidRPr="00877EF4">
        <w:rPr>
          <w:rFonts w:ascii="Times New Roman" w:hAnsi="Times New Roman"/>
          <w:b w:val="0"/>
          <w:bCs/>
          <w:w w:val="108"/>
          <w:sz w:val="24"/>
          <w:szCs w:val="24"/>
        </w:rPr>
        <w:t>nanopipettes, single- and double-barrel quartz theta capillaries (outer diameter 1.2 mm, internal diameter 0.9 mm, Sutter Instruments) were pulled with a P-2000 laser puller (Sutter Instruments) using the following parameters:</w:t>
      </w:r>
    </w:p>
    <w:p w14:paraId="71EEC47D" w14:textId="77777777" w:rsidR="006144F2" w:rsidRPr="006E7952" w:rsidRDefault="006144F2" w:rsidP="006144F2">
      <w:pPr>
        <w:pStyle w:val="RSCB06BHeadingSub-Section"/>
        <w:spacing w:after="200" w:line="480" w:lineRule="auto"/>
        <w:jc w:val="center"/>
        <w:rPr>
          <w:rFonts w:ascii="Times New Roman" w:hAnsi="Times New Roman"/>
          <w:b w:val="0"/>
          <w:bCs/>
          <w:w w:val="108"/>
          <w:sz w:val="20"/>
          <w:szCs w:val="20"/>
        </w:rPr>
      </w:pPr>
      <w:r w:rsidRPr="00877EF4">
        <w:rPr>
          <w:rFonts w:ascii="Times New Roman" w:hAnsi="Times New Roman"/>
          <w:w w:val="108"/>
          <w:sz w:val="20"/>
          <w:szCs w:val="20"/>
        </w:rPr>
        <w:t>Table S1</w:t>
      </w:r>
      <w:r w:rsidRPr="00877EF4">
        <w:rPr>
          <w:rFonts w:ascii="Times New Roman" w:hAnsi="Times New Roman"/>
          <w:b w:val="0"/>
          <w:bCs/>
          <w:w w:val="108"/>
          <w:sz w:val="20"/>
          <w:szCs w:val="20"/>
        </w:rPr>
        <w:t>.</w:t>
      </w:r>
      <w:r w:rsidRPr="006E7952">
        <w:rPr>
          <w:rFonts w:ascii="Times New Roman" w:hAnsi="Times New Roman"/>
          <w:b w:val="0"/>
          <w:bCs/>
          <w:w w:val="108"/>
          <w:sz w:val="20"/>
          <w:szCs w:val="20"/>
        </w:rPr>
        <w:t xml:space="preserve"> Pulling parameters optimized for double- and single-barrel nanopipettes fabrication.</w:t>
      </w:r>
    </w:p>
    <w:tbl>
      <w:tblPr>
        <w:tblStyle w:val="Tabellenraster"/>
        <w:tblW w:w="0" w:type="auto"/>
        <w:jc w:val="center"/>
        <w:tblLook w:val="04A0" w:firstRow="1" w:lastRow="0" w:firstColumn="1" w:lastColumn="0" w:noHBand="0" w:noVBand="1"/>
      </w:tblPr>
      <w:tblGrid>
        <w:gridCol w:w="1547"/>
        <w:gridCol w:w="1125"/>
        <w:gridCol w:w="1090"/>
        <w:gridCol w:w="1254"/>
        <w:gridCol w:w="1255"/>
        <w:gridCol w:w="1255"/>
      </w:tblGrid>
      <w:tr w:rsidR="00D51701" w:rsidRPr="006E7952" w14:paraId="245AFBF9" w14:textId="77777777" w:rsidTr="0051075C">
        <w:trPr>
          <w:trHeight w:val="264"/>
          <w:jc w:val="center"/>
        </w:trPr>
        <w:tc>
          <w:tcPr>
            <w:tcW w:w="1547" w:type="dxa"/>
          </w:tcPr>
          <w:p w14:paraId="028925EF" w14:textId="77777777" w:rsidR="00D51701" w:rsidRPr="006E7952" w:rsidRDefault="00D51701" w:rsidP="0051075C">
            <w:pPr>
              <w:autoSpaceDE w:val="0"/>
              <w:autoSpaceDN w:val="0"/>
              <w:adjustRightInd w:val="0"/>
              <w:spacing w:after="160" w:line="480" w:lineRule="auto"/>
              <w:jc w:val="center"/>
              <w:rPr>
                <w:rFonts w:ascii="Times New Roman" w:eastAsia="BSGulliver" w:hAnsi="Times New Roman"/>
                <w:sz w:val="20"/>
                <w:szCs w:val="20"/>
                <w:lang w:val="en-GB"/>
              </w:rPr>
            </w:pPr>
            <w:r w:rsidRPr="006E7952">
              <w:rPr>
                <w:rFonts w:ascii="Times New Roman" w:eastAsia="BSGulliver" w:hAnsi="Times New Roman"/>
                <w:sz w:val="20"/>
                <w:szCs w:val="20"/>
                <w:lang w:val="en-GB"/>
              </w:rPr>
              <w:t>Type</w:t>
            </w:r>
          </w:p>
        </w:tc>
        <w:tc>
          <w:tcPr>
            <w:tcW w:w="1125" w:type="dxa"/>
          </w:tcPr>
          <w:p w14:paraId="6280F35A" w14:textId="77777777" w:rsidR="00D51701" w:rsidRPr="006E7952" w:rsidRDefault="00D51701" w:rsidP="0051075C">
            <w:pPr>
              <w:autoSpaceDE w:val="0"/>
              <w:autoSpaceDN w:val="0"/>
              <w:adjustRightInd w:val="0"/>
              <w:spacing w:after="160" w:line="480" w:lineRule="auto"/>
              <w:jc w:val="center"/>
              <w:rPr>
                <w:rFonts w:ascii="Times New Roman" w:eastAsia="BSGulliver" w:hAnsi="Times New Roman"/>
                <w:sz w:val="20"/>
                <w:szCs w:val="20"/>
                <w:lang w:val="en-GB"/>
              </w:rPr>
            </w:pPr>
            <w:r w:rsidRPr="006E7952">
              <w:rPr>
                <w:rFonts w:ascii="Times New Roman" w:eastAsia="BSGulliver" w:hAnsi="Times New Roman"/>
                <w:sz w:val="20"/>
                <w:szCs w:val="20"/>
                <w:lang w:val="en-GB"/>
              </w:rPr>
              <w:t>Heat</w:t>
            </w:r>
          </w:p>
        </w:tc>
        <w:tc>
          <w:tcPr>
            <w:tcW w:w="1090" w:type="dxa"/>
          </w:tcPr>
          <w:p w14:paraId="0804A003" w14:textId="77777777" w:rsidR="00D51701" w:rsidRPr="006E7952" w:rsidRDefault="00D51701" w:rsidP="0051075C">
            <w:pPr>
              <w:autoSpaceDE w:val="0"/>
              <w:autoSpaceDN w:val="0"/>
              <w:adjustRightInd w:val="0"/>
              <w:spacing w:after="160" w:line="480" w:lineRule="auto"/>
              <w:jc w:val="center"/>
              <w:rPr>
                <w:rFonts w:ascii="Times New Roman" w:eastAsia="BSGulliver" w:hAnsi="Times New Roman"/>
                <w:sz w:val="20"/>
                <w:szCs w:val="20"/>
                <w:lang w:val="en-GB"/>
              </w:rPr>
            </w:pPr>
            <w:r w:rsidRPr="006E7952">
              <w:rPr>
                <w:rFonts w:ascii="Times New Roman" w:eastAsia="BSGulliver" w:hAnsi="Times New Roman"/>
                <w:sz w:val="20"/>
                <w:szCs w:val="20"/>
                <w:lang w:val="en-GB"/>
              </w:rPr>
              <w:t>Filament</w:t>
            </w:r>
          </w:p>
        </w:tc>
        <w:tc>
          <w:tcPr>
            <w:tcW w:w="1254" w:type="dxa"/>
          </w:tcPr>
          <w:p w14:paraId="347B552D" w14:textId="77777777" w:rsidR="00D51701" w:rsidRPr="006E7952" w:rsidRDefault="00D51701" w:rsidP="0051075C">
            <w:pPr>
              <w:autoSpaceDE w:val="0"/>
              <w:autoSpaceDN w:val="0"/>
              <w:adjustRightInd w:val="0"/>
              <w:spacing w:after="160" w:line="480" w:lineRule="auto"/>
              <w:jc w:val="center"/>
              <w:rPr>
                <w:rFonts w:ascii="Times New Roman" w:eastAsia="BSGulliver" w:hAnsi="Times New Roman"/>
                <w:sz w:val="20"/>
                <w:szCs w:val="20"/>
                <w:lang w:val="en-GB"/>
              </w:rPr>
            </w:pPr>
            <w:r w:rsidRPr="006E7952">
              <w:rPr>
                <w:rFonts w:ascii="Times New Roman" w:eastAsia="BSGulliver" w:hAnsi="Times New Roman"/>
                <w:sz w:val="20"/>
                <w:szCs w:val="20"/>
                <w:lang w:val="en-GB"/>
              </w:rPr>
              <w:t>Velocity</w:t>
            </w:r>
          </w:p>
        </w:tc>
        <w:tc>
          <w:tcPr>
            <w:tcW w:w="1255" w:type="dxa"/>
          </w:tcPr>
          <w:p w14:paraId="7A7F8120" w14:textId="77777777" w:rsidR="00D51701" w:rsidRPr="006E7952" w:rsidRDefault="00D51701" w:rsidP="0051075C">
            <w:pPr>
              <w:autoSpaceDE w:val="0"/>
              <w:autoSpaceDN w:val="0"/>
              <w:adjustRightInd w:val="0"/>
              <w:spacing w:after="160" w:line="480" w:lineRule="auto"/>
              <w:jc w:val="center"/>
              <w:rPr>
                <w:rFonts w:ascii="Times New Roman" w:eastAsia="BSGulliver" w:hAnsi="Times New Roman"/>
                <w:sz w:val="20"/>
                <w:szCs w:val="20"/>
                <w:lang w:val="en-GB"/>
              </w:rPr>
            </w:pPr>
            <w:r w:rsidRPr="006E7952">
              <w:rPr>
                <w:rFonts w:ascii="Times New Roman" w:eastAsia="BSGulliver" w:hAnsi="Times New Roman"/>
                <w:sz w:val="20"/>
                <w:szCs w:val="20"/>
                <w:lang w:val="en-GB"/>
              </w:rPr>
              <w:t>Delay</w:t>
            </w:r>
          </w:p>
        </w:tc>
        <w:tc>
          <w:tcPr>
            <w:tcW w:w="1255" w:type="dxa"/>
          </w:tcPr>
          <w:p w14:paraId="0889AA68" w14:textId="77777777" w:rsidR="00D51701" w:rsidRPr="006E7952" w:rsidRDefault="00D51701" w:rsidP="0051075C">
            <w:pPr>
              <w:autoSpaceDE w:val="0"/>
              <w:autoSpaceDN w:val="0"/>
              <w:adjustRightInd w:val="0"/>
              <w:spacing w:after="160" w:line="480" w:lineRule="auto"/>
              <w:jc w:val="center"/>
              <w:rPr>
                <w:rFonts w:ascii="Times New Roman" w:eastAsia="BSGulliver" w:hAnsi="Times New Roman"/>
                <w:sz w:val="20"/>
                <w:szCs w:val="20"/>
                <w:lang w:val="en-GB"/>
              </w:rPr>
            </w:pPr>
            <w:r w:rsidRPr="006E7952">
              <w:rPr>
                <w:rFonts w:ascii="Times New Roman" w:eastAsia="BSGulliver" w:hAnsi="Times New Roman"/>
                <w:sz w:val="20"/>
                <w:szCs w:val="20"/>
                <w:lang w:val="en-GB"/>
              </w:rPr>
              <w:t>Pull</w:t>
            </w:r>
          </w:p>
        </w:tc>
      </w:tr>
      <w:tr w:rsidR="00D51701" w:rsidRPr="006E7952" w14:paraId="3EAA1566" w14:textId="77777777" w:rsidTr="0051075C">
        <w:trPr>
          <w:trHeight w:val="264"/>
          <w:jc w:val="center"/>
        </w:trPr>
        <w:tc>
          <w:tcPr>
            <w:tcW w:w="1547" w:type="dxa"/>
          </w:tcPr>
          <w:p w14:paraId="51814F08" w14:textId="77777777" w:rsidR="00D51701" w:rsidRPr="00231814" w:rsidRDefault="00D51701" w:rsidP="0051075C">
            <w:pPr>
              <w:autoSpaceDE w:val="0"/>
              <w:autoSpaceDN w:val="0"/>
              <w:adjustRightInd w:val="0"/>
              <w:spacing w:after="160" w:line="480" w:lineRule="auto"/>
              <w:jc w:val="both"/>
              <w:rPr>
                <w:rFonts w:ascii="Times New Roman" w:eastAsia="BSGulliver" w:hAnsi="Times New Roman"/>
                <w:b/>
                <w:bCs/>
                <w:sz w:val="20"/>
                <w:szCs w:val="20"/>
                <w:lang w:val="en-GB"/>
              </w:rPr>
            </w:pPr>
            <w:r w:rsidRPr="00231814">
              <w:rPr>
                <w:rFonts w:ascii="Times New Roman" w:eastAsia="BSGulliver" w:hAnsi="Times New Roman"/>
                <w:b/>
                <w:bCs/>
                <w:sz w:val="20"/>
                <w:szCs w:val="20"/>
                <w:lang w:val="en-GB"/>
              </w:rPr>
              <w:t>Single Barrel</w:t>
            </w:r>
          </w:p>
        </w:tc>
        <w:tc>
          <w:tcPr>
            <w:tcW w:w="1125" w:type="dxa"/>
          </w:tcPr>
          <w:p w14:paraId="68C1BBFF" w14:textId="77777777" w:rsidR="00D51701" w:rsidRPr="006E7952" w:rsidRDefault="00D51701" w:rsidP="0051075C">
            <w:pPr>
              <w:autoSpaceDE w:val="0"/>
              <w:autoSpaceDN w:val="0"/>
              <w:adjustRightInd w:val="0"/>
              <w:spacing w:after="160" w:line="480" w:lineRule="auto"/>
              <w:jc w:val="both"/>
              <w:rPr>
                <w:rFonts w:ascii="Times New Roman" w:eastAsia="BSGulliver" w:hAnsi="Times New Roman"/>
                <w:sz w:val="20"/>
                <w:szCs w:val="20"/>
                <w:lang w:val="en-GB"/>
              </w:rPr>
            </w:pPr>
            <w:r w:rsidRPr="006E7952">
              <w:rPr>
                <w:rFonts w:ascii="Times New Roman" w:eastAsia="BSGulliver" w:hAnsi="Times New Roman"/>
                <w:sz w:val="20"/>
                <w:szCs w:val="20"/>
                <w:lang w:val="en-GB"/>
              </w:rPr>
              <w:t>800</w:t>
            </w:r>
          </w:p>
        </w:tc>
        <w:tc>
          <w:tcPr>
            <w:tcW w:w="1090" w:type="dxa"/>
          </w:tcPr>
          <w:p w14:paraId="6B561A86" w14:textId="77777777" w:rsidR="00D51701" w:rsidRPr="006E7952" w:rsidRDefault="00D51701" w:rsidP="0051075C">
            <w:pPr>
              <w:autoSpaceDE w:val="0"/>
              <w:autoSpaceDN w:val="0"/>
              <w:adjustRightInd w:val="0"/>
              <w:spacing w:after="160" w:line="480" w:lineRule="auto"/>
              <w:jc w:val="both"/>
              <w:rPr>
                <w:rFonts w:ascii="Times New Roman" w:eastAsia="BSGulliver" w:hAnsi="Times New Roman"/>
                <w:sz w:val="20"/>
                <w:szCs w:val="20"/>
                <w:lang w:val="en-GB"/>
              </w:rPr>
            </w:pPr>
            <w:r w:rsidRPr="006E7952">
              <w:rPr>
                <w:rFonts w:ascii="Times New Roman" w:eastAsia="BSGulliver" w:hAnsi="Times New Roman"/>
                <w:sz w:val="20"/>
                <w:szCs w:val="20"/>
                <w:lang w:val="en-GB"/>
              </w:rPr>
              <w:t>4</w:t>
            </w:r>
          </w:p>
        </w:tc>
        <w:tc>
          <w:tcPr>
            <w:tcW w:w="1254" w:type="dxa"/>
          </w:tcPr>
          <w:p w14:paraId="61446E4E" w14:textId="77777777" w:rsidR="00D51701" w:rsidRPr="006E7952" w:rsidRDefault="00D51701" w:rsidP="0051075C">
            <w:pPr>
              <w:autoSpaceDE w:val="0"/>
              <w:autoSpaceDN w:val="0"/>
              <w:adjustRightInd w:val="0"/>
              <w:spacing w:after="160" w:line="480" w:lineRule="auto"/>
              <w:jc w:val="both"/>
              <w:rPr>
                <w:rFonts w:ascii="Times New Roman" w:eastAsia="BSGulliver" w:hAnsi="Times New Roman"/>
                <w:sz w:val="20"/>
                <w:szCs w:val="20"/>
                <w:lang w:val="en-GB"/>
              </w:rPr>
            </w:pPr>
            <w:r w:rsidRPr="006E7952">
              <w:rPr>
                <w:rFonts w:ascii="Times New Roman" w:eastAsia="BSGulliver" w:hAnsi="Times New Roman"/>
                <w:sz w:val="20"/>
                <w:szCs w:val="20"/>
                <w:lang w:val="en-GB"/>
              </w:rPr>
              <w:t>45</w:t>
            </w:r>
          </w:p>
        </w:tc>
        <w:tc>
          <w:tcPr>
            <w:tcW w:w="1255" w:type="dxa"/>
          </w:tcPr>
          <w:p w14:paraId="19488845" w14:textId="77777777" w:rsidR="00D51701" w:rsidRPr="006E7952" w:rsidRDefault="00D51701" w:rsidP="0051075C">
            <w:pPr>
              <w:autoSpaceDE w:val="0"/>
              <w:autoSpaceDN w:val="0"/>
              <w:adjustRightInd w:val="0"/>
              <w:spacing w:after="160" w:line="480" w:lineRule="auto"/>
              <w:jc w:val="both"/>
              <w:rPr>
                <w:rFonts w:ascii="Times New Roman" w:eastAsia="BSGulliver" w:hAnsi="Times New Roman"/>
                <w:sz w:val="20"/>
                <w:szCs w:val="20"/>
                <w:lang w:val="en-GB"/>
              </w:rPr>
            </w:pPr>
            <w:r w:rsidRPr="006E7952">
              <w:rPr>
                <w:rFonts w:ascii="Times New Roman" w:eastAsia="BSGulliver" w:hAnsi="Times New Roman"/>
                <w:sz w:val="20"/>
                <w:szCs w:val="20"/>
                <w:lang w:val="en-GB"/>
              </w:rPr>
              <w:t>130</w:t>
            </w:r>
          </w:p>
        </w:tc>
        <w:tc>
          <w:tcPr>
            <w:tcW w:w="1255" w:type="dxa"/>
          </w:tcPr>
          <w:p w14:paraId="0EA0820E" w14:textId="77777777" w:rsidR="00D51701" w:rsidRPr="006E7952" w:rsidRDefault="00D51701" w:rsidP="0051075C">
            <w:pPr>
              <w:autoSpaceDE w:val="0"/>
              <w:autoSpaceDN w:val="0"/>
              <w:adjustRightInd w:val="0"/>
              <w:spacing w:after="160" w:line="480" w:lineRule="auto"/>
              <w:jc w:val="both"/>
              <w:rPr>
                <w:rFonts w:ascii="Times New Roman" w:eastAsia="BSGulliver" w:hAnsi="Times New Roman"/>
                <w:sz w:val="20"/>
                <w:szCs w:val="20"/>
                <w:lang w:val="en-GB"/>
              </w:rPr>
            </w:pPr>
            <w:r w:rsidRPr="006E7952">
              <w:rPr>
                <w:rFonts w:ascii="Times New Roman" w:eastAsia="BSGulliver" w:hAnsi="Times New Roman"/>
                <w:sz w:val="20"/>
                <w:szCs w:val="20"/>
                <w:lang w:val="en-GB"/>
              </w:rPr>
              <w:t>90</w:t>
            </w:r>
          </w:p>
        </w:tc>
      </w:tr>
      <w:tr w:rsidR="00D51701" w:rsidRPr="006E7952" w14:paraId="5C08E5FE" w14:textId="77777777" w:rsidTr="0051075C">
        <w:trPr>
          <w:trHeight w:val="264"/>
          <w:jc w:val="center"/>
        </w:trPr>
        <w:tc>
          <w:tcPr>
            <w:tcW w:w="1547" w:type="dxa"/>
          </w:tcPr>
          <w:p w14:paraId="1E03BA61" w14:textId="77777777" w:rsidR="00D51701" w:rsidRPr="00231814" w:rsidRDefault="00D51701" w:rsidP="0051075C">
            <w:pPr>
              <w:autoSpaceDE w:val="0"/>
              <w:autoSpaceDN w:val="0"/>
              <w:adjustRightInd w:val="0"/>
              <w:spacing w:after="160" w:line="480" w:lineRule="auto"/>
              <w:jc w:val="both"/>
              <w:rPr>
                <w:rFonts w:ascii="Times New Roman" w:eastAsia="BSGulliver" w:hAnsi="Times New Roman"/>
                <w:b/>
                <w:bCs/>
                <w:sz w:val="20"/>
                <w:szCs w:val="20"/>
                <w:lang w:val="en-GB"/>
              </w:rPr>
            </w:pPr>
            <w:r w:rsidRPr="00231814">
              <w:rPr>
                <w:rFonts w:ascii="Times New Roman" w:eastAsia="BSGulliver" w:hAnsi="Times New Roman"/>
                <w:b/>
                <w:bCs/>
                <w:sz w:val="20"/>
                <w:szCs w:val="20"/>
                <w:lang w:val="en-GB"/>
              </w:rPr>
              <w:t>Double Barrel</w:t>
            </w:r>
          </w:p>
        </w:tc>
        <w:tc>
          <w:tcPr>
            <w:tcW w:w="1125" w:type="dxa"/>
          </w:tcPr>
          <w:p w14:paraId="1011EA4A" w14:textId="77777777" w:rsidR="00D51701" w:rsidRPr="006E7952" w:rsidRDefault="00D51701" w:rsidP="0051075C">
            <w:pPr>
              <w:autoSpaceDE w:val="0"/>
              <w:autoSpaceDN w:val="0"/>
              <w:adjustRightInd w:val="0"/>
              <w:spacing w:after="160" w:line="480" w:lineRule="auto"/>
              <w:jc w:val="both"/>
              <w:rPr>
                <w:rFonts w:ascii="Times New Roman" w:eastAsia="BSGulliver" w:hAnsi="Times New Roman"/>
                <w:sz w:val="20"/>
                <w:szCs w:val="20"/>
                <w:lang w:val="en-GB"/>
              </w:rPr>
            </w:pPr>
            <w:r w:rsidRPr="006E7952">
              <w:rPr>
                <w:rFonts w:ascii="Times New Roman" w:eastAsia="BSGulliver" w:hAnsi="Times New Roman"/>
                <w:sz w:val="20"/>
                <w:szCs w:val="20"/>
                <w:lang w:val="en-GB"/>
              </w:rPr>
              <w:t>800</w:t>
            </w:r>
          </w:p>
        </w:tc>
        <w:tc>
          <w:tcPr>
            <w:tcW w:w="1090" w:type="dxa"/>
          </w:tcPr>
          <w:p w14:paraId="1A55E490" w14:textId="77777777" w:rsidR="00D51701" w:rsidRPr="006E7952" w:rsidRDefault="00D51701" w:rsidP="0051075C">
            <w:pPr>
              <w:autoSpaceDE w:val="0"/>
              <w:autoSpaceDN w:val="0"/>
              <w:adjustRightInd w:val="0"/>
              <w:spacing w:after="160" w:line="480" w:lineRule="auto"/>
              <w:jc w:val="both"/>
              <w:rPr>
                <w:rFonts w:ascii="Times New Roman" w:eastAsia="BSGulliver" w:hAnsi="Times New Roman"/>
                <w:sz w:val="20"/>
                <w:szCs w:val="20"/>
                <w:lang w:val="en-GB"/>
              </w:rPr>
            </w:pPr>
            <w:r w:rsidRPr="006E7952">
              <w:rPr>
                <w:rFonts w:ascii="Times New Roman" w:eastAsia="BSGulliver" w:hAnsi="Times New Roman"/>
                <w:sz w:val="20"/>
                <w:szCs w:val="20"/>
                <w:lang w:val="en-GB"/>
              </w:rPr>
              <w:t>4</w:t>
            </w:r>
          </w:p>
        </w:tc>
        <w:tc>
          <w:tcPr>
            <w:tcW w:w="1254" w:type="dxa"/>
          </w:tcPr>
          <w:p w14:paraId="6C2E2D52" w14:textId="77777777" w:rsidR="00D51701" w:rsidRPr="006E7952" w:rsidRDefault="00D51701" w:rsidP="0051075C">
            <w:pPr>
              <w:autoSpaceDE w:val="0"/>
              <w:autoSpaceDN w:val="0"/>
              <w:adjustRightInd w:val="0"/>
              <w:spacing w:after="160" w:line="480" w:lineRule="auto"/>
              <w:jc w:val="both"/>
              <w:rPr>
                <w:rFonts w:ascii="Times New Roman" w:eastAsia="BSGulliver" w:hAnsi="Times New Roman"/>
                <w:sz w:val="20"/>
                <w:szCs w:val="20"/>
                <w:lang w:val="en-GB"/>
              </w:rPr>
            </w:pPr>
            <w:r w:rsidRPr="006E7952">
              <w:rPr>
                <w:rFonts w:ascii="Times New Roman" w:eastAsia="BSGulliver" w:hAnsi="Times New Roman"/>
                <w:sz w:val="20"/>
                <w:szCs w:val="20"/>
                <w:lang w:val="en-GB"/>
              </w:rPr>
              <w:t>45</w:t>
            </w:r>
          </w:p>
        </w:tc>
        <w:tc>
          <w:tcPr>
            <w:tcW w:w="1255" w:type="dxa"/>
          </w:tcPr>
          <w:p w14:paraId="428D87CB" w14:textId="77777777" w:rsidR="00D51701" w:rsidRPr="006E7952" w:rsidRDefault="00D51701" w:rsidP="0051075C">
            <w:pPr>
              <w:autoSpaceDE w:val="0"/>
              <w:autoSpaceDN w:val="0"/>
              <w:adjustRightInd w:val="0"/>
              <w:spacing w:after="160" w:line="480" w:lineRule="auto"/>
              <w:jc w:val="both"/>
              <w:rPr>
                <w:rFonts w:ascii="Times New Roman" w:eastAsia="BSGulliver" w:hAnsi="Times New Roman"/>
                <w:sz w:val="20"/>
                <w:szCs w:val="20"/>
                <w:lang w:val="en-GB"/>
              </w:rPr>
            </w:pPr>
            <w:r w:rsidRPr="006E7952">
              <w:rPr>
                <w:rFonts w:ascii="Times New Roman" w:eastAsia="BSGulliver" w:hAnsi="Times New Roman"/>
                <w:sz w:val="20"/>
                <w:szCs w:val="20"/>
                <w:lang w:val="en-GB"/>
              </w:rPr>
              <w:t>130</w:t>
            </w:r>
          </w:p>
        </w:tc>
        <w:tc>
          <w:tcPr>
            <w:tcW w:w="1255" w:type="dxa"/>
          </w:tcPr>
          <w:p w14:paraId="4A9F4AE4" w14:textId="77777777" w:rsidR="00D51701" w:rsidRPr="006E7952" w:rsidRDefault="00D51701" w:rsidP="0051075C">
            <w:pPr>
              <w:autoSpaceDE w:val="0"/>
              <w:autoSpaceDN w:val="0"/>
              <w:adjustRightInd w:val="0"/>
              <w:spacing w:after="160" w:line="480" w:lineRule="auto"/>
              <w:jc w:val="both"/>
              <w:rPr>
                <w:rFonts w:ascii="Times New Roman" w:eastAsia="BSGulliver" w:hAnsi="Times New Roman"/>
                <w:sz w:val="20"/>
                <w:szCs w:val="20"/>
                <w:lang w:val="en-GB"/>
              </w:rPr>
            </w:pPr>
            <w:r w:rsidRPr="006E7952">
              <w:rPr>
                <w:rFonts w:ascii="Times New Roman" w:eastAsia="BSGulliver" w:hAnsi="Times New Roman"/>
                <w:sz w:val="20"/>
                <w:szCs w:val="20"/>
                <w:lang w:val="en-GB"/>
              </w:rPr>
              <w:t>100</w:t>
            </w:r>
          </w:p>
        </w:tc>
      </w:tr>
    </w:tbl>
    <w:p w14:paraId="1FF2CA4E" w14:textId="77777777" w:rsidR="006144F2" w:rsidRDefault="006144F2" w:rsidP="00D51701">
      <w:pPr>
        <w:pStyle w:val="RSCB06BHeadingSub-Section"/>
        <w:spacing w:after="200" w:line="480" w:lineRule="auto"/>
        <w:jc w:val="both"/>
        <w:rPr>
          <w:rFonts w:ascii="Times New Roman" w:eastAsia="BSGulliver" w:hAnsi="Times New Roman" w:cs="Times New Roman"/>
          <w:b w:val="0"/>
          <w:bCs/>
          <w:sz w:val="24"/>
          <w:szCs w:val="24"/>
        </w:rPr>
      </w:pPr>
    </w:p>
    <w:p w14:paraId="3B392F1F" w14:textId="4047D9E5" w:rsidR="00D51701" w:rsidRDefault="00D51701" w:rsidP="00D51701">
      <w:pPr>
        <w:pStyle w:val="RSCB06BHeadingSub-Section"/>
        <w:spacing w:after="200" w:line="480" w:lineRule="auto"/>
        <w:jc w:val="both"/>
        <w:rPr>
          <w:rFonts w:ascii="Times New Roman" w:eastAsia="BSGulliver" w:hAnsi="Times New Roman" w:cs="Times New Roman"/>
          <w:b w:val="0"/>
          <w:bCs/>
          <w:color w:val="000000" w:themeColor="text1"/>
          <w:sz w:val="24"/>
          <w:szCs w:val="24"/>
        </w:rPr>
      </w:pPr>
      <w:r w:rsidRPr="00877EF4">
        <w:rPr>
          <w:rFonts w:ascii="Times New Roman" w:eastAsia="BSGulliver" w:hAnsi="Times New Roman" w:cs="Times New Roman"/>
          <w:b w:val="0"/>
          <w:bCs/>
          <w:sz w:val="24"/>
          <w:szCs w:val="24"/>
        </w:rPr>
        <w:t xml:space="preserve">as schematically illustrated in </w:t>
      </w:r>
      <w:r w:rsidRPr="00877EF4">
        <w:rPr>
          <w:rFonts w:ascii="Times New Roman" w:eastAsia="BSGulliver" w:hAnsi="Times New Roman" w:cs="Times New Roman"/>
          <w:sz w:val="24"/>
          <w:szCs w:val="24"/>
        </w:rPr>
        <w:t xml:space="preserve">Figure S1 </w:t>
      </w:r>
      <w:r w:rsidRPr="00877EF4">
        <w:rPr>
          <w:rFonts w:ascii="Times New Roman" w:eastAsia="BSGulliver" w:hAnsi="Times New Roman" w:cs="Times New Roman"/>
          <w:b w:val="0"/>
          <w:bCs/>
          <w:sz w:val="24"/>
          <w:szCs w:val="24"/>
        </w:rPr>
        <w:t>A. Afterwards, a custom-made pyrolysis setup [15]</w:t>
      </w:r>
      <w:r w:rsidRPr="00877EF4">
        <w:rPr>
          <w:rFonts w:ascii="Times New Roman" w:eastAsia="BSGulliver" w:hAnsi="Times New Roman" w:cs="Times New Roman"/>
          <w:sz w:val="24"/>
          <w:szCs w:val="24"/>
        </w:rPr>
        <w:t xml:space="preserve"> </w:t>
      </w:r>
      <w:r w:rsidRPr="00877EF4">
        <w:rPr>
          <w:rFonts w:ascii="Times New Roman" w:eastAsia="BSGulliver" w:hAnsi="Times New Roman" w:cs="Times New Roman"/>
          <w:b w:val="0"/>
          <w:bCs/>
          <w:sz w:val="24"/>
          <w:szCs w:val="24"/>
        </w:rPr>
        <w:t>was employed to fill the nanopipettes with carbon, thus yielding single- and double-barrel carbon nano</w:t>
      </w:r>
      <w:r w:rsidRPr="00877EF4">
        <w:rPr>
          <w:rFonts w:ascii="Times New Roman" w:eastAsia="BSGulliver" w:hAnsi="Times New Roman" w:cs="Times New Roman"/>
          <w:b w:val="0"/>
          <w:bCs/>
          <w:sz w:val="24"/>
          <w:szCs w:val="24"/>
        </w:rPr>
        <w:softHyphen/>
        <w:t>electrodes (</w:t>
      </w:r>
      <w:proofErr w:type="spellStart"/>
      <w:r w:rsidRPr="00877EF4">
        <w:rPr>
          <w:rFonts w:ascii="Times New Roman" w:eastAsia="BSGulliver" w:hAnsi="Times New Roman" w:cs="Times New Roman"/>
          <w:b w:val="0"/>
          <w:bCs/>
          <w:sz w:val="24"/>
          <w:szCs w:val="24"/>
        </w:rPr>
        <w:t>sbCNEs</w:t>
      </w:r>
      <w:proofErr w:type="spellEnd"/>
      <w:r w:rsidRPr="00877EF4">
        <w:rPr>
          <w:rFonts w:ascii="Times New Roman" w:eastAsia="BSGulliver" w:hAnsi="Times New Roman" w:cs="Times New Roman"/>
          <w:b w:val="0"/>
          <w:bCs/>
          <w:sz w:val="24"/>
          <w:szCs w:val="24"/>
        </w:rPr>
        <w:t xml:space="preserve"> and </w:t>
      </w:r>
      <w:proofErr w:type="spellStart"/>
      <w:r w:rsidRPr="00877EF4">
        <w:rPr>
          <w:rFonts w:ascii="Times New Roman" w:eastAsia="BSGulliver" w:hAnsi="Times New Roman" w:cs="Times New Roman"/>
          <w:b w:val="0"/>
          <w:bCs/>
          <w:sz w:val="24"/>
          <w:szCs w:val="24"/>
        </w:rPr>
        <w:t>dbCNEs</w:t>
      </w:r>
      <w:proofErr w:type="spellEnd"/>
      <w:r w:rsidRPr="00877EF4">
        <w:rPr>
          <w:rFonts w:ascii="Times New Roman" w:eastAsia="BSGulliver" w:hAnsi="Times New Roman" w:cs="Times New Roman"/>
          <w:b w:val="0"/>
          <w:bCs/>
          <w:sz w:val="24"/>
          <w:szCs w:val="24"/>
        </w:rPr>
        <w:t xml:space="preserve">). </w:t>
      </w:r>
      <w:r w:rsidRPr="00877EF4">
        <w:rPr>
          <w:rFonts w:ascii="Times New Roman" w:eastAsia="BSGulliver" w:hAnsi="Times New Roman" w:cs="Times New Roman"/>
          <w:b w:val="0"/>
          <w:bCs/>
          <w:color w:val="000000" w:themeColor="text1"/>
          <w:sz w:val="24"/>
          <w:szCs w:val="24"/>
        </w:rPr>
        <w:t>During pyrolysis (Figure S1</w:t>
      </w:r>
      <w:r w:rsidRPr="00877EF4">
        <w:rPr>
          <w:rFonts w:ascii="Times New Roman" w:eastAsia="BSGulliver" w:hAnsi="Times New Roman" w:cs="Times New Roman"/>
          <w:color w:val="000000" w:themeColor="text1"/>
          <w:sz w:val="24"/>
          <w:szCs w:val="24"/>
        </w:rPr>
        <w:t xml:space="preserve"> </w:t>
      </w:r>
      <w:r w:rsidRPr="00877EF4">
        <w:rPr>
          <w:rFonts w:ascii="Times New Roman" w:eastAsia="BSGulliver" w:hAnsi="Times New Roman" w:cs="Times New Roman"/>
          <w:b w:val="0"/>
          <w:bCs/>
          <w:color w:val="000000" w:themeColor="text1"/>
          <w:sz w:val="24"/>
          <w:szCs w:val="24"/>
        </w:rPr>
        <w:t xml:space="preserve">B), the </w:t>
      </w:r>
      <w:proofErr w:type="spellStart"/>
      <w:r w:rsidRPr="00877EF4">
        <w:rPr>
          <w:rFonts w:ascii="Times New Roman" w:eastAsia="BSGulliver" w:hAnsi="Times New Roman" w:cs="Times New Roman"/>
          <w:b w:val="0"/>
          <w:bCs/>
          <w:color w:val="000000" w:themeColor="text1"/>
          <w:sz w:val="24"/>
          <w:szCs w:val="24"/>
        </w:rPr>
        <w:t>Ar</w:t>
      </w:r>
      <w:proofErr w:type="spellEnd"/>
      <w:r w:rsidRPr="00877EF4">
        <w:rPr>
          <w:rFonts w:ascii="Times New Roman" w:eastAsia="BSGulliver" w:hAnsi="Times New Roman" w:cs="Times New Roman"/>
          <w:b w:val="0"/>
          <w:bCs/>
          <w:color w:val="000000" w:themeColor="text1"/>
          <w:sz w:val="24"/>
          <w:szCs w:val="24"/>
        </w:rPr>
        <w:t xml:space="preserve"> counter-flow was set at a rate of 50 mL min</w:t>
      </w:r>
      <w:r w:rsidRPr="00877EF4">
        <w:rPr>
          <w:rFonts w:ascii="Times New Roman" w:eastAsia="BSGulliver" w:hAnsi="Times New Roman" w:cs="Times New Roman"/>
          <w:b w:val="0"/>
          <w:bCs/>
          <w:color w:val="000000" w:themeColor="text1"/>
          <w:sz w:val="24"/>
          <w:szCs w:val="24"/>
          <w:vertAlign w:val="superscript"/>
        </w:rPr>
        <w:t>-1</w:t>
      </w:r>
      <w:r w:rsidRPr="00877EF4">
        <w:rPr>
          <w:rFonts w:ascii="Times New Roman" w:eastAsia="BSGulliver" w:hAnsi="Times New Roman" w:cs="Times New Roman"/>
          <w:b w:val="0"/>
          <w:bCs/>
          <w:color w:val="000000" w:themeColor="text1"/>
          <w:sz w:val="24"/>
          <w:szCs w:val="24"/>
        </w:rPr>
        <w:t xml:space="preserve"> with the </w:t>
      </w:r>
      <w:proofErr w:type="spellStart"/>
      <w:r w:rsidRPr="00877EF4">
        <w:rPr>
          <w:rFonts w:ascii="Times New Roman" w:eastAsia="BSGulliver" w:hAnsi="Times New Roman" w:cs="Times New Roman"/>
          <w:b w:val="0"/>
          <w:bCs/>
          <w:color w:val="000000" w:themeColor="text1"/>
          <w:sz w:val="24"/>
          <w:szCs w:val="24"/>
        </w:rPr>
        <w:t>Ar</w:t>
      </w:r>
      <w:proofErr w:type="spellEnd"/>
      <w:r w:rsidRPr="00877EF4">
        <w:rPr>
          <w:rFonts w:ascii="Times New Roman" w:eastAsia="BSGulliver" w:hAnsi="Times New Roman" w:cs="Times New Roman"/>
          <w:b w:val="0"/>
          <w:bCs/>
          <w:color w:val="000000" w:themeColor="text1"/>
          <w:sz w:val="24"/>
          <w:szCs w:val="24"/>
        </w:rPr>
        <w:t xml:space="preserve"> pressure fixed at 0.5 bar. Pyrolysis gas was introduced as a mixture of propane with a pressure of 3 bar and n-butane with a pressure of 1.1 bar. Coil movement and heating current were simultaneously controlled by a specifically designed control software. Opti</w:t>
      </w:r>
      <w:r w:rsidR="006B74F0" w:rsidRPr="00877EF4">
        <w:rPr>
          <w:rFonts w:ascii="Times New Roman" w:eastAsia="BSGulliver" w:hAnsi="Times New Roman" w:cs="Times New Roman"/>
          <w:b w:val="0"/>
          <w:bCs/>
          <w:color w:val="000000" w:themeColor="text1"/>
          <w:sz w:val="24"/>
          <w:szCs w:val="24"/>
        </w:rPr>
        <w:softHyphen/>
      </w:r>
      <w:r w:rsidRPr="00877EF4">
        <w:rPr>
          <w:rFonts w:ascii="Times New Roman" w:eastAsia="BSGulliver" w:hAnsi="Times New Roman" w:cs="Times New Roman"/>
          <w:b w:val="0"/>
          <w:bCs/>
          <w:color w:val="000000" w:themeColor="text1"/>
          <w:sz w:val="24"/>
          <w:szCs w:val="24"/>
        </w:rPr>
        <w:t xml:space="preserve">mized temperature profiles used during pyrolysis are shown in Figure S1 C for </w:t>
      </w:r>
      <w:proofErr w:type="spellStart"/>
      <w:r w:rsidRPr="00877EF4">
        <w:rPr>
          <w:rFonts w:ascii="Times New Roman" w:eastAsia="BSGulliver" w:hAnsi="Times New Roman" w:cs="Times New Roman"/>
          <w:b w:val="0"/>
          <w:bCs/>
          <w:color w:val="000000" w:themeColor="text1"/>
          <w:sz w:val="24"/>
          <w:szCs w:val="24"/>
        </w:rPr>
        <w:t>sbCNEs</w:t>
      </w:r>
      <w:proofErr w:type="spellEnd"/>
      <w:r w:rsidRPr="00877EF4">
        <w:rPr>
          <w:rFonts w:ascii="Times New Roman" w:eastAsia="BSGulliver" w:hAnsi="Times New Roman" w:cs="Times New Roman"/>
          <w:b w:val="0"/>
          <w:bCs/>
          <w:color w:val="000000" w:themeColor="text1"/>
          <w:sz w:val="24"/>
          <w:szCs w:val="24"/>
        </w:rPr>
        <w:t xml:space="preserve"> and </w:t>
      </w:r>
      <w:proofErr w:type="spellStart"/>
      <w:r w:rsidRPr="00877EF4">
        <w:rPr>
          <w:rFonts w:ascii="Times New Roman" w:eastAsia="BSGulliver" w:hAnsi="Times New Roman" w:cs="Times New Roman"/>
          <w:b w:val="0"/>
          <w:bCs/>
          <w:color w:val="000000" w:themeColor="text1"/>
          <w:sz w:val="24"/>
          <w:szCs w:val="24"/>
        </w:rPr>
        <w:t>dbCNEs</w:t>
      </w:r>
      <w:proofErr w:type="spellEnd"/>
      <w:r w:rsidRPr="00877EF4">
        <w:rPr>
          <w:rFonts w:ascii="Times New Roman" w:eastAsia="BSGulliver" w:hAnsi="Times New Roman" w:cs="Times New Roman"/>
          <w:b w:val="0"/>
          <w:bCs/>
          <w:color w:val="000000" w:themeColor="text1"/>
          <w:sz w:val="24"/>
          <w:szCs w:val="24"/>
        </w:rPr>
        <w:t xml:space="preserve">. After pyrolysis, the electrode </w:t>
      </w:r>
      <w:proofErr w:type="gramStart"/>
      <w:r w:rsidRPr="00877EF4">
        <w:rPr>
          <w:rFonts w:ascii="Times New Roman" w:eastAsia="BSGulliver" w:hAnsi="Times New Roman" w:cs="Times New Roman"/>
          <w:b w:val="0"/>
          <w:bCs/>
          <w:color w:val="000000" w:themeColor="text1"/>
          <w:sz w:val="24"/>
          <w:szCs w:val="24"/>
        </w:rPr>
        <w:t>was allowed to</w:t>
      </w:r>
      <w:proofErr w:type="gramEnd"/>
      <w:r w:rsidRPr="00877EF4">
        <w:rPr>
          <w:rFonts w:ascii="Times New Roman" w:eastAsia="BSGulliver" w:hAnsi="Times New Roman" w:cs="Times New Roman"/>
          <w:b w:val="0"/>
          <w:bCs/>
          <w:color w:val="000000" w:themeColor="text1"/>
          <w:sz w:val="24"/>
          <w:szCs w:val="24"/>
        </w:rPr>
        <w:t xml:space="preserve"> cool down under </w:t>
      </w:r>
      <w:proofErr w:type="spellStart"/>
      <w:r w:rsidRPr="00877EF4">
        <w:rPr>
          <w:rFonts w:ascii="Times New Roman" w:eastAsia="BSGulliver" w:hAnsi="Times New Roman" w:cs="Times New Roman"/>
          <w:b w:val="0"/>
          <w:bCs/>
          <w:color w:val="000000" w:themeColor="text1"/>
          <w:sz w:val="24"/>
          <w:szCs w:val="24"/>
        </w:rPr>
        <w:t>Ar</w:t>
      </w:r>
      <w:proofErr w:type="spellEnd"/>
      <w:r w:rsidRPr="00877EF4">
        <w:rPr>
          <w:rFonts w:ascii="Times New Roman" w:eastAsia="BSGulliver" w:hAnsi="Times New Roman" w:cs="Times New Roman"/>
          <w:b w:val="0"/>
          <w:bCs/>
          <w:color w:val="000000" w:themeColor="text1"/>
          <w:sz w:val="24"/>
          <w:szCs w:val="24"/>
        </w:rPr>
        <w:t xml:space="preserve"> stream for at least additional 35 s to prevent oxidation of carbon at atmospheric conditions.</w:t>
      </w:r>
    </w:p>
    <w:p w14:paraId="1F7EEB94" w14:textId="632047E2" w:rsidR="006144F2" w:rsidRDefault="006144F2">
      <w:pPr>
        <w:spacing w:after="160" w:line="259" w:lineRule="auto"/>
        <w:rPr>
          <w:rFonts w:ascii="Times New Roman" w:eastAsia="BSGulliver" w:hAnsi="Times New Roman"/>
          <w:bCs/>
          <w:color w:val="000000" w:themeColor="text1"/>
          <w:sz w:val="24"/>
          <w:szCs w:val="24"/>
          <w:lang w:val="en-GB"/>
        </w:rPr>
      </w:pPr>
      <w:r>
        <w:rPr>
          <w:rFonts w:ascii="Times New Roman" w:eastAsia="BSGulliver" w:hAnsi="Times New Roman"/>
          <w:b/>
          <w:bCs/>
          <w:color w:val="000000" w:themeColor="text1"/>
          <w:sz w:val="24"/>
          <w:szCs w:val="24"/>
        </w:rPr>
        <w:br w:type="page"/>
      </w:r>
    </w:p>
    <w:p w14:paraId="1BD1831E" w14:textId="77777777" w:rsidR="00D51701" w:rsidRDefault="00D51701" w:rsidP="00D51701">
      <w:pPr>
        <w:pStyle w:val="RSCB06BHeadingSub-Section"/>
        <w:spacing w:after="200" w:line="480" w:lineRule="auto"/>
        <w:jc w:val="center"/>
        <w:rPr>
          <w:rFonts w:ascii="Times New Roman" w:eastAsia="BSGulliver" w:hAnsi="Times New Roman" w:cs="Times New Roman"/>
          <w:b w:val="0"/>
          <w:bCs/>
          <w:sz w:val="24"/>
          <w:szCs w:val="24"/>
        </w:rPr>
      </w:pPr>
      <w:r>
        <w:rPr>
          <w:rFonts w:ascii="Times New Roman" w:eastAsia="BSGulliver" w:hAnsi="Times New Roman" w:cs="Times New Roman"/>
          <w:b w:val="0"/>
          <w:bCs/>
          <w:noProof/>
          <w:sz w:val="24"/>
          <w:szCs w:val="24"/>
          <w:lang w:val="de-DE" w:eastAsia="de-DE"/>
        </w:rPr>
        <w:lastRenderedPageBreak/>
        <w:drawing>
          <wp:inline distT="0" distB="0" distL="0" distR="0" wp14:anchorId="309AA83B" wp14:editId="3834B78D">
            <wp:extent cx="6321090" cy="1905836"/>
            <wp:effectExtent l="0" t="0" r="381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56586" cy="1916538"/>
                    </a:xfrm>
                    <a:prstGeom prst="rect">
                      <a:avLst/>
                    </a:prstGeom>
                    <a:noFill/>
                  </pic:spPr>
                </pic:pic>
              </a:graphicData>
            </a:graphic>
          </wp:inline>
        </w:drawing>
      </w:r>
    </w:p>
    <w:p w14:paraId="4F9FDAFB" w14:textId="77777777" w:rsidR="007B1184" w:rsidRPr="006E7952" w:rsidRDefault="007B1184" w:rsidP="007B1184">
      <w:pPr>
        <w:pStyle w:val="RSCB06BHeadingSub-Section"/>
        <w:spacing w:after="200" w:line="480" w:lineRule="auto"/>
        <w:jc w:val="center"/>
        <w:rPr>
          <w:rFonts w:ascii="Times New Roman" w:hAnsi="Times New Roman" w:cs="Times New Roman"/>
          <w:b w:val="0"/>
          <w:w w:val="108"/>
          <w:sz w:val="20"/>
          <w:szCs w:val="20"/>
        </w:rPr>
      </w:pPr>
      <w:r w:rsidRPr="00877EF4">
        <w:rPr>
          <w:rFonts w:ascii="Times New Roman" w:hAnsi="Times New Roman" w:cs="Times New Roman"/>
          <w:bCs/>
          <w:w w:val="108"/>
          <w:sz w:val="20"/>
          <w:szCs w:val="20"/>
        </w:rPr>
        <w:t>Figure S1</w:t>
      </w:r>
      <w:r w:rsidRPr="00877EF4">
        <w:rPr>
          <w:rFonts w:ascii="Times New Roman" w:hAnsi="Times New Roman" w:cs="Times New Roman"/>
          <w:b w:val="0"/>
          <w:w w:val="108"/>
          <w:sz w:val="20"/>
          <w:szCs w:val="20"/>
        </w:rPr>
        <w:t>.</w:t>
      </w:r>
      <w:r w:rsidRPr="006E7952">
        <w:rPr>
          <w:rFonts w:ascii="Times New Roman" w:hAnsi="Times New Roman" w:cs="Times New Roman"/>
          <w:b w:val="0"/>
          <w:w w:val="108"/>
          <w:sz w:val="20"/>
          <w:szCs w:val="20"/>
        </w:rPr>
        <w:t xml:space="preserve"> </w:t>
      </w:r>
      <w:r w:rsidRPr="006E7952">
        <w:rPr>
          <w:rFonts w:ascii="Times New Roman" w:hAnsi="Times New Roman" w:cs="Times New Roman"/>
          <w:bCs/>
          <w:w w:val="108"/>
          <w:sz w:val="20"/>
          <w:szCs w:val="20"/>
        </w:rPr>
        <w:t xml:space="preserve">Fabrication of single- and double-barrel CNEs. </w:t>
      </w:r>
      <w:r w:rsidRPr="006E7952">
        <w:rPr>
          <w:rFonts w:ascii="Times New Roman" w:hAnsi="Times New Roman" w:cs="Times New Roman"/>
          <w:b w:val="0"/>
          <w:w w:val="108"/>
          <w:sz w:val="20"/>
          <w:szCs w:val="20"/>
        </w:rPr>
        <w:t>Schemes of (</w:t>
      </w:r>
      <w:r w:rsidRPr="006E7952">
        <w:rPr>
          <w:rFonts w:ascii="Times New Roman" w:hAnsi="Times New Roman" w:cs="Times New Roman"/>
          <w:bCs/>
          <w:w w:val="108"/>
          <w:sz w:val="20"/>
          <w:szCs w:val="20"/>
        </w:rPr>
        <w:t>A</w:t>
      </w:r>
      <w:r w:rsidRPr="006E7952">
        <w:rPr>
          <w:rFonts w:ascii="Times New Roman" w:hAnsi="Times New Roman" w:cs="Times New Roman"/>
          <w:b w:val="0"/>
          <w:w w:val="108"/>
          <w:sz w:val="20"/>
          <w:szCs w:val="20"/>
        </w:rPr>
        <w:t>) the laser pulling and (</w:t>
      </w:r>
      <w:r w:rsidRPr="006E7952">
        <w:rPr>
          <w:rFonts w:ascii="Times New Roman" w:hAnsi="Times New Roman" w:cs="Times New Roman"/>
          <w:bCs/>
          <w:w w:val="108"/>
          <w:sz w:val="20"/>
          <w:szCs w:val="20"/>
        </w:rPr>
        <w:t>B</w:t>
      </w:r>
      <w:r w:rsidRPr="006E7952">
        <w:rPr>
          <w:rFonts w:ascii="Times New Roman" w:hAnsi="Times New Roman" w:cs="Times New Roman"/>
          <w:b w:val="0"/>
          <w:w w:val="108"/>
          <w:sz w:val="20"/>
          <w:szCs w:val="20"/>
        </w:rPr>
        <w:t>) the pyrolysis steps. (</w:t>
      </w:r>
      <w:r w:rsidRPr="006E7952">
        <w:rPr>
          <w:rFonts w:ascii="Times New Roman" w:hAnsi="Times New Roman" w:cs="Times New Roman"/>
          <w:bCs/>
          <w:w w:val="108"/>
          <w:sz w:val="20"/>
          <w:szCs w:val="20"/>
        </w:rPr>
        <w:t>C</w:t>
      </w:r>
      <w:r w:rsidRPr="006E7952">
        <w:rPr>
          <w:rFonts w:ascii="Times New Roman" w:hAnsi="Times New Roman" w:cs="Times New Roman"/>
          <w:b w:val="0"/>
          <w:w w:val="108"/>
          <w:sz w:val="20"/>
          <w:szCs w:val="20"/>
        </w:rPr>
        <w:t>) Optimized temperature profiles used during pyrolysis.</w:t>
      </w:r>
    </w:p>
    <w:p w14:paraId="42A0BB28" w14:textId="77777777" w:rsidR="007B1184" w:rsidRPr="006E7952" w:rsidRDefault="007B1184" w:rsidP="00D51701">
      <w:pPr>
        <w:pStyle w:val="RSCB06BHeadingSub-Section"/>
        <w:spacing w:after="200" w:line="480" w:lineRule="auto"/>
        <w:jc w:val="center"/>
        <w:rPr>
          <w:rFonts w:ascii="Times New Roman" w:eastAsia="BSGulliver" w:hAnsi="Times New Roman" w:cs="Times New Roman"/>
          <w:b w:val="0"/>
          <w:bCs/>
          <w:sz w:val="24"/>
          <w:szCs w:val="24"/>
        </w:rPr>
      </w:pPr>
    </w:p>
    <w:p w14:paraId="2B38BD8E" w14:textId="77777777" w:rsidR="007B1184" w:rsidRPr="00877EF4" w:rsidRDefault="007B1184" w:rsidP="007B1184">
      <w:pPr>
        <w:spacing w:after="0" w:line="480" w:lineRule="auto"/>
        <w:jc w:val="both"/>
        <w:rPr>
          <w:rFonts w:ascii="Times New Roman" w:hAnsi="Times New Roman"/>
          <w:noProof/>
          <w:sz w:val="24"/>
          <w:szCs w:val="24"/>
          <w:lang w:val="en-GB"/>
        </w:rPr>
      </w:pPr>
      <w:r w:rsidRPr="00877EF4">
        <w:rPr>
          <w:rFonts w:ascii="Times New Roman" w:hAnsi="Times New Roman"/>
          <w:b/>
          <w:w w:val="108"/>
          <w:sz w:val="24"/>
          <w:szCs w:val="24"/>
          <w:lang w:val="en-GB"/>
        </w:rPr>
        <w:t xml:space="preserve">Electrochemical deposition of </w:t>
      </w:r>
      <w:proofErr w:type="gramStart"/>
      <w:r w:rsidRPr="00877EF4">
        <w:rPr>
          <w:rFonts w:ascii="Times New Roman" w:hAnsi="Times New Roman"/>
          <w:b/>
          <w:w w:val="108"/>
          <w:sz w:val="24"/>
          <w:szCs w:val="24"/>
          <w:lang w:val="en-GB"/>
        </w:rPr>
        <w:t>PEDOT:PSS</w:t>
      </w:r>
      <w:proofErr w:type="gramEnd"/>
      <w:r w:rsidRPr="00877EF4">
        <w:rPr>
          <w:rFonts w:ascii="Times New Roman" w:hAnsi="Times New Roman"/>
          <w:b/>
          <w:w w:val="108"/>
          <w:sz w:val="24"/>
          <w:szCs w:val="24"/>
          <w:lang w:val="en-GB"/>
        </w:rPr>
        <w:t xml:space="preserve">. </w:t>
      </w:r>
      <w:r w:rsidRPr="00877EF4">
        <w:rPr>
          <w:rFonts w:ascii="Times New Roman" w:hAnsi="Times New Roman"/>
          <w:noProof/>
          <w:sz w:val="24"/>
          <w:szCs w:val="24"/>
          <w:lang w:val="en-GB"/>
        </w:rPr>
        <w:t>Cyclic voltammetry (CV) and pulse profiling were compared for PEDOT:PSS electrodeposition at the CNEs. Together with the potential wave</w:t>
      </w:r>
      <w:r w:rsidRPr="00877EF4">
        <w:rPr>
          <w:rFonts w:ascii="Times New Roman" w:hAnsi="Times New Roman"/>
          <w:noProof/>
          <w:sz w:val="24"/>
          <w:szCs w:val="24"/>
          <w:lang w:val="en-GB"/>
        </w:rPr>
        <w:softHyphen/>
        <w:t>form, monomer concentration (10 or 5 mM) and other parameters specific to the technique of choice (scan rate and number of cycles for CV; number and duration of pulses for pulse deposition) were varied, while keeping the PSS concentration (0.1 mM), pulse potential (E</w:t>
      </w:r>
      <w:r w:rsidRPr="00877EF4">
        <w:rPr>
          <w:rFonts w:ascii="Times New Roman" w:hAnsi="Times New Roman"/>
          <w:noProof/>
          <w:sz w:val="24"/>
          <w:szCs w:val="24"/>
          <w:vertAlign w:val="subscript"/>
          <w:lang w:val="en-GB"/>
        </w:rPr>
        <w:t xml:space="preserve">app </w:t>
      </w:r>
      <w:r w:rsidRPr="00877EF4">
        <w:rPr>
          <w:rFonts w:ascii="Times New Roman" w:hAnsi="Times New Roman"/>
          <w:noProof/>
          <w:sz w:val="24"/>
          <w:szCs w:val="24"/>
          <w:lang w:val="en-GB"/>
        </w:rPr>
        <w:t xml:space="preserve">= 1.2 V </w:t>
      </w:r>
      <w:r w:rsidRPr="00877EF4">
        <w:rPr>
          <w:rFonts w:ascii="Times New Roman" w:hAnsi="Times New Roman"/>
          <w:i/>
          <w:iCs/>
          <w:noProof/>
          <w:sz w:val="24"/>
          <w:szCs w:val="24"/>
          <w:lang w:val="en-GB"/>
        </w:rPr>
        <w:t>vs</w:t>
      </w:r>
      <w:r w:rsidRPr="00877EF4">
        <w:rPr>
          <w:rFonts w:ascii="Times New Roman" w:hAnsi="Times New Roman"/>
          <w:noProof/>
          <w:sz w:val="24"/>
          <w:szCs w:val="24"/>
          <w:lang w:val="en-GB"/>
        </w:rPr>
        <w:t xml:space="preserve"> Ag/AgCl/3M KCl) and CV potential window (0 &lt; E</w:t>
      </w:r>
      <w:r w:rsidRPr="00877EF4">
        <w:rPr>
          <w:rFonts w:ascii="Times New Roman" w:hAnsi="Times New Roman"/>
          <w:noProof/>
          <w:sz w:val="24"/>
          <w:szCs w:val="24"/>
          <w:vertAlign w:val="subscript"/>
          <w:lang w:val="en-GB"/>
        </w:rPr>
        <w:t>app</w:t>
      </w:r>
      <w:r w:rsidRPr="00877EF4">
        <w:rPr>
          <w:rFonts w:ascii="Times New Roman" w:hAnsi="Times New Roman"/>
          <w:noProof/>
          <w:sz w:val="24"/>
          <w:szCs w:val="24"/>
          <w:lang w:val="en-GB"/>
        </w:rPr>
        <w:t xml:space="preserve"> &lt; 1.2 V </w:t>
      </w:r>
      <w:r w:rsidRPr="00877EF4">
        <w:rPr>
          <w:rFonts w:ascii="Times New Roman" w:hAnsi="Times New Roman"/>
          <w:i/>
          <w:iCs/>
          <w:noProof/>
          <w:sz w:val="24"/>
          <w:szCs w:val="24"/>
          <w:lang w:val="en-GB"/>
        </w:rPr>
        <w:t>vs</w:t>
      </w:r>
      <w:r w:rsidRPr="00877EF4">
        <w:rPr>
          <w:rFonts w:ascii="Times New Roman" w:hAnsi="Times New Roman"/>
          <w:noProof/>
          <w:sz w:val="24"/>
          <w:szCs w:val="24"/>
          <w:lang w:val="en-GB"/>
        </w:rPr>
        <w:t xml:space="preserve"> Ag/AgCl/3M KCl) fixed. The pulse potential as well as the anodic potential limit in CV were chosen to trigger the monomer oxidation and promote the polymerization avoiding PEDOT overoxidation. Examples of the electrode’s shape obtained by the two methods are shown in </w:t>
      </w:r>
      <w:r w:rsidRPr="00877EF4">
        <w:rPr>
          <w:rFonts w:ascii="Times New Roman" w:hAnsi="Times New Roman"/>
          <w:b/>
          <w:bCs/>
          <w:noProof/>
          <w:sz w:val="24"/>
          <w:szCs w:val="24"/>
          <w:lang w:val="en-GB"/>
        </w:rPr>
        <w:t>Figure S2</w:t>
      </w:r>
      <w:r w:rsidRPr="00877EF4">
        <w:rPr>
          <w:rFonts w:ascii="Times New Roman" w:hAnsi="Times New Roman"/>
          <w:noProof/>
          <w:sz w:val="24"/>
          <w:szCs w:val="24"/>
          <w:lang w:val="en-GB"/>
        </w:rPr>
        <w:t xml:space="preserve">. </w:t>
      </w:r>
    </w:p>
    <w:p w14:paraId="3ACCCA20" w14:textId="77777777" w:rsidR="007B1184" w:rsidRPr="00CD33D7" w:rsidRDefault="006A6F68" w:rsidP="007B1184">
      <w:pPr>
        <w:spacing w:after="0" w:line="480" w:lineRule="auto"/>
        <w:jc w:val="center"/>
        <w:rPr>
          <w:rFonts w:ascii="Times New Roman" w:hAnsi="Times New Roman"/>
          <w:noProof/>
          <w:sz w:val="24"/>
          <w:szCs w:val="24"/>
          <w:highlight w:val="yellow"/>
          <w:lang w:val="en-GB"/>
        </w:rPr>
      </w:pPr>
      <w:r w:rsidRPr="00CD33D7">
        <w:rPr>
          <w:rFonts w:ascii="Times New Roman" w:hAnsi="Times New Roman"/>
          <w:noProof/>
          <w:sz w:val="24"/>
          <w:szCs w:val="24"/>
          <w:lang w:val="de-DE" w:eastAsia="de-DE"/>
        </w:rPr>
        <w:lastRenderedPageBreak/>
        <w:drawing>
          <wp:inline distT="0" distB="0" distL="0" distR="0" wp14:anchorId="59726713" wp14:editId="14E92F5A">
            <wp:extent cx="6570836" cy="52768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83973" cy="5287400"/>
                    </a:xfrm>
                    <a:prstGeom prst="rect">
                      <a:avLst/>
                    </a:prstGeom>
                    <a:noFill/>
                  </pic:spPr>
                </pic:pic>
              </a:graphicData>
            </a:graphic>
          </wp:inline>
        </w:drawing>
      </w:r>
    </w:p>
    <w:p w14:paraId="5D7309C9" w14:textId="77777777" w:rsidR="007B1184" w:rsidRPr="00877EF4" w:rsidRDefault="007B1184" w:rsidP="007B1184">
      <w:pPr>
        <w:spacing w:line="480" w:lineRule="auto"/>
        <w:jc w:val="center"/>
        <w:rPr>
          <w:rFonts w:ascii="Times New Roman" w:hAnsi="Times New Roman"/>
          <w:noProof/>
          <w:sz w:val="20"/>
          <w:szCs w:val="20"/>
          <w:lang w:val="en-GB"/>
        </w:rPr>
      </w:pPr>
      <w:r w:rsidRPr="00877EF4">
        <w:rPr>
          <w:rFonts w:ascii="Times New Roman" w:hAnsi="Times New Roman"/>
          <w:b/>
          <w:bCs/>
          <w:noProof/>
          <w:sz w:val="20"/>
          <w:szCs w:val="20"/>
          <w:lang w:val="en-GB"/>
        </w:rPr>
        <w:t>Figure S2. SEM images of CNEs after PEDOT:PSS electrodeposition.</w:t>
      </w:r>
      <w:r w:rsidRPr="00877EF4">
        <w:rPr>
          <w:rFonts w:ascii="Times New Roman" w:hAnsi="Times New Roman"/>
          <w:noProof/>
          <w:sz w:val="20"/>
          <w:szCs w:val="20"/>
          <w:lang w:val="en-GB"/>
        </w:rPr>
        <w:t xml:space="preserve"> The depositions were carried out in aqueous EDOT (5 or 10 mM) and PSS (0.1 mM) solutions by means of of either potential cycles in the interval 0 &lt; E</w:t>
      </w:r>
      <w:r w:rsidRPr="00877EF4">
        <w:rPr>
          <w:rFonts w:ascii="Times New Roman" w:hAnsi="Times New Roman"/>
          <w:noProof/>
          <w:sz w:val="20"/>
          <w:szCs w:val="20"/>
          <w:vertAlign w:val="subscript"/>
          <w:lang w:val="en-GB"/>
        </w:rPr>
        <w:t xml:space="preserve">app </w:t>
      </w:r>
      <w:r w:rsidRPr="00877EF4">
        <w:rPr>
          <w:rFonts w:ascii="Times New Roman" w:hAnsi="Times New Roman"/>
          <w:noProof/>
          <w:sz w:val="20"/>
          <w:szCs w:val="20"/>
          <w:lang w:val="en-GB"/>
        </w:rPr>
        <w:t>&lt; 1.2 V vs Ag/AgCl/3M KCl (</w:t>
      </w:r>
      <w:r w:rsidRPr="00877EF4">
        <w:rPr>
          <w:rFonts w:ascii="Times New Roman" w:hAnsi="Times New Roman"/>
          <w:b/>
          <w:bCs/>
          <w:noProof/>
          <w:sz w:val="20"/>
          <w:szCs w:val="20"/>
          <w:lang w:val="en-GB"/>
        </w:rPr>
        <w:t>A</w:t>
      </w:r>
      <w:r w:rsidRPr="00877EF4">
        <w:rPr>
          <w:rFonts w:ascii="Times New Roman" w:hAnsi="Times New Roman"/>
          <w:noProof/>
          <w:sz w:val="20"/>
          <w:szCs w:val="20"/>
          <w:lang w:val="en-GB"/>
        </w:rPr>
        <w:t xml:space="preserve">, </w:t>
      </w:r>
      <w:r w:rsidRPr="00877EF4">
        <w:rPr>
          <w:rFonts w:ascii="Times New Roman" w:hAnsi="Times New Roman"/>
          <w:b/>
          <w:bCs/>
          <w:noProof/>
          <w:sz w:val="20"/>
          <w:szCs w:val="20"/>
          <w:lang w:val="en-GB"/>
        </w:rPr>
        <w:t>B</w:t>
      </w:r>
      <w:r w:rsidRPr="00877EF4">
        <w:rPr>
          <w:rFonts w:ascii="Times New Roman" w:hAnsi="Times New Roman"/>
          <w:noProof/>
          <w:sz w:val="20"/>
          <w:szCs w:val="20"/>
          <w:lang w:val="en-GB"/>
        </w:rPr>
        <w:t>) or potential pulses with E</w:t>
      </w:r>
      <w:r w:rsidRPr="00877EF4">
        <w:rPr>
          <w:rFonts w:ascii="Times New Roman" w:hAnsi="Times New Roman"/>
          <w:noProof/>
          <w:sz w:val="20"/>
          <w:szCs w:val="20"/>
          <w:vertAlign w:val="subscript"/>
          <w:lang w:val="en-GB"/>
        </w:rPr>
        <w:t xml:space="preserve">app </w:t>
      </w:r>
      <w:r w:rsidRPr="00877EF4">
        <w:rPr>
          <w:rFonts w:ascii="Times New Roman" w:hAnsi="Times New Roman"/>
          <w:noProof/>
          <w:sz w:val="20"/>
          <w:szCs w:val="20"/>
          <w:lang w:val="en-GB"/>
        </w:rPr>
        <w:t>= 1.2 V vs Ag/AgCl/3 M KCl (</w:t>
      </w:r>
      <w:r w:rsidR="006A6F68" w:rsidRPr="00877EF4">
        <w:rPr>
          <w:rFonts w:ascii="Times New Roman" w:hAnsi="Times New Roman"/>
          <w:b/>
          <w:bCs/>
          <w:noProof/>
          <w:sz w:val="20"/>
          <w:szCs w:val="20"/>
          <w:lang w:val="en-GB"/>
        </w:rPr>
        <w:t>C</w:t>
      </w:r>
      <w:r w:rsidR="006A6F68" w:rsidRPr="00877EF4">
        <w:rPr>
          <w:rFonts w:ascii="Times New Roman" w:hAnsi="Times New Roman"/>
          <w:noProof/>
          <w:sz w:val="20"/>
          <w:szCs w:val="20"/>
          <w:lang w:val="en-GB"/>
        </w:rPr>
        <w:t xml:space="preserve">, </w:t>
      </w:r>
      <w:r w:rsidRPr="00877EF4">
        <w:rPr>
          <w:rFonts w:ascii="Times New Roman" w:hAnsi="Times New Roman"/>
          <w:b/>
          <w:bCs/>
          <w:noProof/>
          <w:sz w:val="20"/>
          <w:szCs w:val="20"/>
          <w:lang w:val="en-GB"/>
        </w:rPr>
        <w:t>D</w:t>
      </w:r>
      <w:r w:rsidRPr="00877EF4">
        <w:rPr>
          <w:rFonts w:ascii="Times New Roman" w:hAnsi="Times New Roman"/>
          <w:noProof/>
          <w:sz w:val="20"/>
          <w:szCs w:val="20"/>
          <w:lang w:val="en-GB"/>
        </w:rPr>
        <w:t xml:space="preserve">). </w:t>
      </w:r>
      <w:r w:rsidR="005D6E42" w:rsidRPr="00877EF4">
        <w:rPr>
          <w:rFonts w:ascii="Times New Roman" w:hAnsi="Times New Roman"/>
          <w:noProof/>
          <w:sz w:val="20"/>
          <w:szCs w:val="20"/>
          <w:lang w:val="en-GB"/>
        </w:rPr>
        <w:t>Diameters of the PEDOT:PSS deposits estimated by SEM are 10.3 μm (A), 2.1 μm (B), 568.9 nm (C) and 320.8 nm (D).</w:t>
      </w:r>
    </w:p>
    <w:p w14:paraId="214B4DE5" w14:textId="77777777" w:rsidR="00D51701" w:rsidRDefault="007B1184" w:rsidP="005D6E42">
      <w:pPr>
        <w:pStyle w:val="RSCB06BHeadingSub-Section"/>
        <w:spacing w:after="200" w:line="480" w:lineRule="auto"/>
        <w:jc w:val="both"/>
        <w:rPr>
          <w:rFonts w:ascii="Times New Roman" w:hAnsi="Times New Roman"/>
          <w:b w:val="0"/>
          <w:bCs/>
          <w:sz w:val="32"/>
          <w:szCs w:val="32"/>
        </w:rPr>
      </w:pPr>
      <w:r w:rsidRPr="00877EF4">
        <w:rPr>
          <w:rFonts w:ascii="Times New Roman" w:hAnsi="Times New Roman"/>
          <w:b w:val="0"/>
          <w:bCs/>
          <w:noProof/>
          <w:color w:val="000000" w:themeColor="text1"/>
          <w:sz w:val="24"/>
          <w:szCs w:val="24"/>
        </w:rPr>
        <w:t xml:space="preserve">The shape of the electrode obtained after 2 cycles suggests that the formation of one PEDOT-bubble roughly follows one potential cycle and faster scan rates </w:t>
      </w:r>
      <w:r w:rsidR="00CD33D7" w:rsidRPr="00877EF4">
        <w:rPr>
          <w:rFonts w:ascii="Times New Roman" w:hAnsi="Times New Roman"/>
          <w:b w:val="0"/>
          <w:bCs/>
          <w:noProof/>
          <w:color w:val="000000" w:themeColor="text1"/>
          <w:sz w:val="24"/>
          <w:szCs w:val="24"/>
        </w:rPr>
        <w:t xml:space="preserve">should </w:t>
      </w:r>
      <w:r w:rsidRPr="00877EF4">
        <w:rPr>
          <w:rFonts w:ascii="Times New Roman" w:hAnsi="Times New Roman"/>
          <w:b w:val="0"/>
          <w:bCs/>
          <w:noProof/>
          <w:color w:val="000000" w:themeColor="text1"/>
          <w:sz w:val="24"/>
          <w:szCs w:val="24"/>
        </w:rPr>
        <w:t>produce more discrete deposits</w:t>
      </w:r>
      <w:r w:rsidR="00CD33D7" w:rsidRPr="00877EF4">
        <w:rPr>
          <w:rFonts w:ascii="Times New Roman" w:hAnsi="Times New Roman"/>
          <w:b w:val="0"/>
          <w:bCs/>
          <w:noProof/>
          <w:color w:val="000000" w:themeColor="text1"/>
          <w:sz w:val="24"/>
          <w:szCs w:val="24"/>
        </w:rPr>
        <w:t xml:space="preserve"> (Fig, S2 A, B)</w:t>
      </w:r>
      <w:r w:rsidRPr="00877EF4">
        <w:rPr>
          <w:rFonts w:ascii="Times New Roman" w:hAnsi="Times New Roman"/>
          <w:b w:val="0"/>
          <w:bCs/>
          <w:noProof/>
          <w:color w:val="000000" w:themeColor="text1"/>
          <w:sz w:val="24"/>
          <w:szCs w:val="24"/>
        </w:rPr>
        <w:t>.</w:t>
      </w:r>
      <w:r w:rsidR="00CD33D7" w:rsidRPr="00877EF4">
        <w:rPr>
          <w:rFonts w:ascii="Times New Roman" w:hAnsi="Times New Roman"/>
          <w:b w:val="0"/>
          <w:bCs/>
          <w:noProof/>
          <w:color w:val="000000" w:themeColor="text1"/>
          <w:sz w:val="24"/>
          <w:szCs w:val="24"/>
        </w:rPr>
        <w:t xml:space="preserve"> </w:t>
      </w:r>
      <w:r w:rsidRPr="00877EF4">
        <w:rPr>
          <w:rFonts w:ascii="Times New Roman" w:hAnsi="Times New Roman"/>
          <w:b w:val="0"/>
          <w:bCs/>
          <w:noProof/>
          <w:sz w:val="24"/>
          <w:szCs w:val="24"/>
        </w:rPr>
        <w:t xml:space="preserve">The cyclic voltammogram recorded during PEDOT:PSS deposition of the CNE shown in Figure </w:t>
      </w:r>
      <w:r w:rsidR="00CD33D7" w:rsidRPr="00877EF4">
        <w:rPr>
          <w:rFonts w:ascii="Times New Roman" w:hAnsi="Times New Roman"/>
          <w:b w:val="0"/>
          <w:bCs/>
          <w:noProof/>
          <w:sz w:val="24"/>
          <w:szCs w:val="24"/>
        </w:rPr>
        <w:t>S2</w:t>
      </w:r>
      <w:r w:rsidRPr="00877EF4">
        <w:rPr>
          <w:rFonts w:ascii="Times New Roman" w:hAnsi="Times New Roman"/>
          <w:b w:val="0"/>
          <w:bCs/>
          <w:noProof/>
          <w:sz w:val="24"/>
          <w:szCs w:val="24"/>
        </w:rPr>
        <w:t xml:space="preserve"> </w:t>
      </w:r>
      <w:r w:rsidR="00CD33D7" w:rsidRPr="00877EF4">
        <w:rPr>
          <w:rFonts w:ascii="Times New Roman" w:hAnsi="Times New Roman"/>
          <w:b w:val="0"/>
          <w:bCs/>
          <w:noProof/>
          <w:sz w:val="24"/>
          <w:szCs w:val="24"/>
        </w:rPr>
        <w:t>B</w:t>
      </w:r>
      <w:r w:rsidRPr="00877EF4">
        <w:rPr>
          <w:rFonts w:ascii="Times New Roman" w:hAnsi="Times New Roman"/>
          <w:b w:val="0"/>
          <w:bCs/>
          <w:noProof/>
          <w:sz w:val="24"/>
          <w:szCs w:val="24"/>
        </w:rPr>
        <w:t xml:space="preserve"> is reported in Figure S</w:t>
      </w:r>
      <w:r w:rsidR="00CD33D7" w:rsidRPr="00877EF4">
        <w:rPr>
          <w:rFonts w:ascii="Times New Roman" w:hAnsi="Times New Roman"/>
          <w:b w:val="0"/>
          <w:bCs/>
          <w:noProof/>
          <w:sz w:val="24"/>
          <w:szCs w:val="24"/>
        </w:rPr>
        <w:t>3</w:t>
      </w:r>
      <w:r w:rsidRPr="00877EF4">
        <w:rPr>
          <w:rFonts w:ascii="Times New Roman" w:hAnsi="Times New Roman"/>
          <w:b w:val="0"/>
          <w:bCs/>
          <w:noProof/>
          <w:sz w:val="24"/>
          <w:szCs w:val="24"/>
        </w:rPr>
        <w:t>. It is well-known that EDOT oxidation occurs at higher potentials with respect to PEDOT and the polymer growth is facilitated with each consecutive cycle.</w:t>
      </w:r>
      <w:r w:rsidR="00CD33D7" w:rsidRPr="00877EF4">
        <w:rPr>
          <w:rFonts w:ascii="Times New Roman" w:hAnsi="Times New Roman"/>
          <w:b w:val="0"/>
          <w:bCs/>
          <w:noProof/>
          <w:sz w:val="24"/>
          <w:szCs w:val="24"/>
        </w:rPr>
        <w:t xml:space="preserve"> </w:t>
      </w:r>
      <w:r w:rsidRPr="00877EF4">
        <w:rPr>
          <w:rFonts w:ascii="Times New Roman" w:hAnsi="Times New Roman"/>
          <w:b w:val="0"/>
          <w:bCs/>
          <w:noProof/>
          <w:sz w:val="24"/>
          <w:szCs w:val="24"/>
        </w:rPr>
        <w:t>The struc</w:t>
      </w:r>
      <w:r w:rsidR="006B74F0" w:rsidRPr="00877EF4">
        <w:rPr>
          <w:rFonts w:ascii="Times New Roman" w:hAnsi="Times New Roman"/>
          <w:b w:val="0"/>
          <w:bCs/>
          <w:noProof/>
          <w:sz w:val="24"/>
          <w:szCs w:val="24"/>
        </w:rPr>
        <w:softHyphen/>
      </w:r>
      <w:r w:rsidRPr="00877EF4">
        <w:rPr>
          <w:rFonts w:ascii="Times New Roman" w:hAnsi="Times New Roman"/>
          <w:b w:val="0"/>
          <w:bCs/>
          <w:noProof/>
          <w:sz w:val="24"/>
          <w:szCs w:val="24"/>
        </w:rPr>
        <w:t>tures obtained after pulse depostion also show globular features</w:t>
      </w:r>
      <w:r w:rsidR="00CD33D7" w:rsidRPr="00877EF4">
        <w:rPr>
          <w:rFonts w:ascii="Times New Roman" w:hAnsi="Times New Roman"/>
          <w:b w:val="0"/>
          <w:bCs/>
          <w:noProof/>
          <w:sz w:val="24"/>
          <w:szCs w:val="24"/>
        </w:rPr>
        <w:t xml:space="preserve"> when the pulse duration exceeds 300 </w:t>
      </w:r>
      <w:r w:rsidR="00CD33D7" w:rsidRPr="00877EF4">
        <w:rPr>
          <w:rFonts w:ascii="Times New Roman" w:hAnsi="Times New Roman"/>
          <w:b w:val="0"/>
          <w:bCs/>
          <w:noProof/>
          <w:sz w:val="24"/>
          <w:szCs w:val="24"/>
        </w:rPr>
        <w:lastRenderedPageBreak/>
        <w:t>ms (not shown).</w:t>
      </w:r>
      <w:r w:rsidRPr="00877EF4">
        <w:rPr>
          <w:rFonts w:ascii="Times New Roman" w:hAnsi="Times New Roman"/>
          <w:b w:val="0"/>
          <w:bCs/>
          <w:noProof/>
          <w:sz w:val="24"/>
          <w:szCs w:val="24"/>
        </w:rPr>
        <w:t xml:space="preserve"> </w:t>
      </w:r>
      <w:r w:rsidR="00CD33D7" w:rsidRPr="00877EF4">
        <w:rPr>
          <w:rFonts w:ascii="Times New Roman" w:hAnsi="Times New Roman"/>
          <w:b w:val="0"/>
          <w:bCs/>
          <w:noProof/>
          <w:sz w:val="24"/>
          <w:szCs w:val="24"/>
        </w:rPr>
        <w:t>H</w:t>
      </w:r>
      <w:r w:rsidRPr="00877EF4">
        <w:rPr>
          <w:rFonts w:ascii="Times New Roman" w:hAnsi="Times New Roman"/>
          <w:b w:val="0"/>
          <w:bCs/>
          <w:noProof/>
          <w:sz w:val="24"/>
          <w:szCs w:val="24"/>
        </w:rPr>
        <w:t xml:space="preserve">owever, the time scale in which the electrodeposition occurs (tens/hundreds of milliseconds) is far smaller than the one during CV. This prevents the formation of large aggregates and, upon selection of suitable parameters </w:t>
      </w:r>
      <w:r w:rsidR="006B74F0" w:rsidRPr="00877EF4">
        <w:rPr>
          <w:rFonts w:ascii="Times New Roman" w:hAnsi="Times New Roman"/>
          <w:b w:val="0"/>
          <w:bCs/>
          <w:noProof/>
          <w:sz w:val="24"/>
          <w:szCs w:val="24"/>
        </w:rPr>
        <w:t xml:space="preserve">for </w:t>
      </w:r>
      <w:r w:rsidRPr="00877EF4">
        <w:rPr>
          <w:rFonts w:ascii="Times New Roman" w:hAnsi="Times New Roman"/>
          <w:b w:val="0"/>
          <w:bCs/>
          <w:noProof/>
          <w:sz w:val="24"/>
          <w:szCs w:val="24"/>
        </w:rPr>
        <w:t>pulse duration and frequency it is possible to obtain film-like and controlled depositions</w:t>
      </w:r>
      <w:r w:rsidR="00CD33D7" w:rsidRPr="00877EF4">
        <w:rPr>
          <w:rFonts w:ascii="Times New Roman" w:hAnsi="Times New Roman"/>
          <w:b w:val="0"/>
          <w:bCs/>
          <w:noProof/>
          <w:sz w:val="24"/>
          <w:szCs w:val="24"/>
        </w:rPr>
        <w:t xml:space="preserve"> (Fig. S2 C, D)</w:t>
      </w:r>
      <w:r w:rsidRPr="00877EF4">
        <w:rPr>
          <w:rFonts w:ascii="Times New Roman" w:hAnsi="Times New Roman"/>
          <w:b w:val="0"/>
          <w:bCs/>
          <w:noProof/>
          <w:sz w:val="24"/>
          <w:szCs w:val="24"/>
        </w:rPr>
        <w:t>. Overall, it was noted that using lower monomer concentrations (5 mM) during both CV and pulse deposition, as well as frequent pulses with a shorter duration (20 ms) lead to less stable PEDOT:PSS deposits on the CNEs that often detach during the following measurements.</w:t>
      </w:r>
      <w:r w:rsidRPr="00877EF4">
        <w:rPr>
          <w:rFonts w:ascii="Times New Roman" w:hAnsi="Times New Roman"/>
          <w:noProof/>
          <w:sz w:val="24"/>
          <w:szCs w:val="24"/>
        </w:rPr>
        <w:t xml:space="preserve"> </w:t>
      </w:r>
      <w:r w:rsidR="00CD33D7" w:rsidRPr="00877EF4">
        <w:rPr>
          <w:rFonts w:ascii="Times New Roman" w:hAnsi="Times New Roman"/>
          <w:b w:val="0"/>
          <w:bCs/>
          <w:noProof/>
          <w:sz w:val="24"/>
          <w:szCs w:val="24"/>
        </w:rPr>
        <w:t>Consequently, the parameter of choice to perform electrodeposition</w:t>
      </w:r>
      <w:r w:rsidR="00CD33D7" w:rsidRPr="00877EF4">
        <w:rPr>
          <w:rFonts w:ascii="Times New Roman" w:hAnsi="Times New Roman"/>
          <w:noProof/>
          <w:sz w:val="24"/>
          <w:szCs w:val="24"/>
        </w:rPr>
        <w:t xml:space="preserve"> </w:t>
      </w:r>
      <w:r w:rsidR="00CD33D7" w:rsidRPr="00877EF4">
        <w:rPr>
          <w:rFonts w:ascii="Times New Roman" w:hAnsi="Times New Roman"/>
          <w:b w:val="0"/>
          <w:bCs/>
          <w:noProof/>
          <w:sz w:val="24"/>
          <w:szCs w:val="24"/>
        </w:rPr>
        <w:t>were two and three potential pulses of 200 ms each (E</w:t>
      </w:r>
      <w:r w:rsidR="00CD33D7" w:rsidRPr="00877EF4">
        <w:rPr>
          <w:rFonts w:ascii="Times New Roman" w:hAnsi="Times New Roman"/>
          <w:b w:val="0"/>
          <w:bCs/>
          <w:noProof/>
          <w:sz w:val="24"/>
          <w:szCs w:val="24"/>
          <w:vertAlign w:val="subscript"/>
        </w:rPr>
        <w:t>app</w:t>
      </w:r>
      <w:r w:rsidR="00CD33D7" w:rsidRPr="00877EF4">
        <w:rPr>
          <w:rFonts w:ascii="Times New Roman" w:hAnsi="Times New Roman"/>
          <w:b w:val="0"/>
          <w:bCs/>
          <w:noProof/>
          <w:sz w:val="24"/>
          <w:szCs w:val="24"/>
        </w:rPr>
        <w:t xml:space="preserve"> = 1.2 V vs Ag/AgCl 3M KCl) for sbCNEs and dbCNEs, respectively in the polymerization solution containing EDOT (10 mM) and the counterion PSS (0.1 mM).</w:t>
      </w:r>
    </w:p>
    <w:p w14:paraId="60F816EB" w14:textId="77777777" w:rsidR="00D51701" w:rsidRDefault="00D51701" w:rsidP="00D51701">
      <w:pPr>
        <w:spacing w:line="480" w:lineRule="auto"/>
        <w:jc w:val="center"/>
        <w:rPr>
          <w:rFonts w:ascii="Times New Roman" w:hAnsi="Times New Roman"/>
          <w:b/>
          <w:bCs/>
          <w:sz w:val="32"/>
          <w:szCs w:val="32"/>
          <w:lang w:val="en-GB"/>
        </w:rPr>
      </w:pPr>
      <w:r>
        <w:rPr>
          <w:rFonts w:ascii="Times New Roman" w:hAnsi="Times New Roman"/>
          <w:b/>
          <w:bCs/>
          <w:noProof/>
          <w:sz w:val="32"/>
          <w:szCs w:val="32"/>
          <w:lang w:val="de-DE" w:eastAsia="de-DE"/>
        </w:rPr>
        <w:drawing>
          <wp:inline distT="0" distB="0" distL="0" distR="0" wp14:anchorId="50CA554E" wp14:editId="7D37615B">
            <wp:extent cx="4221126" cy="2949307"/>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38253" cy="2961273"/>
                    </a:xfrm>
                    <a:prstGeom prst="rect">
                      <a:avLst/>
                    </a:prstGeom>
                    <a:noFill/>
                  </pic:spPr>
                </pic:pic>
              </a:graphicData>
            </a:graphic>
          </wp:inline>
        </w:drawing>
      </w:r>
    </w:p>
    <w:p w14:paraId="28940F36" w14:textId="77777777" w:rsidR="00D51701" w:rsidRPr="006E7952" w:rsidRDefault="00D51701" w:rsidP="00D51701">
      <w:pPr>
        <w:spacing w:line="480" w:lineRule="auto"/>
        <w:jc w:val="center"/>
        <w:rPr>
          <w:rFonts w:ascii="Times New Roman" w:hAnsi="Times New Roman"/>
          <w:noProof/>
          <w:sz w:val="20"/>
          <w:szCs w:val="20"/>
          <w:lang w:val="en-GB"/>
        </w:rPr>
      </w:pPr>
      <w:r w:rsidRPr="00877EF4">
        <w:rPr>
          <w:rFonts w:ascii="Times New Roman" w:hAnsi="Times New Roman"/>
          <w:b/>
          <w:bCs/>
          <w:noProof/>
          <w:sz w:val="20"/>
          <w:szCs w:val="20"/>
          <w:lang w:val="en-GB"/>
        </w:rPr>
        <w:t>Figure S</w:t>
      </w:r>
      <w:r w:rsidR="005D6E42" w:rsidRPr="00877EF4">
        <w:rPr>
          <w:rFonts w:ascii="Times New Roman" w:hAnsi="Times New Roman"/>
          <w:b/>
          <w:bCs/>
          <w:noProof/>
          <w:sz w:val="20"/>
          <w:szCs w:val="20"/>
          <w:lang w:val="en-GB"/>
        </w:rPr>
        <w:t>3</w:t>
      </w:r>
      <w:r w:rsidRPr="006E7952">
        <w:rPr>
          <w:rFonts w:ascii="Times New Roman" w:hAnsi="Times New Roman"/>
          <w:b/>
          <w:bCs/>
          <w:noProof/>
          <w:sz w:val="20"/>
          <w:szCs w:val="20"/>
          <w:lang w:val="en-GB"/>
        </w:rPr>
        <w:t xml:space="preserve">. PEDOT:PSS deposition at CNE by CV </w:t>
      </w:r>
      <w:r w:rsidRPr="006E7952">
        <w:rPr>
          <w:rFonts w:ascii="Times New Roman" w:hAnsi="Times New Roman"/>
          <w:noProof/>
          <w:sz w:val="20"/>
          <w:szCs w:val="20"/>
          <w:lang w:val="en-GB"/>
        </w:rPr>
        <w:t xml:space="preserve">to obtain the electrode shown in </w:t>
      </w:r>
      <w:r w:rsidRPr="00877EF4">
        <w:rPr>
          <w:rFonts w:ascii="Times New Roman" w:hAnsi="Times New Roman"/>
          <w:noProof/>
          <w:sz w:val="20"/>
          <w:szCs w:val="20"/>
          <w:lang w:val="en-GB"/>
        </w:rPr>
        <w:t xml:space="preserve">Figure </w:t>
      </w:r>
      <w:r w:rsidR="005D6E42" w:rsidRPr="00877EF4">
        <w:rPr>
          <w:rFonts w:ascii="Times New Roman" w:hAnsi="Times New Roman"/>
          <w:noProof/>
          <w:sz w:val="20"/>
          <w:szCs w:val="20"/>
          <w:lang w:val="en-GB"/>
        </w:rPr>
        <w:t>S</w:t>
      </w:r>
      <w:r w:rsidRPr="00877EF4">
        <w:rPr>
          <w:rFonts w:ascii="Times New Roman" w:hAnsi="Times New Roman"/>
          <w:noProof/>
          <w:sz w:val="20"/>
          <w:szCs w:val="20"/>
          <w:lang w:val="en-GB"/>
        </w:rPr>
        <w:t>4</w:t>
      </w:r>
      <w:r w:rsidR="005D6E42" w:rsidRPr="00877EF4">
        <w:rPr>
          <w:rFonts w:ascii="Times New Roman" w:hAnsi="Times New Roman"/>
          <w:noProof/>
          <w:sz w:val="20"/>
          <w:szCs w:val="20"/>
          <w:lang w:val="en-GB"/>
        </w:rPr>
        <w:t xml:space="preserve"> B</w:t>
      </w:r>
      <w:r w:rsidRPr="006E7952">
        <w:rPr>
          <w:rFonts w:ascii="Times New Roman" w:hAnsi="Times New Roman"/>
          <w:noProof/>
          <w:sz w:val="20"/>
          <w:szCs w:val="20"/>
          <w:lang w:val="en-GB"/>
        </w:rPr>
        <w:t>. Inset: zoom of the voltammogram region highlighted by the dotted rectangle that shows monomer oxidation and polymer growth upon cycling.</w:t>
      </w:r>
    </w:p>
    <w:p w14:paraId="53185C4A" w14:textId="77777777" w:rsidR="00D51701" w:rsidRDefault="00D51701" w:rsidP="00D51701">
      <w:pPr>
        <w:spacing w:line="480" w:lineRule="auto"/>
        <w:jc w:val="both"/>
        <w:rPr>
          <w:rFonts w:ascii="Times New Roman" w:hAnsi="Times New Roman"/>
          <w:b/>
          <w:bCs/>
          <w:sz w:val="32"/>
          <w:szCs w:val="32"/>
          <w:lang w:val="en-GB"/>
        </w:rPr>
      </w:pPr>
      <w:r>
        <w:rPr>
          <w:rFonts w:ascii="Times New Roman" w:hAnsi="Times New Roman"/>
          <w:b/>
          <w:bCs/>
          <w:noProof/>
          <w:sz w:val="32"/>
          <w:szCs w:val="32"/>
          <w:lang w:val="de-DE" w:eastAsia="de-DE"/>
        </w:rPr>
        <w:lastRenderedPageBreak/>
        <w:drawing>
          <wp:inline distT="0" distB="0" distL="0" distR="0" wp14:anchorId="509EDFF6" wp14:editId="7A02BC9A">
            <wp:extent cx="6472825" cy="1749287"/>
            <wp:effectExtent l="0" t="0" r="0" b="381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20304" cy="1789143"/>
                    </a:xfrm>
                    <a:prstGeom prst="rect">
                      <a:avLst/>
                    </a:prstGeom>
                    <a:noFill/>
                  </pic:spPr>
                </pic:pic>
              </a:graphicData>
            </a:graphic>
          </wp:inline>
        </w:drawing>
      </w:r>
    </w:p>
    <w:p w14:paraId="68995C45" w14:textId="65913A67" w:rsidR="00D51701" w:rsidRPr="00D93A9C" w:rsidRDefault="00D51701" w:rsidP="001776DE">
      <w:pPr>
        <w:spacing w:line="480" w:lineRule="auto"/>
        <w:jc w:val="center"/>
        <w:rPr>
          <w:rFonts w:ascii="Times New Roman" w:hAnsi="Times New Roman"/>
          <w:b/>
          <w:bCs/>
          <w:sz w:val="32"/>
          <w:szCs w:val="32"/>
          <w:lang w:val="en-GB"/>
        </w:rPr>
      </w:pPr>
      <w:r w:rsidRPr="00877EF4">
        <w:rPr>
          <w:rFonts w:ascii="Times New Roman" w:hAnsi="Times New Roman"/>
          <w:b/>
          <w:bCs/>
          <w:noProof/>
          <w:sz w:val="20"/>
          <w:szCs w:val="20"/>
          <w:lang w:val="en-GB"/>
        </w:rPr>
        <w:t>Figure S</w:t>
      </w:r>
      <w:r w:rsidR="003300F2" w:rsidRPr="00877EF4">
        <w:rPr>
          <w:rFonts w:ascii="Times New Roman" w:hAnsi="Times New Roman"/>
          <w:b/>
          <w:bCs/>
          <w:noProof/>
          <w:sz w:val="20"/>
          <w:szCs w:val="20"/>
          <w:lang w:val="en-GB"/>
        </w:rPr>
        <w:t>4</w:t>
      </w:r>
      <w:r w:rsidRPr="00877EF4">
        <w:rPr>
          <w:rFonts w:ascii="Times New Roman" w:hAnsi="Times New Roman"/>
          <w:b/>
          <w:bCs/>
          <w:noProof/>
          <w:sz w:val="20"/>
          <w:szCs w:val="20"/>
          <w:lang w:val="en-GB"/>
        </w:rPr>
        <w:t>.</w:t>
      </w:r>
      <w:r w:rsidRPr="006E7952">
        <w:rPr>
          <w:rFonts w:ascii="Times New Roman" w:hAnsi="Times New Roman"/>
          <w:b/>
          <w:bCs/>
          <w:noProof/>
          <w:sz w:val="20"/>
          <w:szCs w:val="20"/>
          <w:lang w:val="en-GB"/>
        </w:rPr>
        <w:t xml:space="preserve"> </w:t>
      </w:r>
      <w:r>
        <w:rPr>
          <w:rFonts w:ascii="Times New Roman" w:hAnsi="Times New Roman"/>
          <w:b/>
          <w:bCs/>
          <w:noProof/>
          <w:sz w:val="20"/>
          <w:szCs w:val="20"/>
          <w:lang w:val="en-GB"/>
        </w:rPr>
        <w:t xml:space="preserve">Cyclic voltammograms </w:t>
      </w:r>
      <w:r w:rsidRPr="00C7173E">
        <w:rPr>
          <w:rFonts w:ascii="Times New Roman" w:hAnsi="Times New Roman"/>
          <w:noProof/>
          <w:sz w:val="20"/>
          <w:szCs w:val="20"/>
          <w:lang w:val="en-GB"/>
        </w:rPr>
        <w:t>recorded at 25 mV s</w:t>
      </w:r>
      <w:r w:rsidRPr="00C7173E">
        <w:rPr>
          <w:rFonts w:ascii="Times New Roman" w:hAnsi="Times New Roman"/>
          <w:noProof/>
          <w:sz w:val="20"/>
          <w:szCs w:val="20"/>
          <w:vertAlign w:val="superscript"/>
          <w:lang w:val="en-GB"/>
        </w:rPr>
        <w:t>-1</w:t>
      </w:r>
      <w:r w:rsidRPr="00C7173E">
        <w:rPr>
          <w:rFonts w:ascii="Times New Roman" w:hAnsi="Times New Roman"/>
          <w:noProof/>
          <w:sz w:val="20"/>
          <w:szCs w:val="20"/>
          <w:lang w:val="en-GB"/>
        </w:rPr>
        <w:t xml:space="preserve"> in a solution containing 5 mM [Ru(NH</w:t>
      </w:r>
      <w:r w:rsidRPr="000E5510">
        <w:rPr>
          <w:rFonts w:ascii="Times New Roman" w:hAnsi="Times New Roman"/>
          <w:noProof/>
          <w:sz w:val="20"/>
          <w:szCs w:val="20"/>
          <w:vertAlign w:val="subscript"/>
          <w:lang w:val="en-GB"/>
        </w:rPr>
        <w:t>3</w:t>
      </w:r>
      <w:r w:rsidRPr="00C7173E">
        <w:rPr>
          <w:rFonts w:ascii="Times New Roman" w:hAnsi="Times New Roman"/>
          <w:noProof/>
          <w:sz w:val="20"/>
          <w:szCs w:val="20"/>
          <w:lang w:val="en-GB"/>
        </w:rPr>
        <w:t>)</w:t>
      </w:r>
      <w:r w:rsidRPr="000E5510">
        <w:rPr>
          <w:rFonts w:ascii="Times New Roman" w:hAnsi="Times New Roman"/>
          <w:noProof/>
          <w:sz w:val="20"/>
          <w:szCs w:val="20"/>
          <w:vertAlign w:val="subscript"/>
          <w:lang w:val="en-GB"/>
        </w:rPr>
        <w:t>6</w:t>
      </w:r>
      <w:r w:rsidRPr="00C7173E">
        <w:rPr>
          <w:rFonts w:ascii="Times New Roman" w:hAnsi="Times New Roman"/>
          <w:noProof/>
          <w:sz w:val="20"/>
          <w:szCs w:val="20"/>
          <w:lang w:val="en-GB"/>
        </w:rPr>
        <w:t>]</w:t>
      </w:r>
      <w:r w:rsidRPr="00C7173E">
        <w:rPr>
          <w:rFonts w:ascii="Times New Roman" w:hAnsi="Times New Roman"/>
          <w:noProof/>
          <w:sz w:val="20"/>
          <w:szCs w:val="20"/>
          <w:vertAlign w:val="superscript"/>
          <w:lang w:val="en-GB"/>
        </w:rPr>
        <w:t>3+</w:t>
      </w:r>
      <w:r w:rsidRPr="00C7173E">
        <w:rPr>
          <w:rFonts w:ascii="Times New Roman" w:hAnsi="Times New Roman"/>
          <w:noProof/>
          <w:sz w:val="20"/>
          <w:szCs w:val="20"/>
          <w:lang w:val="en-GB"/>
        </w:rPr>
        <w:t xml:space="preserve"> and 100 mM KCl of the dbCNEs</w:t>
      </w:r>
      <w:r>
        <w:rPr>
          <w:rFonts w:ascii="Times New Roman" w:hAnsi="Times New Roman"/>
          <w:noProof/>
          <w:sz w:val="20"/>
          <w:szCs w:val="20"/>
          <w:lang w:val="en-GB"/>
        </w:rPr>
        <w:t xml:space="preserve"> right</w:t>
      </w:r>
      <w:r w:rsidRPr="00C7173E">
        <w:rPr>
          <w:rFonts w:ascii="Times New Roman" w:hAnsi="Times New Roman"/>
          <w:noProof/>
          <w:sz w:val="20"/>
          <w:szCs w:val="20"/>
          <w:lang w:val="en-GB"/>
        </w:rPr>
        <w:t xml:space="preserve"> after pyrolysis.</w:t>
      </w:r>
    </w:p>
    <w:p w14:paraId="5E75B7A7" w14:textId="77777777" w:rsidR="003300F2" w:rsidRPr="006E7952" w:rsidRDefault="003300F2" w:rsidP="003300F2">
      <w:pPr>
        <w:spacing w:line="480" w:lineRule="auto"/>
        <w:jc w:val="center"/>
        <w:rPr>
          <w:rFonts w:ascii="Times New Roman" w:hAnsi="Times New Roman"/>
          <w:sz w:val="24"/>
          <w:szCs w:val="24"/>
          <w:lang w:val="en-GB"/>
        </w:rPr>
      </w:pPr>
      <w:r>
        <w:rPr>
          <w:rFonts w:ascii="Times New Roman" w:hAnsi="Times New Roman"/>
          <w:noProof/>
          <w:sz w:val="24"/>
          <w:szCs w:val="24"/>
          <w:lang w:val="de-DE" w:eastAsia="de-DE"/>
        </w:rPr>
        <w:drawing>
          <wp:inline distT="0" distB="0" distL="0" distR="0" wp14:anchorId="560A50C9" wp14:editId="3DA8FD06">
            <wp:extent cx="3560778" cy="4906645"/>
            <wp:effectExtent l="0" t="0" r="1905" b="825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97217" cy="4956857"/>
                    </a:xfrm>
                    <a:prstGeom prst="rect">
                      <a:avLst/>
                    </a:prstGeom>
                    <a:noFill/>
                  </pic:spPr>
                </pic:pic>
              </a:graphicData>
            </a:graphic>
          </wp:inline>
        </w:drawing>
      </w:r>
    </w:p>
    <w:p w14:paraId="651373C8" w14:textId="77777777" w:rsidR="003300F2" w:rsidRDefault="003300F2" w:rsidP="003300F2">
      <w:pPr>
        <w:spacing w:line="480" w:lineRule="auto"/>
        <w:jc w:val="center"/>
        <w:rPr>
          <w:rFonts w:ascii="Times New Roman" w:hAnsi="Times New Roman"/>
          <w:noProof/>
          <w:sz w:val="20"/>
          <w:szCs w:val="20"/>
          <w:lang w:val="en-GB"/>
        </w:rPr>
      </w:pPr>
      <w:r w:rsidRPr="00877EF4">
        <w:rPr>
          <w:rFonts w:ascii="Times New Roman" w:hAnsi="Times New Roman"/>
          <w:b/>
          <w:bCs/>
          <w:noProof/>
          <w:sz w:val="20"/>
          <w:szCs w:val="20"/>
          <w:lang w:val="en-GB"/>
        </w:rPr>
        <w:t>Figure S5. dbCNEs before and after focused ion beam milling</w:t>
      </w:r>
      <w:r w:rsidRPr="00877EF4">
        <w:rPr>
          <w:rFonts w:ascii="Times New Roman" w:hAnsi="Times New Roman"/>
          <w:sz w:val="24"/>
          <w:szCs w:val="24"/>
          <w:lang w:val="en-GB"/>
        </w:rPr>
        <w:t>.</w:t>
      </w:r>
      <w:r w:rsidRPr="00877EF4">
        <w:rPr>
          <w:rFonts w:ascii="Times New Roman" w:hAnsi="Times New Roman"/>
          <w:b/>
          <w:bCs/>
          <w:noProof/>
          <w:sz w:val="20"/>
          <w:szCs w:val="20"/>
          <w:lang w:val="en-GB"/>
        </w:rPr>
        <w:t xml:space="preserve"> </w:t>
      </w:r>
      <w:r w:rsidRPr="00877EF4">
        <w:rPr>
          <w:rFonts w:ascii="Times New Roman" w:hAnsi="Times New Roman"/>
          <w:noProof/>
          <w:sz w:val="20"/>
          <w:szCs w:val="20"/>
          <w:lang w:val="en-GB"/>
        </w:rPr>
        <w:t>SEM pictures of the dbCNEs</w:t>
      </w:r>
      <w:r w:rsidR="00EB62E2" w:rsidRPr="00877EF4">
        <w:rPr>
          <w:rFonts w:ascii="Times New Roman" w:hAnsi="Times New Roman"/>
          <w:noProof/>
          <w:sz w:val="20"/>
          <w:szCs w:val="20"/>
          <w:lang w:val="en-GB"/>
        </w:rPr>
        <w:t xml:space="preserve"> with carbon overgrowth (A), cracks (B) and recessed carbon edges (C),</w:t>
      </w:r>
      <w:r w:rsidRPr="00877EF4">
        <w:rPr>
          <w:rFonts w:ascii="Times New Roman" w:hAnsi="Times New Roman"/>
          <w:noProof/>
          <w:sz w:val="20"/>
          <w:szCs w:val="20"/>
          <w:lang w:val="en-GB"/>
        </w:rPr>
        <w:t xml:space="preserve"> before and </w:t>
      </w:r>
      <w:r w:rsidR="00EB62E2" w:rsidRPr="00877EF4">
        <w:rPr>
          <w:rFonts w:ascii="Times New Roman" w:hAnsi="Times New Roman"/>
          <w:noProof/>
          <w:sz w:val="20"/>
          <w:szCs w:val="20"/>
          <w:lang w:val="en-GB"/>
        </w:rPr>
        <w:t>after</w:t>
      </w:r>
      <w:r w:rsidRPr="00877EF4">
        <w:rPr>
          <w:rFonts w:ascii="Times New Roman" w:hAnsi="Times New Roman"/>
          <w:noProof/>
          <w:sz w:val="20"/>
          <w:szCs w:val="20"/>
          <w:lang w:val="en-GB"/>
        </w:rPr>
        <w:t xml:space="preserve"> the FIB milling step. Scale bar: 500 nm.</w:t>
      </w:r>
    </w:p>
    <w:p w14:paraId="364DB1FF" w14:textId="77777777" w:rsidR="00A969C1" w:rsidRPr="00EB62E2" w:rsidRDefault="00A969C1" w:rsidP="003300F2">
      <w:pPr>
        <w:spacing w:line="480" w:lineRule="auto"/>
        <w:jc w:val="center"/>
        <w:rPr>
          <w:rFonts w:ascii="Times New Roman" w:hAnsi="Times New Roman"/>
          <w:noProof/>
          <w:sz w:val="20"/>
          <w:szCs w:val="20"/>
          <w:lang w:val="en-GB"/>
        </w:rPr>
      </w:pPr>
    </w:p>
    <w:p w14:paraId="5DB26484" w14:textId="77777777" w:rsidR="004A08EC" w:rsidRDefault="001776DE" w:rsidP="006144F2">
      <w:pPr>
        <w:jc w:val="center"/>
        <w:rPr>
          <w:lang w:val="en-GB"/>
        </w:rPr>
      </w:pPr>
      <w:r>
        <w:rPr>
          <w:rFonts w:ascii="Times New Roman" w:hAnsi="Times New Roman"/>
          <w:b/>
          <w:bCs/>
          <w:noProof/>
          <w:sz w:val="32"/>
          <w:szCs w:val="32"/>
          <w:lang w:val="de-DE" w:eastAsia="de-DE"/>
        </w:rPr>
        <w:lastRenderedPageBreak/>
        <w:drawing>
          <wp:inline distT="0" distB="0" distL="0" distR="0" wp14:anchorId="38F30CDE" wp14:editId="35DDCD76">
            <wp:extent cx="5643113" cy="339725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60300" cy="3407597"/>
                    </a:xfrm>
                    <a:prstGeom prst="rect">
                      <a:avLst/>
                    </a:prstGeom>
                    <a:noFill/>
                  </pic:spPr>
                </pic:pic>
              </a:graphicData>
            </a:graphic>
          </wp:inline>
        </w:drawing>
      </w:r>
    </w:p>
    <w:p w14:paraId="1FC716D6" w14:textId="77777777" w:rsidR="001776DE" w:rsidRDefault="001776DE" w:rsidP="006144F2">
      <w:pPr>
        <w:spacing w:after="0" w:line="480" w:lineRule="auto"/>
        <w:jc w:val="center"/>
        <w:rPr>
          <w:rFonts w:ascii="Times New Roman" w:hAnsi="Times New Roman"/>
          <w:noProof/>
          <w:sz w:val="20"/>
          <w:szCs w:val="20"/>
          <w:lang w:val="en-GB"/>
        </w:rPr>
      </w:pPr>
      <w:r w:rsidRPr="00877EF4">
        <w:rPr>
          <w:rFonts w:ascii="Times New Roman" w:hAnsi="Times New Roman"/>
          <w:b/>
          <w:bCs/>
          <w:noProof/>
          <w:sz w:val="20"/>
          <w:szCs w:val="20"/>
          <w:lang w:val="en-GB"/>
        </w:rPr>
        <w:t>Figure S6. Repeatability of the nano OECT</w:t>
      </w:r>
      <w:r w:rsidR="00A969C1" w:rsidRPr="00877EF4">
        <w:rPr>
          <w:rFonts w:ascii="Times New Roman" w:hAnsi="Times New Roman"/>
          <w:b/>
          <w:bCs/>
          <w:noProof/>
          <w:sz w:val="20"/>
          <w:szCs w:val="20"/>
          <w:lang w:val="en-GB"/>
        </w:rPr>
        <w:t xml:space="preserve"> response. </w:t>
      </w:r>
      <w:r w:rsidR="00A969C1" w:rsidRPr="00877EF4">
        <w:rPr>
          <w:rFonts w:ascii="Times New Roman" w:hAnsi="Times New Roman"/>
          <w:noProof/>
          <w:sz w:val="20"/>
          <w:szCs w:val="20"/>
          <w:lang w:val="en-GB"/>
        </w:rPr>
        <w:t>Output characteristics of a nano-sized channel with a Ag/AgCl microelectrode (</w:t>
      </w:r>
      <w:r w:rsidR="00A969C1" w:rsidRPr="00877EF4">
        <w:rPr>
          <w:rFonts w:ascii="Times New Roman" w:hAnsi="Times New Roman"/>
          <w:b/>
          <w:bCs/>
          <w:noProof/>
          <w:sz w:val="20"/>
          <w:szCs w:val="20"/>
          <w:lang w:val="en-GB"/>
        </w:rPr>
        <w:t>A</w:t>
      </w:r>
      <w:r w:rsidR="00A969C1" w:rsidRPr="00877EF4">
        <w:rPr>
          <w:rFonts w:ascii="Times New Roman" w:hAnsi="Times New Roman"/>
          <w:noProof/>
          <w:sz w:val="20"/>
          <w:szCs w:val="20"/>
          <w:lang w:val="en-GB"/>
        </w:rPr>
        <w:t>) or a PEDOT:PSS CNE (</w:t>
      </w:r>
      <w:r w:rsidR="00A969C1" w:rsidRPr="00877EF4">
        <w:rPr>
          <w:rFonts w:ascii="Times New Roman" w:hAnsi="Times New Roman"/>
          <w:b/>
          <w:bCs/>
          <w:noProof/>
          <w:sz w:val="20"/>
          <w:szCs w:val="20"/>
          <w:lang w:val="en-GB"/>
        </w:rPr>
        <w:t>B</w:t>
      </w:r>
      <w:r w:rsidR="00A969C1" w:rsidRPr="00877EF4">
        <w:rPr>
          <w:rFonts w:ascii="Times New Roman" w:hAnsi="Times New Roman"/>
          <w:noProof/>
          <w:sz w:val="20"/>
          <w:szCs w:val="20"/>
          <w:lang w:val="en-GB"/>
        </w:rPr>
        <w:t>) as gate electrode in buffer solution.Transfer characteristics of a nano-sized channel with a Ag/AgCl microelectrode or a PEDOT:PSS CNE as gate electrode in buffer solution and in the presence of 1 mM ascorbic acid (AA) (</w:t>
      </w:r>
      <w:r w:rsidR="00A969C1" w:rsidRPr="00877EF4">
        <w:rPr>
          <w:rFonts w:ascii="Times New Roman" w:hAnsi="Times New Roman"/>
          <w:b/>
          <w:bCs/>
          <w:noProof/>
          <w:sz w:val="20"/>
          <w:szCs w:val="20"/>
          <w:lang w:val="en-GB"/>
        </w:rPr>
        <w:t>C</w:t>
      </w:r>
      <w:r w:rsidR="00A969C1" w:rsidRPr="00877EF4">
        <w:rPr>
          <w:rFonts w:ascii="Times New Roman" w:hAnsi="Times New Roman"/>
          <w:noProof/>
          <w:sz w:val="20"/>
          <w:szCs w:val="20"/>
          <w:lang w:val="en-GB"/>
        </w:rPr>
        <w:t xml:space="preserve">, </w:t>
      </w:r>
      <w:r w:rsidR="00A969C1" w:rsidRPr="00877EF4">
        <w:rPr>
          <w:rFonts w:ascii="Times New Roman" w:hAnsi="Times New Roman"/>
          <w:b/>
          <w:bCs/>
          <w:noProof/>
          <w:sz w:val="20"/>
          <w:szCs w:val="20"/>
          <w:lang w:val="en-GB"/>
        </w:rPr>
        <w:t>D</w:t>
      </w:r>
      <w:r w:rsidR="00A969C1" w:rsidRPr="00877EF4">
        <w:rPr>
          <w:rFonts w:ascii="Times New Roman" w:hAnsi="Times New Roman"/>
          <w:noProof/>
          <w:sz w:val="20"/>
          <w:szCs w:val="20"/>
          <w:lang w:val="en-GB"/>
        </w:rPr>
        <w:t xml:space="preserve">, </w:t>
      </w:r>
      <w:r w:rsidR="00A969C1" w:rsidRPr="00877EF4">
        <w:rPr>
          <w:rFonts w:ascii="Times New Roman" w:hAnsi="Times New Roman"/>
          <w:b/>
          <w:bCs/>
          <w:noProof/>
          <w:sz w:val="20"/>
          <w:szCs w:val="20"/>
          <w:lang w:val="en-GB"/>
        </w:rPr>
        <w:t>E</w:t>
      </w:r>
      <w:r w:rsidR="00A969C1" w:rsidRPr="00877EF4">
        <w:rPr>
          <w:rFonts w:ascii="Times New Roman" w:hAnsi="Times New Roman"/>
          <w:noProof/>
          <w:sz w:val="20"/>
          <w:szCs w:val="20"/>
          <w:lang w:val="en-GB"/>
        </w:rPr>
        <w:t>).</w:t>
      </w:r>
    </w:p>
    <w:p w14:paraId="33C3E563" w14:textId="45B12775" w:rsidR="009A5990" w:rsidRDefault="00D93A9C" w:rsidP="001776DE">
      <w:pPr>
        <w:spacing w:line="480" w:lineRule="auto"/>
        <w:jc w:val="center"/>
        <w:rPr>
          <w:rFonts w:ascii="Times New Roman" w:hAnsi="Times New Roman"/>
          <w:noProof/>
          <w:sz w:val="20"/>
          <w:szCs w:val="20"/>
          <w:lang w:val="en-GB"/>
        </w:rPr>
      </w:pPr>
      <w:r>
        <w:rPr>
          <w:rFonts w:ascii="Times New Roman" w:hAnsi="Times New Roman"/>
          <w:noProof/>
          <w:sz w:val="20"/>
          <w:szCs w:val="20"/>
          <w:lang w:val="en-GB"/>
        </w:rPr>
        <w:drawing>
          <wp:inline distT="0" distB="0" distL="0" distR="0" wp14:anchorId="4FCB4A05" wp14:editId="51A62433">
            <wp:extent cx="3844290" cy="2943848"/>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848555" cy="2947114"/>
                    </a:xfrm>
                    <a:prstGeom prst="rect">
                      <a:avLst/>
                    </a:prstGeom>
                    <a:noFill/>
                  </pic:spPr>
                </pic:pic>
              </a:graphicData>
            </a:graphic>
          </wp:inline>
        </w:drawing>
      </w:r>
    </w:p>
    <w:p w14:paraId="2DDDC9FD" w14:textId="6DC798E2" w:rsidR="001776DE" w:rsidRDefault="009A5990" w:rsidP="00A64F3A">
      <w:pPr>
        <w:spacing w:line="480" w:lineRule="auto"/>
        <w:jc w:val="center"/>
        <w:rPr>
          <w:rFonts w:ascii="Times New Roman" w:hAnsi="Times New Roman"/>
          <w:b/>
          <w:bCs/>
          <w:noProof/>
          <w:sz w:val="20"/>
          <w:szCs w:val="20"/>
          <w:lang w:val="en-GB"/>
        </w:rPr>
      </w:pPr>
      <w:r w:rsidRPr="00877EF4">
        <w:rPr>
          <w:rFonts w:ascii="Times New Roman" w:hAnsi="Times New Roman"/>
          <w:b/>
          <w:bCs/>
          <w:noProof/>
          <w:sz w:val="20"/>
          <w:szCs w:val="20"/>
          <w:lang w:val="en-GB"/>
        </w:rPr>
        <w:t xml:space="preserve">Figure S7. Stabilization of Id. </w:t>
      </w:r>
      <w:r w:rsidRPr="00877EF4">
        <w:rPr>
          <w:rFonts w:ascii="Times New Roman" w:hAnsi="Times New Roman"/>
          <w:noProof/>
          <w:sz w:val="20"/>
          <w:szCs w:val="20"/>
          <w:lang w:val="en-GB"/>
        </w:rPr>
        <w:t>I</w:t>
      </w:r>
      <w:r w:rsidRPr="00877EF4">
        <w:rPr>
          <w:rFonts w:ascii="Times New Roman" w:hAnsi="Times New Roman"/>
          <w:noProof/>
          <w:sz w:val="20"/>
          <w:szCs w:val="20"/>
          <w:vertAlign w:val="subscript"/>
          <w:lang w:val="en-GB"/>
        </w:rPr>
        <w:t>d</w:t>
      </w:r>
      <w:r w:rsidRPr="00877EF4">
        <w:rPr>
          <w:rFonts w:ascii="Times New Roman" w:hAnsi="Times New Roman"/>
          <w:noProof/>
          <w:sz w:val="20"/>
          <w:szCs w:val="20"/>
          <w:lang w:val="en-GB"/>
        </w:rPr>
        <w:t xml:space="preserve"> vs time curve showing the stabilization of the OECT output current upon application of V</w:t>
      </w:r>
      <w:r w:rsidRPr="00877EF4">
        <w:rPr>
          <w:rFonts w:ascii="Times New Roman" w:hAnsi="Times New Roman"/>
          <w:noProof/>
          <w:sz w:val="20"/>
          <w:szCs w:val="20"/>
          <w:vertAlign w:val="subscript"/>
          <w:lang w:val="en-GB"/>
        </w:rPr>
        <w:t>g</w:t>
      </w:r>
      <w:r w:rsidRPr="00877EF4">
        <w:rPr>
          <w:rFonts w:ascii="Times New Roman" w:hAnsi="Times New Roman"/>
          <w:noProof/>
          <w:sz w:val="20"/>
          <w:szCs w:val="20"/>
          <w:lang w:val="en-GB"/>
        </w:rPr>
        <w:t xml:space="preserve"> = -0.9 V and V</w:t>
      </w:r>
      <w:r w:rsidRPr="00877EF4">
        <w:rPr>
          <w:rFonts w:ascii="Times New Roman" w:hAnsi="Times New Roman"/>
          <w:noProof/>
          <w:sz w:val="20"/>
          <w:szCs w:val="20"/>
          <w:vertAlign w:val="subscript"/>
          <w:lang w:val="en-GB"/>
        </w:rPr>
        <w:t>d</w:t>
      </w:r>
      <w:r w:rsidRPr="00877EF4">
        <w:rPr>
          <w:rFonts w:ascii="Times New Roman" w:hAnsi="Times New Roman"/>
          <w:noProof/>
          <w:sz w:val="20"/>
          <w:szCs w:val="20"/>
          <w:lang w:val="en-GB"/>
        </w:rPr>
        <w:t xml:space="preserve"> = -0.3 V before DA additions. Current drift over the stabilization window is given as %RSD and is equal to 1.3%.</w:t>
      </w:r>
      <w:r>
        <w:rPr>
          <w:rFonts w:ascii="Times New Roman" w:hAnsi="Times New Roman"/>
          <w:b/>
          <w:bCs/>
          <w:noProof/>
          <w:sz w:val="20"/>
          <w:szCs w:val="20"/>
          <w:lang w:val="en-GB"/>
        </w:rPr>
        <w:t xml:space="preserve"> </w:t>
      </w:r>
    </w:p>
    <w:p w14:paraId="1D410692" w14:textId="1F2DB9DB" w:rsidR="00D93A9C" w:rsidRDefault="00D93A9C" w:rsidP="00A64F3A">
      <w:pPr>
        <w:spacing w:line="480" w:lineRule="auto"/>
        <w:jc w:val="center"/>
        <w:rPr>
          <w:rFonts w:ascii="Times New Roman" w:hAnsi="Times New Roman"/>
          <w:b/>
          <w:bCs/>
          <w:noProof/>
          <w:sz w:val="20"/>
          <w:szCs w:val="20"/>
          <w:lang w:val="en-GB"/>
        </w:rPr>
      </w:pPr>
    </w:p>
    <w:p w14:paraId="383FB9BC" w14:textId="76E8F737" w:rsidR="007D3732" w:rsidRDefault="005560F0" w:rsidP="007D3732">
      <w:pPr>
        <w:spacing w:line="480" w:lineRule="auto"/>
        <w:jc w:val="both"/>
        <w:rPr>
          <w:rFonts w:ascii="Times New Roman" w:hAnsi="Times New Roman"/>
          <w:b/>
          <w:bCs/>
          <w:noProof/>
          <w:sz w:val="20"/>
          <w:szCs w:val="20"/>
          <w:lang w:val="en-GB"/>
        </w:rPr>
      </w:pPr>
      <w:r w:rsidRPr="00877EF4">
        <w:rPr>
          <w:rFonts w:ascii="Times New Roman" w:hAnsi="Times New Roman"/>
          <w:b/>
          <w:bCs/>
          <w:sz w:val="24"/>
          <w:szCs w:val="24"/>
          <w:lang w:val="en-GB"/>
        </w:rPr>
        <w:t>Response to Ascorbic Acid.</w:t>
      </w:r>
      <w:r w:rsidRPr="00877EF4">
        <w:rPr>
          <w:rFonts w:ascii="Times New Roman" w:hAnsi="Times New Roman"/>
          <w:sz w:val="24"/>
          <w:szCs w:val="24"/>
          <w:lang w:val="en-GB"/>
        </w:rPr>
        <w:t xml:space="preserve"> </w:t>
      </w:r>
      <w:r w:rsidR="007D3732" w:rsidRPr="00877EF4">
        <w:rPr>
          <w:rFonts w:ascii="Times New Roman" w:hAnsi="Times New Roman"/>
          <w:sz w:val="24"/>
          <w:szCs w:val="24"/>
          <w:lang w:val="en-GB"/>
        </w:rPr>
        <w:t xml:space="preserve">The response of a </w:t>
      </w:r>
      <w:proofErr w:type="gramStart"/>
      <w:r w:rsidR="007D3732" w:rsidRPr="00877EF4">
        <w:rPr>
          <w:rFonts w:ascii="Times New Roman" w:hAnsi="Times New Roman"/>
          <w:sz w:val="24"/>
          <w:szCs w:val="24"/>
          <w:lang w:val="en-GB"/>
        </w:rPr>
        <w:t>PEDOT:PSS</w:t>
      </w:r>
      <w:proofErr w:type="gramEnd"/>
      <w:r w:rsidR="007D3732" w:rsidRPr="00877EF4">
        <w:rPr>
          <w:rFonts w:ascii="Times New Roman" w:hAnsi="Times New Roman"/>
          <w:sz w:val="24"/>
          <w:szCs w:val="24"/>
          <w:lang w:val="en-GB"/>
        </w:rPr>
        <w:t xml:space="preserve"> gate electrode in binary mixtures containing equimolar DA and AA was studied by CV (Figure </w:t>
      </w:r>
      <w:r w:rsidRPr="00877EF4">
        <w:rPr>
          <w:rFonts w:ascii="Times New Roman" w:hAnsi="Times New Roman"/>
          <w:sz w:val="24"/>
          <w:szCs w:val="24"/>
          <w:lang w:val="en-GB"/>
        </w:rPr>
        <w:t>S8</w:t>
      </w:r>
      <w:r w:rsidR="007D3732" w:rsidRPr="00877EF4">
        <w:rPr>
          <w:rFonts w:ascii="Times New Roman" w:hAnsi="Times New Roman"/>
          <w:sz w:val="24"/>
          <w:szCs w:val="24"/>
          <w:lang w:val="en-GB"/>
        </w:rPr>
        <w:t xml:space="preserve">). The voltammograms recorded at different scan rates (Figure </w:t>
      </w:r>
      <w:r w:rsidRPr="00877EF4">
        <w:rPr>
          <w:rFonts w:ascii="Times New Roman" w:hAnsi="Times New Roman"/>
          <w:sz w:val="24"/>
          <w:szCs w:val="24"/>
          <w:lang w:val="en-GB"/>
        </w:rPr>
        <w:t>S8</w:t>
      </w:r>
      <w:r w:rsidR="007D3732" w:rsidRPr="00877EF4">
        <w:rPr>
          <w:rFonts w:ascii="Times New Roman" w:hAnsi="Times New Roman"/>
          <w:sz w:val="24"/>
          <w:szCs w:val="24"/>
          <w:lang w:val="en-GB"/>
        </w:rPr>
        <w:t xml:space="preserve"> A and B) suggest the sluggish kinetics associated to AA electro-oxidation, whose contribution is less resolved with increased scan rate. In contrast, DA contribution is clearly observed and, despite the presence of AA and the scan rate of 50 mV s</w:t>
      </w:r>
      <w:r w:rsidR="007D3732" w:rsidRPr="00877EF4">
        <w:rPr>
          <w:rFonts w:ascii="Times New Roman" w:hAnsi="Times New Roman"/>
          <w:sz w:val="24"/>
          <w:szCs w:val="24"/>
          <w:vertAlign w:val="superscript"/>
          <w:lang w:val="en-GB"/>
        </w:rPr>
        <w:t>-1</w:t>
      </w:r>
      <w:r w:rsidR="007D3732" w:rsidRPr="00877EF4">
        <w:rPr>
          <w:rFonts w:ascii="Times New Roman" w:hAnsi="Times New Roman"/>
          <w:sz w:val="24"/>
          <w:szCs w:val="24"/>
          <w:lang w:val="en-GB"/>
        </w:rPr>
        <w:t xml:space="preserve">, the electrode response to increasing DA concentrations in solution is linear (Figure </w:t>
      </w:r>
      <w:r w:rsidRPr="00877EF4">
        <w:rPr>
          <w:rFonts w:ascii="Times New Roman" w:hAnsi="Times New Roman"/>
          <w:sz w:val="24"/>
          <w:szCs w:val="24"/>
          <w:lang w:val="en-GB"/>
        </w:rPr>
        <w:t>S8</w:t>
      </w:r>
      <w:r w:rsidR="007D3732" w:rsidRPr="00877EF4">
        <w:rPr>
          <w:rFonts w:ascii="Times New Roman" w:hAnsi="Times New Roman"/>
          <w:sz w:val="24"/>
          <w:szCs w:val="24"/>
          <w:lang w:val="en-GB"/>
        </w:rPr>
        <w:t xml:space="preserve"> C).</w:t>
      </w:r>
    </w:p>
    <w:p w14:paraId="58C0D83B" w14:textId="051902D1" w:rsidR="00D93A9C" w:rsidRDefault="00B146F9" w:rsidP="00A64F3A">
      <w:pPr>
        <w:spacing w:line="480" w:lineRule="auto"/>
        <w:jc w:val="center"/>
        <w:rPr>
          <w:lang w:val="en-GB"/>
        </w:rPr>
      </w:pPr>
      <w:r>
        <w:rPr>
          <w:noProof/>
          <w:lang w:val="en-GB"/>
        </w:rPr>
        <w:drawing>
          <wp:inline distT="0" distB="0" distL="0" distR="0" wp14:anchorId="5DC87653" wp14:editId="2718752D">
            <wp:extent cx="5235918" cy="3965575"/>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42423" cy="3970502"/>
                    </a:xfrm>
                    <a:prstGeom prst="rect">
                      <a:avLst/>
                    </a:prstGeom>
                    <a:noFill/>
                  </pic:spPr>
                </pic:pic>
              </a:graphicData>
            </a:graphic>
          </wp:inline>
        </w:drawing>
      </w:r>
    </w:p>
    <w:p w14:paraId="221AC4C7" w14:textId="44E39629" w:rsidR="00D93A9C" w:rsidRDefault="00D93A9C" w:rsidP="00D93A9C">
      <w:pPr>
        <w:spacing w:line="480" w:lineRule="auto"/>
        <w:jc w:val="center"/>
        <w:rPr>
          <w:rFonts w:ascii="Times New Roman" w:hAnsi="Times New Roman"/>
          <w:b/>
          <w:bCs/>
          <w:noProof/>
          <w:sz w:val="20"/>
          <w:szCs w:val="20"/>
          <w:lang w:val="en-GB"/>
        </w:rPr>
      </w:pPr>
      <w:r w:rsidRPr="00877EF4">
        <w:rPr>
          <w:rFonts w:ascii="Times New Roman" w:hAnsi="Times New Roman"/>
          <w:b/>
          <w:bCs/>
          <w:noProof/>
          <w:sz w:val="20"/>
          <w:szCs w:val="20"/>
          <w:lang w:val="en-GB"/>
        </w:rPr>
        <w:t>Figure S8. Response to ascorbic acid.</w:t>
      </w:r>
      <w:r w:rsidRPr="00877EF4">
        <w:rPr>
          <w:rFonts w:ascii="Times New Roman" w:hAnsi="Times New Roman"/>
          <w:noProof/>
          <w:sz w:val="20"/>
          <w:szCs w:val="20"/>
          <w:lang w:val="en-GB"/>
        </w:rPr>
        <w:t xml:space="preserve"> CVs recorded using a needle-type gate electrode in binary mixtures containing both DA and AA at 50 mV s</w:t>
      </w:r>
      <w:r w:rsidRPr="00877EF4">
        <w:rPr>
          <w:rFonts w:ascii="Times New Roman" w:hAnsi="Times New Roman"/>
          <w:noProof/>
          <w:sz w:val="20"/>
          <w:szCs w:val="20"/>
          <w:vertAlign w:val="superscript"/>
          <w:lang w:val="en-GB"/>
        </w:rPr>
        <w:t>-1</w:t>
      </w:r>
      <w:r w:rsidRPr="00877EF4">
        <w:rPr>
          <w:rFonts w:ascii="Times New Roman" w:hAnsi="Times New Roman"/>
          <w:noProof/>
          <w:sz w:val="20"/>
          <w:szCs w:val="20"/>
          <w:lang w:val="en-GB"/>
        </w:rPr>
        <w:t xml:space="preserve"> (</w:t>
      </w:r>
      <w:r w:rsidRPr="00877EF4">
        <w:rPr>
          <w:rFonts w:ascii="Times New Roman" w:hAnsi="Times New Roman"/>
          <w:b/>
          <w:bCs/>
          <w:noProof/>
          <w:sz w:val="20"/>
          <w:szCs w:val="20"/>
          <w:lang w:val="en-GB"/>
        </w:rPr>
        <w:t>A</w:t>
      </w:r>
      <w:r w:rsidRPr="00877EF4">
        <w:rPr>
          <w:rFonts w:ascii="Times New Roman" w:hAnsi="Times New Roman"/>
          <w:noProof/>
          <w:sz w:val="20"/>
          <w:szCs w:val="20"/>
          <w:lang w:val="en-GB"/>
        </w:rPr>
        <w:t>) and 100 mV s</w:t>
      </w:r>
      <w:r w:rsidRPr="00877EF4">
        <w:rPr>
          <w:rFonts w:ascii="Times New Roman" w:hAnsi="Times New Roman"/>
          <w:noProof/>
          <w:sz w:val="20"/>
          <w:szCs w:val="20"/>
          <w:vertAlign w:val="superscript"/>
          <w:lang w:val="en-GB"/>
        </w:rPr>
        <w:t>-1</w:t>
      </w:r>
      <w:r w:rsidRPr="00877EF4">
        <w:rPr>
          <w:rFonts w:ascii="Times New Roman" w:hAnsi="Times New Roman"/>
          <w:noProof/>
          <w:sz w:val="20"/>
          <w:szCs w:val="20"/>
          <w:lang w:val="en-GB"/>
        </w:rPr>
        <w:t xml:space="preserve"> (</w:t>
      </w:r>
      <w:r w:rsidRPr="00877EF4">
        <w:rPr>
          <w:rFonts w:ascii="Times New Roman" w:hAnsi="Times New Roman"/>
          <w:b/>
          <w:bCs/>
          <w:noProof/>
          <w:sz w:val="20"/>
          <w:szCs w:val="20"/>
          <w:lang w:val="en-GB"/>
        </w:rPr>
        <w:t>B</w:t>
      </w:r>
      <w:r w:rsidRPr="00877EF4">
        <w:rPr>
          <w:rFonts w:ascii="Times New Roman" w:hAnsi="Times New Roman"/>
          <w:noProof/>
          <w:sz w:val="20"/>
          <w:szCs w:val="20"/>
          <w:lang w:val="en-GB"/>
        </w:rPr>
        <w:t>). (</w:t>
      </w:r>
      <w:r w:rsidRPr="00877EF4">
        <w:rPr>
          <w:rFonts w:ascii="Times New Roman" w:hAnsi="Times New Roman"/>
          <w:b/>
          <w:bCs/>
          <w:noProof/>
          <w:sz w:val="20"/>
          <w:szCs w:val="20"/>
          <w:lang w:val="en-GB"/>
        </w:rPr>
        <w:t>C</w:t>
      </w:r>
      <w:r w:rsidRPr="00877EF4">
        <w:rPr>
          <w:rFonts w:ascii="Times New Roman" w:hAnsi="Times New Roman"/>
          <w:noProof/>
          <w:sz w:val="20"/>
          <w:szCs w:val="20"/>
          <w:lang w:val="en-GB"/>
        </w:rPr>
        <w:t>) Voltammograms recorded at 50 mV s</w:t>
      </w:r>
      <w:r w:rsidRPr="00877EF4">
        <w:rPr>
          <w:rFonts w:ascii="Times New Roman" w:hAnsi="Times New Roman"/>
          <w:noProof/>
          <w:sz w:val="20"/>
          <w:szCs w:val="20"/>
          <w:vertAlign w:val="superscript"/>
          <w:lang w:val="en-GB"/>
        </w:rPr>
        <w:t>-1</w:t>
      </w:r>
      <w:r w:rsidRPr="00877EF4">
        <w:rPr>
          <w:rFonts w:ascii="Times New Roman" w:hAnsi="Times New Roman"/>
          <w:noProof/>
          <w:sz w:val="20"/>
          <w:szCs w:val="20"/>
          <w:lang w:val="en-GB"/>
        </w:rPr>
        <w:t xml:space="preserve"> in a buffered solution containing AA with increasing DA concentration. Inset: linear response of the recorded current vs DA concentration.  </w:t>
      </w:r>
    </w:p>
    <w:p w14:paraId="60D08DEB" w14:textId="77777777" w:rsidR="00D93A9C" w:rsidRPr="00D51701" w:rsidRDefault="00D93A9C" w:rsidP="00A64F3A">
      <w:pPr>
        <w:spacing w:line="480" w:lineRule="auto"/>
        <w:jc w:val="center"/>
        <w:rPr>
          <w:lang w:val="en-GB"/>
        </w:rPr>
      </w:pPr>
    </w:p>
    <w:sectPr w:rsidR="00D93A9C" w:rsidRPr="00D51701">
      <w:footerReference w:type="default" r:id="rId1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FFCD4A" w14:textId="77777777" w:rsidR="00BB362A" w:rsidRDefault="00BB362A">
      <w:pPr>
        <w:spacing w:after="0" w:line="240" w:lineRule="auto"/>
      </w:pPr>
      <w:r>
        <w:separator/>
      </w:r>
    </w:p>
  </w:endnote>
  <w:endnote w:type="continuationSeparator" w:id="0">
    <w:p w14:paraId="648BE5CA" w14:textId="77777777" w:rsidR="00BB362A" w:rsidRDefault="00BB36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altName w:val="Times New Roman"/>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SGulliver">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36647114"/>
      <w:docPartObj>
        <w:docPartGallery w:val="Page Numbers (Bottom of Page)"/>
        <w:docPartUnique/>
      </w:docPartObj>
    </w:sdtPr>
    <w:sdtEndPr>
      <w:rPr>
        <w:rFonts w:ascii="Times New Roman" w:hAnsi="Times New Roman"/>
        <w:sz w:val="24"/>
        <w:szCs w:val="24"/>
      </w:rPr>
    </w:sdtEndPr>
    <w:sdtContent>
      <w:p w14:paraId="1B6EE5D3" w14:textId="77777777" w:rsidR="00401A51" w:rsidRPr="00075D35" w:rsidRDefault="001B03AC">
        <w:pPr>
          <w:pStyle w:val="Fuzeile"/>
          <w:jc w:val="center"/>
          <w:rPr>
            <w:rFonts w:ascii="Times New Roman" w:hAnsi="Times New Roman"/>
            <w:sz w:val="24"/>
            <w:szCs w:val="24"/>
          </w:rPr>
        </w:pPr>
        <w:r w:rsidRPr="00075D35">
          <w:rPr>
            <w:rFonts w:ascii="Times New Roman" w:hAnsi="Times New Roman"/>
            <w:sz w:val="24"/>
            <w:szCs w:val="24"/>
          </w:rPr>
          <w:fldChar w:fldCharType="begin"/>
        </w:r>
        <w:r w:rsidRPr="00075D35">
          <w:rPr>
            <w:rFonts w:ascii="Times New Roman" w:hAnsi="Times New Roman"/>
            <w:sz w:val="24"/>
            <w:szCs w:val="24"/>
          </w:rPr>
          <w:instrText>PAGE   \* MERGEFORMAT</w:instrText>
        </w:r>
        <w:r w:rsidRPr="00075D35">
          <w:rPr>
            <w:rFonts w:ascii="Times New Roman" w:hAnsi="Times New Roman"/>
            <w:sz w:val="24"/>
            <w:szCs w:val="24"/>
          </w:rPr>
          <w:fldChar w:fldCharType="separate"/>
        </w:r>
        <w:r w:rsidR="006B74F0">
          <w:rPr>
            <w:rFonts w:ascii="Times New Roman" w:hAnsi="Times New Roman"/>
            <w:noProof/>
            <w:sz w:val="24"/>
            <w:szCs w:val="24"/>
          </w:rPr>
          <w:t>7</w:t>
        </w:r>
        <w:r w:rsidRPr="00075D35">
          <w:rPr>
            <w:rFonts w:ascii="Times New Roman" w:hAnsi="Times New Roman"/>
            <w:sz w:val="24"/>
            <w:szCs w:val="24"/>
          </w:rPr>
          <w:fldChar w:fldCharType="end"/>
        </w:r>
      </w:p>
    </w:sdtContent>
  </w:sdt>
  <w:p w14:paraId="08738F0C" w14:textId="77777777" w:rsidR="00401A51" w:rsidRDefault="00BB362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AB361C" w14:textId="77777777" w:rsidR="00BB362A" w:rsidRDefault="00BB362A">
      <w:pPr>
        <w:spacing w:after="0" w:line="240" w:lineRule="auto"/>
      </w:pPr>
      <w:r>
        <w:separator/>
      </w:r>
    </w:p>
  </w:footnote>
  <w:footnote w:type="continuationSeparator" w:id="0">
    <w:p w14:paraId="2732EAB7" w14:textId="77777777" w:rsidR="00BB362A" w:rsidRDefault="00BB36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701"/>
    <w:rsid w:val="00090D5E"/>
    <w:rsid w:val="001050FF"/>
    <w:rsid w:val="001776DE"/>
    <w:rsid w:val="001B03AC"/>
    <w:rsid w:val="002E6497"/>
    <w:rsid w:val="003300F2"/>
    <w:rsid w:val="00470DB4"/>
    <w:rsid w:val="004A08EC"/>
    <w:rsid w:val="005560F0"/>
    <w:rsid w:val="005D6E42"/>
    <w:rsid w:val="00601DB0"/>
    <w:rsid w:val="006144F2"/>
    <w:rsid w:val="006234B0"/>
    <w:rsid w:val="006A6F68"/>
    <w:rsid w:val="006B74F0"/>
    <w:rsid w:val="007149EA"/>
    <w:rsid w:val="00786A0A"/>
    <w:rsid w:val="007B1184"/>
    <w:rsid w:val="007D3732"/>
    <w:rsid w:val="00877EF4"/>
    <w:rsid w:val="008B58FD"/>
    <w:rsid w:val="009A5990"/>
    <w:rsid w:val="00A1550A"/>
    <w:rsid w:val="00A64F3A"/>
    <w:rsid w:val="00A969C1"/>
    <w:rsid w:val="00B146F9"/>
    <w:rsid w:val="00BB362A"/>
    <w:rsid w:val="00CB4637"/>
    <w:rsid w:val="00CD33D7"/>
    <w:rsid w:val="00D06618"/>
    <w:rsid w:val="00D51701"/>
    <w:rsid w:val="00D6414B"/>
    <w:rsid w:val="00D93A9C"/>
    <w:rsid w:val="00EB62E2"/>
    <w:rsid w:val="00EF282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A6750"/>
  <w15:chartTrackingRefBased/>
  <w15:docId w15:val="{CC8A83E8-8DA3-45C7-8FC2-E421BEC9B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51701"/>
    <w:pPr>
      <w:spacing w:after="200" w:line="276" w:lineRule="auto"/>
    </w:pPr>
    <w:rPr>
      <w:rFonts w:ascii="Calibri" w:eastAsia="Calibri" w:hAnsi="Calibri"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unhideWhenUsed/>
    <w:rsid w:val="00D51701"/>
    <w:pPr>
      <w:tabs>
        <w:tab w:val="center" w:pos="4819"/>
        <w:tab w:val="right" w:pos="9638"/>
      </w:tabs>
      <w:spacing w:after="0" w:line="240" w:lineRule="auto"/>
    </w:pPr>
  </w:style>
  <w:style w:type="character" w:customStyle="1" w:styleId="FuzeileZchn">
    <w:name w:val="Fußzeile Zchn"/>
    <w:basedOn w:val="Absatz-Standardschriftart"/>
    <w:link w:val="Fuzeile"/>
    <w:uiPriority w:val="99"/>
    <w:rsid w:val="00D51701"/>
    <w:rPr>
      <w:rFonts w:ascii="Calibri" w:eastAsia="Calibri" w:hAnsi="Calibri" w:cs="Times New Roman"/>
    </w:rPr>
  </w:style>
  <w:style w:type="paragraph" w:customStyle="1" w:styleId="RSCB06BHeadingSub-Section">
    <w:name w:val="RSC B06 B Heading (Sub-Section)"/>
    <w:link w:val="RSCB06BHeadingSub-SectionChar"/>
    <w:qFormat/>
    <w:rsid w:val="00D51701"/>
    <w:pPr>
      <w:spacing w:after="80" w:line="240" w:lineRule="exact"/>
    </w:pPr>
    <w:rPr>
      <w:b/>
      <w:sz w:val="18"/>
      <w:lang w:val="en-GB"/>
    </w:rPr>
  </w:style>
  <w:style w:type="character" w:customStyle="1" w:styleId="RSCB06BHeadingSub-SectionChar">
    <w:name w:val="RSC B06 B Heading (Sub-Section) Char"/>
    <w:basedOn w:val="Absatz-Standardschriftart"/>
    <w:link w:val="RSCB06BHeadingSub-Section"/>
    <w:rsid w:val="00D51701"/>
    <w:rPr>
      <w:b/>
      <w:sz w:val="18"/>
      <w:lang w:val="en-GB"/>
    </w:rPr>
  </w:style>
  <w:style w:type="table" w:styleId="Tabellenraster">
    <w:name w:val="Table Grid"/>
    <w:basedOn w:val="NormaleTabelle"/>
    <w:uiPriority w:val="59"/>
    <w:rsid w:val="00D51701"/>
    <w:pPr>
      <w:spacing w:after="0" w:line="240" w:lineRule="auto"/>
    </w:pPr>
    <w:rPr>
      <w:rFonts w:eastAsiaTheme="minorEastAsia"/>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1B03A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B03AC"/>
    <w:rPr>
      <w:rFonts w:ascii="Segoe UI" w:eastAsia="Calibri" w:hAnsi="Segoe UI" w:cs="Segoe UI"/>
      <w:sz w:val="18"/>
      <w:szCs w:val="18"/>
    </w:rPr>
  </w:style>
  <w:style w:type="paragraph" w:customStyle="1" w:styleId="Addresses">
    <w:name w:val="Addresses"/>
    <w:basedOn w:val="Standard"/>
    <w:rsid w:val="006144F2"/>
    <w:pPr>
      <w:spacing w:after="0" w:line="240" w:lineRule="auto"/>
    </w:pPr>
    <w:rPr>
      <w:rFonts w:ascii="Times New Roman" w:eastAsia="MS Mincho" w:hAnsi="Times New Roman"/>
      <w:sz w:val="24"/>
      <w:szCs w:val="24"/>
      <w:lang w:val="en-US" w:eastAsia="ja-JP"/>
    </w:rPr>
  </w:style>
  <w:style w:type="paragraph" w:customStyle="1" w:styleId="Paragraph">
    <w:name w:val="Paragraph"/>
    <w:basedOn w:val="Standard"/>
    <w:rsid w:val="006144F2"/>
    <w:pPr>
      <w:spacing w:before="120" w:after="0" w:line="240" w:lineRule="auto"/>
      <w:ind w:firstLine="720"/>
    </w:pPr>
    <w:rPr>
      <w:rFonts w:ascii="Times New Roman" w:eastAsia="Times New Roman" w:hAnsi="Times New Roman"/>
      <w:sz w:val="24"/>
      <w:szCs w:val="24"/>
      <w:lang w:val="en-US"/>
    </w:rPr>
  </w:style>
  <w:style w:type="character" w:customStyle="1" w:styleId="institution">
    <w:name w:val="institution"/>
    <w:rsid w:val="006144F2"/>
  </w:style>
  <w:style w:type="character" w:customStyle="1" w:styleId="addr-line">
    <w:name w:val="addr-line"/>
    <w:rsid w:val="006144F2"/>
  </w:style>
  <w:style w:type="character" w:customStyle="1" w:styleId="country">
    <w:name w:val="country"/>
    <w:rsid w:val="006144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1002</Words>
  <Characters>6318</Characters>
  <Application>Microsoft Office Word</Application>
  <DocSecurity>0</DocSecurity>
  <Lines>52</Lines>
  <Paragraphs>14</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Federica Mariani</dc:creator>
  <cp:keywords/>
  <dc:description/>
  <cp:lastModifiedBy>Jolanta Oleksy-Frenzel</cp:lastModifiedBy>
  <cp:revision>2</cp:revision>
  <dcterms:created xsi:type="dcterms:W3CDTF">2020-05-22T06:18:00Z</dcterms:created>
  <dcterms:modified xsi:type="dcterms:W3CDTF">2020-05-22T06:18:00Z</dcterms:modified>
</cp:coreProperties>
</file>