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B09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The PDI of DLS</w:t>
      </w:r>
    </w:p>
    <w:p w14:paraId="7C39928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MNPs</w:t>
      </w:r>
    </w:p>
    <w:p w14:paraId="460C079E">
      <w:r>
        <w:drawing>
          <wp:inline distT="0" distB="0" distL="114300" distR="114300">
            <wp:extent cx="5269230" cy="3051175"/>
            <wp:effectExtent l="4445" t="4445" r="9525" b="5080"/>
            <wp:docPr id="112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38E0155">
      <w:r>
        <w:drawing>
          <wp:inline distT="0" distB="0" distL="114300" distR="114300">
            <wp:extent cx="5321935" cy="3102610"/>
            <wp:effectExtent l="0" t="0" r="12065" b="8890"/>
            <wp:docPr id="1123" name="图片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" name="图片 10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684E23"/>
    <w:p w14:paraId="5756A32E"/>
    <w:p w14:paraId="0F615D81"/>
    <w:p w14:paraId="7709D8C7">
      <w:pPr>
        <w:rPr>
          <w:rFonts w:hint="eastAsia"/>
          <w:lang w:val="en-US" w:eastAsia="zh-CN"/>
        </w:rPr>
      </w:pPr>
    </w:p>
    <w:p w14:paraId="5AA93B5E">
      <w:pPr>
        <w:rPr>
          <w:rFonts w:hint="eastAsia"/>
          <w:lang w:val="en-US" w:eastAsia="zh-CN"/>
        </w:rPr>
      </w:pPr>
    </w:p>
    <w:p w14:paraId="18F160D8">
      <w:pPr>
        <w:rPr>
          <w:rFonts w:hint="eastAsia"/>
          <w:lang w:val="en-US" w:eastAsia="zh-CN"/>
        </w:rPr>
      </w:pPr>
    </w:p>
    <w:p w14:paraId="43A65337">
      <w:pPr>
        <w:rPr>
          <w:rFonts w:hint="eastAsia"/>
          <w:lang w:val="en-US" w:eastAsia="zh-CN"/>
        </w:rPr>
      </w:pPr>
    </w:p>
    <w:p w14:paraId="216C12E3">
      <w:pPr>
        <w:rPr>
          <w:rFonts w:hint="eastAsia"/>
          <w:lang w:val="en-US" w:eastAsia="zh-CN"/>
        </w:rPr>
      </w:pPr>
    </w:p>
    <w:p w14:paraId="10BADEB0">
      <w:pPr>
        <w:rPr>
          <w:rFonts w:hint="eastAsia"/>
          <w:lang w:val="en-US" w:eastAsia="zh-CN"/>
        </w:rPr>
      </w:pPr>
    </w:p>
    <w:p w14:paraId="3F729633">
      <w:pPr>
        <w:rPr>
          <w:rFonts w:hint="eastAsia"/>
          <w:lang w:val="en-US" w:eastAsia="zh-CN"/>
        </w:rPr>
      </w:pPr>
    </w:p>
    <w:p w14:paraId="5CFEAF67">
      <w:r>
        <w:rPr>
          <w:rFonts w:hint="eastAsia"/>
          <w:lang w:val="en-US" w:eastAsia="zh-CN"/>
        </w:rPr>
        <w:t>SPA-MNPs</w:t>
      </w:r>
      <w:r>
        <w:drawing>
          <wp:inline distT="0" distB="0" distL="114300" distR="114300">
            <wp:extent cx="5269230" cy="3051175"/>
            <wp:effectExtent l="4445" t="4445" r="9525" b="5080"/>
            <wp:docPr id="1130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86F690">
      <w:r>
        <w:drawing>
          <wp:inline distT="0" distB="0" distL="114300" distR="114300">
            <wp:extent cx="5293360" cy="4603115"/>
            <wp:effectExtent l="0" t="0" r="2540" b="6985"/>
            <wp:docPr id="1131" name="图片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" name="图片 10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4603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FCC39C"/>
    <w:p w14:paraId="40301C25"/>
    <w:p w14:paraId="7CD5E850"/>
    <w:p w14:paraId="6296903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Ab-SPA-MNPs</w:t>
      </w:r>
      <w:bookmarkStart w:id="0" w:name="_GoBack"/>
      <w:bookmarkEnd w:id="0"/>
    </w:p>
    <w:p w14:paraId="1BAF4F8A">
      <w:r>
        <w:drawing>
          <wp:inline distT="0" distB="0" distL="114300" distR="114300">
            <wp:extent cx="5269230" cy="3051175"/>
            <wp:effectExtent l="4445" t="4445" r="9525" b="5080"/>
            <wp:docPr id="113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FAC49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346700" cy="3119755"/>
            <wp:effectExtent l="0" t="0" r="0" b="4445"/>
            <wp:docPr id="1133" name="图片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图片 10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11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76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chart" Target="charts/chart3.xml"/><Relationship Id="rId7" Type="http://schemas.openxmlformats.org/officeDocument/2006/relationships/image" Target="media/image2.png"/><Relationship Id="rId6" Type="http://schemas.openxmlformats.org/officeDocument/2006/relationships/chart" Target="charts/chart2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36213;&#24429;&#33457;\Desktop\&#39640;&#36890;&#37327;&#33521;&#25991;\&#21407;&#22987;&#36164;&#26009;\269.2&#31890;&#24452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36213;&#24429;&#33457;\Desktop\&#39640;&#36890;&#37327;&#33521;&#25991;\&#21407;&#22987;&#36164;&#26009;\492.7&#31890;&#24452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36213;&#24429;&#33457;\Desktop\&#39640;&#36890;&#37327;&#33521;&#25991;\&#21407;&#22987;&#36164;&#26009;\502.7&#31890;&#2445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33333889997579"/>
          <c:y val="0.032344899195292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rgbClr val="000000">
                  <a:alpha val="100000"/>
                </a:srgbClr>
              </a:solidFill>
              <a:latin typeface="Arial" panose="020B0604020202020204" pitchFamily="7" charset="0"/>
              <a:ea typeface="Arial" panose="020B0604020202020204" pitchFamily="7" charset="0"/>
              <a:cs typeface="Arial" panose="020B0604020202020204" pitchFamily="7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120192495794045"/>
          <c:y val="0.1455525606469"/>
          <c:w val="0.785257639187762"/>
          <c:h val="0.695417789757412"/>
        </c:manualLayout>
      </c:layout>
      <c:scatterChart>
        <c:scatterStyle val="lineMarker"/>
        <c:varyColors val="0"/>
        <c:ser>
          <c:idx val="0"/>
          <c:order val="0"/>
          <c:tx>
            <c:strRef>
              <c:f>[269.2粒径.xls]Sheet1!$B$2</c:f>
              <c:strCache>
                <c:ptCount val="1"/>
                <c:pt idx="0">
                  <c:v>Volume Distribution Data (%)</c:v>
                </c:pt>
              </c:strCache>
            </c:strRef>
          </c:tx>
          <c:spPr>
            <a:ln w="12700" cap="rnd" cmpd="sng" algn="ctr">
              <a:solidFill>
                <a:srgbClr val="000080">
                  <a:alpha val="100000"/>
                </a:srgbClr>
              </a:solidFill>
              <a:prstDash val="solid"/>
              <a:round/>
            </a:ln>
          </c:spPr>
          <c:marker>
            <c:symbol val="diamond"/>
            <c:size val="5"/>
            <c:spPr>
              <a:solidFill>
                <a:srgbClr val="000080">
                  <a:alpha val="100000"/>
                </a:srgbClr>
              </a:solidFill>
              <a:ln w="9525" cap="flat" cmpd="sng" algn="ctr">
                <a:solidFill>
                  <a:srgbClr val="000080">
                    <a:alpha val="100000"/>
                  </a:srgbClr>
                </a:solidFill>
                <a:prstDash val="solid"/>
                <a:round/>
              </a:ln>
            </c:spPr>
          </c:marker>
          <c:dLbls>
            <c:delete val="1"/>
          </c:dLbls>
          <c:xVal>
            <c:numRef>
              <c:f>[269.2粒径.xls]Sheet1!$A$3:$A$71</c:f>
              <c:numCache>
                <c:formatCode>General</c:formatCode>
                <c:ptCount val="69"/>
                <c:pt idx="0">
                  <c:v>0.400000005960464</c:v>
                </c:pt>
                <c:pt idx="1">
                  <c:v>0.463231682777405</c:v>
                </c:pt>
                <c:pt idx="2">
                  <c:v>0.536458969116211</c:v>
                </c:pt>
                <c:pt idx="3">
                  <c:v>0.621261954307556</c:v>
                </c:pt>
                <c:pt idx="4">
                  <c:v>0.71947056055069</c:v>
                </c:pt>
                <c:pt idx="5">
                  <c:v>0.833203911781311</c:v>
                </c:pt>
                <c:pt idx="6">
                  <c:v>0.964916110038757</c:v>
                </c:pt>
                <c:pt idx="7">
                  <c:v>1.11744928359985</c:v>
                </c:pt>
                <c:pt idx="8">
                  <c:v>1.2940948009491</c:v>
                </c:pt>
                <c:pt idx="9">
                  <c:v>1.49866425991058</c:v>
                </c:pt>
                <c:pt idx="10">
                  <c:v>1.73557186126709</c:v>
                </c:pt>
                <c:pt idx="11">
                  <c:v>2.00992965698242</c:v>
                </c:pt>
                <c:pt idx="12">
                  <c:v>2.32765769958496</c:v>
                </c:pt>
                <c:pt idx="13">
                  <c:v>2.69561195373535</c:v>
                </c:pt>
                <c:pt idx="14">
                  <c:v>3.12173223495483</c:v>
                </c:pt>
                <c:pt idx="15">
                  <c:v>3.61521315574646</c:v>
                </c:pt>
                <c:pt idx="16">
                  <c:v>4.18670320510864</c:v>
                </c:pt>
                <c:pt idx="17">
                  <c:v>4.84853363037109</c:v>
                </c:pt>
                <c:pt idx="18">
                  <c:v>5.61498594284058</c:v>
                </c:pt>
                <c:pt idx="19">
                  <c:v>6.50259876251221</c:v>
                </c:pt>
                <c:pt idx="20">
                  <c:v>7.53052425384521</c:v>
                </c:pt>
                <c:pt idx="21">
                  <c:v>8.72094345092773</c:v>
                </c:pt>
                <c:pt idx="22">
                  <c:v>10.0995435714722</c:v>
                </c:pt>
                <c:pt idx="23">
                  <c:v>11.6960706710815</c:v>
                </c:pt>
                <c:pt idx="24">
                  <c:v>13.544976234436</c:v>
                </c:pt>
                <c:pt idx="25">
                  <c:v>15.6861553192139</c:v>
                </c:pt>
                <c:pt idx="26">
                  <c:v>18.1658096313477</c:v>
                </c:pt>
                <c:pt idx="27">
                  <c:v>21.037446975708</c:v>
                </c:pt>
                <c:pt idx="28">
                  <c:v>24.3630294799805</c:v>
                </c:pt>
                <c:pt idx="29">
                  <c:v>28.2143173217773</c:v>
                </c:pt>
                <c:pt idx="30">
                  <c:v>32.6744155883789</c:v>
                </c:pt>
                <c:pt idx="31">
                  <c:v>37.8395614624023</c:v>
                </c:pt>
                <c:pt idx="32">
                  <c:v>43.8212089538574</c:v>
                </c:pt>
                <c:pt idx="33">
                  <c:v>50.7484283447266</c:v>
                </c:pt>
                <c:pt idx="34">
                  <c:v>58.7706985473633</c:v>
                </c:pt>
                <c:pt idx="35">
                  <c:v>68.0611267089844</c:v>
                </c:pt>
                <c:pt idx="36">
                  <c:v>78.8201751708984</c:v>
                </c:pt>
                <c:pt idx="37">
                  <c:v>91.2800064086914</c:v>
                </c:pt>
                <c:pt idx="38">
                  <c:v>105.70947265625</c:v>
                </c:pt>
                <c:pt idx="39">
                  <c:v>122.419944763184</c:v>
                </c:pt>
                <c:pt idx="40">
                  <c:v>141.771987915039</c:v>
                </c:pt>
                <c:pt idx="41">
                  <c:v>164.183197021484</c:v>
                </c:pt>
                <c:pt idx="42">
                  <c:v>190.137130737305</c:v>
                </c:pt>
                <c:pt idx="43">
                  <c:v>220.193862915039</c:v>
                </c:pt>
                <c:pt idx="44">
                  <c:v>255.001937866211</c:v>
                </c:pt>
                <c:pt idx="45">
                  <c:v>295.312438964844</c:v>
                </c:pt>
                <c:pt idx="46">
                  <c:v>341.995178222656</c:v>
                </c:pt>
                <c:pt idx="47">
                  <c:v>396.057525634766</c:v>
                </c:pt>
                <c:pt idx="48">
                  <c:v>458.665954589844</c:v>
                </c:pt>
                <c:pt idx="49">
                  <c:v>531.171508789063</c:v>
                </c:pt>
                <c:pt idx="50">
                  <c:v>615.138671875</c:v>
                </c:pt>
                <c:pt idx="51">
                  <c:v>712.379333496094</c:v>
                </c:pt>
                <c:pt idx="52">
                  <c:v>824.99169921875</c:v>
                </c:pt>
                <c:pt idx="53">
                  <c:v>955.405700683594</c:v>
                </c:pt>
                <c:pt idx="54">
                  <c:v>1106.43542480469</c:v>
                </c:pt>
                <c:pt idx="55">
                  <c:v>1281.33984375</c:v>
                </c:pt>
                <c:pt idx="56">
                  <c:v>1483.89306640625</c:v>
                </c:pt>
                <c:pt idx="57">
                  <c:v>1718.46569824219</c:v>
                </c:pt>
                <c:pt idx="58">
                  <c:v>1990.11938476562</c:v>
                </c:pt>
                <c:pt idx="59">
                  <c:v>2304.7158203125</c:v>
                </c:pt>
                <c:pt idx="60">
                  <c:v>2669.04345703125</c:v>
                </c:pt>
                <c:pt idx="61">
                  <c:v>3090.9638671875</c:v>
                </c:pt>
                <c:pt idx="62">
                  <c:v>3579.58081054688</c:v>
                </c:pt>
                <c:pt idx="63">
                  <c:v>4145.43798828125</c:v>
                </c:pt>
                <c:pt idx="64">
                  <c:v>4800.74560546875</c:v>
                </c:pt>
                <c:pt idx="65">
                  <c:v>5559.6435546875</c:v>
                </c:pt>
                <c:pt idx="66">
                  <c:v>6438.5078125</c:v>
                </c:pt>
                <c:pt idx="67">
                  <c:v>7456.3017578125</c:v>
                </c:pt>
                <c:pt idx="68">
                  <c:v>8634.98828125</c:v>
                </c:pt>
              </c:numCache>
            </c:numRef>
          </c:xVal>
          <c:yVal>
            <c:numRef>
              <c:f>[269.2粒径.xls]Sheet1!$B$3:$B$71</c:f>
              <c:numCache>
                <c:formatCode>General</c:formatCode>
                <c:ptCount val="6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1.74701714515686</c:v>
                </c:pt>
                <c:pt idx="40">
                  <c:v>9.09606552124023</c:v>
                </c:pt>
                <c:pt idx="41">
                  <c:v>20.2222900390625</c:v>
                </c:pt>
                <c:pt idx="42">
                  <c:v>26.3355102539063</c:v>
                </c:pt>
                <c:pt idx="43">
                  <c:v>23.2005767822266</c:v>
                </c:pt>
                <c:pt idx="44">
                  <c:v>13.9269933700562</c:v>
                </c:pt>
                <c:pt idx="45">
                  <c:v>4.83011531829834</c:v>
                </c:pt>
                <c:pt idx="46">
                  <c:v>0.641431152820587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7990373"/>
        <c:axId val="337155251"/>
      </c:scatterChart>
      <c:valAx>
        <c:axId val="247990373"/>
        <c:scaling>
          <c:logBase val="10"/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875" b="1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</a:defRPr>
                </a:pPr>
                <a:r>
                  <a:t>size (nm)</a:t>
                </a:r>
                <a:endParaRPr sz="875" b="1" i="0" u="none" strike="noStrike" baseline="0">
                  <a:solidFill>
                    <a:srgbClr val="000000">
                      <a:alpha val="100000"/>
                    </a:srgbClr>
                  </a:solidFill>
                  <a:latin typeface="Arial" panose="020B0604020202020204" pitchFamily="7" charset="0"/>
                  <a:ea typeface="Arial" panose="020B0604020202020204" pitchFamily="7" charset="0"/>
                  <a:cs typeface="Arial" panose="020B0604020202020204" pitchFamily="7" charset="0"/>
                </a:endParaRPr>
              </a:p>
            </c:rich>
          </c:tx>
          <c:layout>
            <c:manualLayout>
              <c:xMode val="edge"/>
              <c:yMode val="edge"/>
              <c:x val="0.467949332420404"/>
              <c:y val="0.892183380923538"/>
            </c:manualLayout>
          </c:layout>
          <c:overlay val="0"/>
        </c:title>
        <c:numFmt formatCode="0.0E+00" sourceLinked="0"/>
        <c:majorTickMark val="out"/>
        <c:minorTickMark val="out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</a:defRPr>
            </a:pPr>
          </a:p>
        </c:txPr>
        <c:crossAx val="337155251"/>
        <c:crosses val="autoZero"/>
        <c:crossBetween val="midCat"/>
        <c:minorUnit val="10"/>
      </c:valAx>
      <c:valAx>
        <c:axId val="337155251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100000"/>
                </a:srgbClr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875" b="1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</a:defRPr>
                </a:pPr>
                <a:r>
                  <a:t>%</a:t>
                </a:r>
                <a:endParaRPr sz="875" b="1" i="0" u="none" strike="noStrike" baseline="0">
                  <a:solidFill>
                    <a:srgbClr val="000000">
                      <a:alpha val="100000"/>
                    </a:srgbClr>
                  </a:solidFill>
                  <a:latin typeface="Arial" panose="020B0604020202020204" pitchFamily="7" charset="0"/>
                  <a:ea typeface="Arial" panose="020B0604020202020204" pitchFamily="7" charset="0"/>
                  <a:cs typeface="Arial" panose="020B0604020202020204" pitchFamily="7" charset="0"/>
                </a:endParaRPr>
              </a:p>
            </c:rich>
          </c:tx>
          <c:layout>
            <c:manualLayout>
              <c:xMode val="edge"/>
              <c:yMode val="edge"/>
              <c:x val="0.0304486435484006"/>
              <c:y val="0.47708892157711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</a:defRPr>
            </a:pPr>
          </a:p>
        </c:txPr>
        <c:crossAx val="247990373"/>
        <c:crossesAt val="0.1"/>
        <c:crossBetween val="midCat"/>
      </c:valAx>
      <c:spPr>
        <a:noFill/>
        <a:ln w="12700">
          <a:solidFill>
            <a:srgbClr val="000000">
              <a:alpha val="100000"/>
            </a:srgbClr>
          </a:solidFill>
          <a:prstDash val="solid"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6378d511-b525-479d-a864-fce7fcb5150c}"/>
      </c:ext>
    </c:extLst>
  </c:chart>
  <c:spPr>
    <a:solidFill>
      <a:srgbClr val="FFFFFF">
        <a:alpha val="100000"/>
      </a:srgbClr>
    </a:solidFill>
    <a:ln w="3175" cap="flat" cmpd="sng" algn="ctr">
      <a:solidFill>
        <a:srgbClr val="000000">
          <a:alpha val="100000"/>
        </a:srgbClr>
      </a:solidFill>
      <a:prstDash val="solid"/>
      <a:round/>
    </a:ln>
  </c:spPr>
  <c:txPr>
    <a:bodyPr rot="0" wrap="square" anchor="ctr" anchorCtr="1"/>
    <a:lstStyle/>
    <a:p>
      <a:pPr>
        <a:defRPr lang="zh-CN" sz="1200" b="0" i="0" u="none" strike="noStrike" baseline="0">
          <a:solidFill>
            <a:srgbClr val="000000">
              <a:alpha val="100000"/>
            </a:srgbClr>
          </a:solidFill>
          <a:latin typeface="Arial" panose="020B0604020202020204" pitchFamily="7" charset="0"/>
          <a:ea typeface="Arial" panose="020B0604020202020204" pitchFamily="7" charset="0"/>
          <a:cs typeface="Arial" panose="020B0604020202020204" pitchFamily="7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33333838077933"/>
          <c:y val="0.03234501347708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rgbClr val="000000">
                  <a:alpha val="100000"/>
                </a:srgbClr>
              </a:solidFill>
              <a:latin typeface="Arial" panose="020B0604020202020204" pitchFamily="7" charset="0"/>
              <a:ea typeface="Arial" panose="020B0604020202020204" pitchFamily="7" charset="0"/>
              <a:cs typeface="Arial" panose="020B0604020202020204" pitchFamily="7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120192495794045"/>
          <c:y val="0.1455525606469"/>
          <c:w val="0.785257639187762"/>
          <c:h val="0.695417789757412"/>
        </c:manualLayout>
      </c:layout>
      <c:scatterChart>
        <c:scatterStyle val="lineMarker"/>
        <c:varyColors val="0"/>
        <c:ser>
          <c:idx val="0"/>
          <c:order val="0"/>
          <c:tx>
            <c:strRef>
              <c:f>[492.7粒径.xls]Sheet1!$B$2</c:f>
              <c:strCache>
                <c:ptCount val="1"/>
                <c:pt idx="0">
                  <c:v>Volume Distribution Data (%)</c:v>
                </c:pt>
              </c:strCache>
            </c:strRef>
          </c:tx>
          <c:spPr>
            <a:ln w="12700" cap="rnd" cmpd="sng" algn="ctr">
              <a:solidFill>
                <a:srgbClr val="000080">
                  <a:alpha val="100000"/>
                </a:srgbClr>
              </a:solidFill>
              <a:prstDash val="solid"/>
              <a:round/>
            </a:ln>
          </c:spPr>
          <c:marker>
            <c:symbol val="diamond"/>
            <c:size val="5"/>
            <c:spPr>
              <a:solidFill>
                <a:srgbClr val="000080">
                  <a:alpha val="100000"/>
                </a:srgbClr>
              </a:solidFill>
              <a:ln w="9525" cap="flat" cmpd="sng" algn="ctr">
                <a:solidFill>
                  <a:srgbClr val="000080">
                    <a:alpha val="100000"/>
                  </a:srgbClr>
                </a:solidFill>
                <a:prstDash val="solid"/>
                <a:round/>
              </a:ln>
            </c:spPr>
          </c:marker>
          <c:dLbls>
            <c:delete val="1"/>
          </c:dLbls>
          <c:xVal>
            <c:numRef>
              <c:f>[492.7粒径.xls]Sheet1!$A$3:$A$71</c:f>
              <c:numCache>
                <c:formatCode>General</c:formatCode>
                <c:ptCount val="69"/>
                <c:pt idx="0">
                  <c:v>0.400000005960464</c:v>
                </c:pt>
                <c:pt idx="1">
                  <c:v>0.463231682777405</c:v>
                </c:pt>
                <c:pt idx="2">
                  <c:v>0.536458969116211</c:v>
                </c:pt>
                <c:pt idx="3">
                  <c:v>0.621261954307556</c:v>
                </c:pt>
                <c:pt idx="4">
                  <c:v>0.71947056055069</c:v>
                </c:pt>
                <c:pt idx="5">
                  <c:v>0.833203911781311</c:v>
                </c:pt>
                <c:pt idx="6">
                  <c:v>0.964916110038757</c:v>
                </c:pt>
                <c:pt idx="7">
                  <c:v>1.11744928359985</c:v>
                </c:pt>
                <c:pt idx="8">
                  <c:v>1.2940948009491</c:v>
                </c:pt>
                <c:pt idx="9">
                  <c:v>1.49866425991058</c:v>
                </c:pt>
                <c:pt idx="10">
                  <c:v>1.73557186126709</c:v>
                </c:pt>
                <c:pt idx="11">
                  <c:v>2.00992965698242</c:v>
                </c:pt>
                <c:pt idx="12">
                  <c:v>2.32765769958496</c:v>
                </c:pt>
                <c:pt idx="13">
                  <c:v>2.69561195373535</c:v>
                </c:pt>
                <c:pt idx="14">
                  <c:v>3.12173223495483</c:v>
                </c:pt>
                <c:pt idx="15">
                  <c:v>3.61521315574646</c:v>
                </c:pt>
                <c:pt idx="16">
                  <c:v>4.18670320510864</c:v>
                </c:pt>
                <c:pt idx="17">
                  <c:v>4.84853363037109</c:v>
                </c:pt>
                <c:pt idx="18">
                  <c:v>5.61498594284058</c:v>
                </c:pt>
                <c:pt idx="19">
                  <c:v>6.50259876251221</c:v>
                </c:pt>
                <c:pt idx="20">
                  <c:v>7.53052425384521</c:v>
                </c:pt>
                <c:pt idx="21">
                  <c:v>8.72094345092773</c:v>
                </c:pt>
                <c:pt idx="22">
                  <c:v>10.0995435714722</c:v>
                </c:pt>
                <c:pt idx="23">
                  <c:v>11.6960706710815</c:v>
                </c:pt>
                <c:pt idx="24">
                  <c:v>13.544976234436</c:v>
                </c:pt>
                <c:pt idx="25">
                  <c:v>15.6861553192139</c:v>
                </c:pt>
                <c:pt idx="26">
                  <c:v>18.1658096313477</c:v>
                </c:pt>
                <c:pt idx="27">
                  <c:v>21.037446975708</c:v>
                </c:pt>
                <c:pt idx="28">
                  <c:v>24.3630294799805</c:v>
                </c:pt>
                <c:pt idx="29">
                  <c:v>28.2143173217773</c:v>
                </c:pt>
                <c:pt idx="30">
                  <c:v>32.6744155883789</c:v>
                </c:pt>
                <c:pt idx="31">
                  <c:v>37.8395614624023</c:v>
                </c:pt>
                <c:pt idx="32">
                  <c:v>43.8212089538574</c:v>
                </c:pt>
                <c:pt idx="33">
                  <c:v>50.7484283447266</c:v>
                </c:pt>
                <c:pt idx="34">
                  <c:v>58.7706985473633</c:v>
                </c:pt>
                <c:pt idx="35">
                  <c:v>68.0611267089844</c:v>
                </c:pt>
                <c:pt idx="36">
                  <c:v>78.8201751708984</c:v>
                </c:pt>
                <c:pt idx="37">
                  <c:v>91.2800064086914</c:v>
                </c:pt>
                <c:pt idx="38">
                  <c:v>105.70947265625</c:v>
                </c:pt>
                <c:pt idx="39">
                  <c:v>122.419944763184</c:v>
                </c:pt>
                <c:pt idx="40">
                  <c:v>141.771987915039</c:v>
                </c:pt>
                <c:pt idx="41">
                  <c:v>164.183197021484</c:v>
                </c:pt>
                <c:pt idx="42">
                  <c:v>190.137130737305</c:v>
                </c:pt>
                <c:pt idx="43">
                  <c:v>220.193862915039</c:v>
                </c:pt>
                <c:pt idx="44">
                  <c:v>255.001937866211</c:v>
                </c:pt>
                <c:pt idx="45">
                  <c:v>295.312438964844</c:v>
                </c:pt>
                <c:pt idx="46">
                  <c:v>341.995178222656</c:v>
                </c:pt>
                <c:pt idx="47">
                  <c:v>396.057525634766</c:v>
                </c:pt>
                <c:pt idx="48">
                  <c:v>458.665954589844</c:v>
                </c:pt>
                <c:pt idx="49">
                  <c:v>531.171508789063</c:v>
                </c:pt>
                <c:pt idx="50">
                  <c:v>615.138671875</c:v>
                </c:pt>
                <c:pt idx="51">
                  <c:v>712.379333496094</c:v>
                </c:pt>
                <c:pt idx="52">
                  <c:v>824.99169921875</c:v>
                </c:pt>
                <c:pt idx="53">
                  <c:v>955.405700683594</c:v>
                </c:pt>
                <c:pt idx="54">
                  <c:v>1106.43542480469</c:v>
                </c:pt>
                <c:pt idx="55">
                  <c:v>1281.33984375</c:v>
                </c:pt>
                <c:pt idx="56">
                  <c:v>1483.89306640625</c:v>
                </c:pt>
                <c:pt idx="57">
                  <c:v>1718.46569824219</c:v>
                </c:pt>
                <c:pt idx="58">
                  <c:v>1990.11938476562</c:v>
                </c:pt>
                <c:pt idx="59">
                  <c:v>2304.7158203125</c:v>
                </c:pt>
                <c:pt idx="60">
                  <c:v>2669.04345703125</c:v>
                </c:pt>
                <c:pt idx="61">
                  <c:v>3090.9638671875</c:v>
                </c:pt>
                <c:pt idx="62">
                  <c:v>3579.58081054688</c:v>
                </c:pt>
                <c:pt idx="63">
                  <c:v>4145.43798828125</c:v>
                </c:pt>
                <c:pt idx="64">
                  <c:v>4800.74560546875</c:v>
                </c:pt>
                <c:pt idx="65">
                  <c:v>5559.6435546875</c:v>
                </c:pt>
                <c:pt idx="66">
                  <c:v>6438.5078125</c:v>
                </c:pt>
                <c:pt idx="67">
                  <c:v>7456.3017578125</c:v>
                </c:pt>
                <c:pt idx="68">
                  <c:v>8634.98828125</c:v>
                </c:pt>
              </c:numCache>
            </c:numRef>
          </c:xVal>
          <c:yVal>
            <c:numRef>
              <c:f>[492.7粒径.xls]Sheet1!$B$3:$B$71</c:f>
              <c:numCache>
                <c:formatCode>General</c:formatCode>
                <c:ptCount val="6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2.02319931983948</c:v>
                </c:pt>
                <c:pt idx="44">
                  <c:v>10.3513154983521</c:v>
                </c:pt>
                <c:pt idx="45">
                  <c:v>23.2235774993896</c:v>
                </c:pt>
                <c:pt idx="46">
                  <c:v>29.8005638122559</c:v>
                </c:pt>
                <c:pt idx="47">
                  <c:v>22.986442565918</c:v>
                </c:pt>
                <c:pt idx="48">
                  <c:v>9.84812068939209</c:v>
                </c:pt>
                <c:pt idx="49">
                  <c:v>1.76678025722504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4629882"/>
        <c:axId val="745076695"/>
      </c:scatterChart>
      <c:valAx>
        <c:axId val="984629882"/>
        <c:scaling>
          <c:logBase val="10"/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875" b="1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</a:defRPr>
                </a:pPr>
                <a:r>
                  <a:t>size (nm)</a:t>
                </a:r>
                <a:endParaRPr sz="875" b="1" i="0" u="none" strike="noStrike" baseline="0">
                  <a:solidFill>
                    <a:srgbClr val="000000">
                      <a:alpha val="100000"/>
                    </a:srgbClr>
                  </a:solidFill>
                  <a:latin typeface="Arial" panose="020B0604020202020204" pitchFamily="7" charset="0"/>
                  <a:ea typeface="Arial" panose="020B0604020202020204" pitchFamily="7" charset="0"/>
                  <a:cs typeface="Arial" panose="020B0604020202020204" pitchFamily="7" charset="0"/>
                </a:endParaRPr>
              </a:p>
            </c:rich>
          </c:tx>
          <c:layout>
            <c:manualLayout>
              <c:xMode val="edge"/>
              <c:yMode val="edge"/>
              <c:x val="0.467949390941517"/>
              <c:y val="0.892183288409704"/>
            </c:manualLayout>
          </c:layout>
          <c:overlay val="0"/>
        </c:title>
        <c:numFmt formatCode="0.0E+00" sourceLinked="0"/>
        <c:majorTickMark val="out"/>
        <c:minorTickMark val="out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</a:defRPr>
            </a:pPr>
          </a:p>
        </c:txPr>
        <c:crossAx val="745076695"/>
        <c:crosses val="autoZero"/>
        <c:crossBetween val="midCat"/>
        <c:minorUnit val="10"/>
      </c:valAx>
      <c:valAx>
        <c:axId val="745076695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100000"/>
                </a:srgbClr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875" b="1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</a:defRPr>
                </a:pPr>
                <a:r>
                  <a:t>%</a:t>
                </a:r>
                <a:endParaRPr sz="875" b="1" i="0" u="none" strike="noStrike" baseline="0">
                  <a:solidFill>
                    <a:srgbClr val="000000">
                      <a:alpha val="100000"/>
                    </a:srgbClr>
                  </a:solidFill>
                  <a:latin typeface="Arial" panose="020B0604020202020204" pitchFamily="7" charset="0"/>
                  <a:ea typeface="Arial" panose="020B0604020202020204" pitchFamily="7" charset="0"/>
                  <a:cs typeface="Arial" panose="020B0604020202020204" pitchFamily="7" charset="0"/>
                </a:endParaRPr>
              </a:p>
            </c:rich>
          </c:tx>
          <c:layout>
            <c:manualLayout>
              <c:xMode val="edge"/>
              <c:yMode val="edge"/>
              <c:x val="0.0304487179487179"/>
              <c:y val="0.47708894878706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</a:defRPr>
            </a:pPr>
          </a:p>
        </c:txPr>
        <c:crossAx val="984629882"/>
        <c:crossesAt val="0.1"/>
        <c:crossBetween val="midCat"/>
      </c:valAx>
      <c:spPr>
        <a:noFill/>
        <a:ln w="12700">
          <a:solidFill>
            <a:srgbClr val="000000">
              <a:alpha val="100000"/>
            </a:srgbClr>
          </a:solidFill>
          <a:prstDash val="solid"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b06211b0-0cc7-4cfc-b617-2f34cc084ec1}"/>
      </c:ext>
    </c:extLst>
  </c:chart>
  <c:spPr>
    <a:solidFill>
      <a:srgbClr val="FFFFFF">
        <a:alpha val="100000"/>
      </a:srgbClr>
    </a:solidFill>
    <a:ln w="3175" cap="flat" cmpd="sng" algn="ctr">
      <a:solidFill>
        <a:srgbClr val="000000">
          <a:alpha val="100000"/>
        </a:srgbClr>
      </a:solidFill>
      <a:prstDash val="solid"/>
      <a:round/>
    </a:ln>
  </c:spPr>
  <c:txPr>
    <a:bodyPr rot="0" wrap="square" anchor="ctr" anchorCtr="1"/>
    <a:lstStyle/>
    <a:p>
      <a:pPr>
        <a:defRPr lang="zh-CN" sz="1200" b="0" i="0" u="none" strike="noStrike" baseline="0">
          <a:solidFill>
            <a:srgbClr val="000000">
              <a:alpha val="100000"/>
            </a:srgbClr>
          </a:solidFill>
          <a:latin typeface="Arial" panose="020B0604020202020204" pitchFamily="7" charset="0"/>
          <a:ea typeface="Arial" panose="020B0604020202020204" pitchFamily="7" charset="0"/>
          <a:cs typeface="Arial" panose="020B0604020202020204" pitchFamily="7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33333838077933"/>
          <c:y val="0.032345013477089"/>
        </c:manualLayout>
      </c:layout>
      <c:overlay val="0"/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rgbClr val="000000">
                  <a:alpha val="100000"/>
                </a:srgbClr>
              </a:solidFill>
              <a:latin typeface="Arial" panose="020B0604020202020204" pitchFamily="7" charset="0"/>
              <a:ea typeface="Arial" panose="020B0604020202020204" pitchFamily="7" charset="0"/>
              <a:cs typeface="Arial" panose="020B0604020202020204" pitchFamily="7" charset="0"/>
            </a:defRPr>
          </a:pPr>
        </a:p>
      </c:txPr>
    </c:title>
    <c:autoTitleDeleted val="0"/>
    <c:plotArea>
      <c:layout>
        <c:manualLayout>
          <c:layoutTarget val="inner"/>
          <c:xMode val="edge"/>
          <c:yMode val="edge"/>
          <c:x val="0.120192495794045"/>
          <c:y val="0.1455525606469"/>
          <c:w val="0.785257639187762"/>
          <c:h val="0.695417789757412"/>
        </c:manualLayout>
      </c:layout>
      <c:scatterChart>
        <c:scatterStyle val="lineMarker"/>
        <c:varyColors val="0"/>
        <c:ser>
          <c:idx val="0"/>
          <c:order val="0"/>
          <c:tx>
            <c:strRef>
              <c:f>[502.7粒径.xls]Sheet1!$B$2</c:f>
              <c:strCache>
                <c:ptCount val="1"/>
                <c:pt idx="0">
                  <c:v>Volume Distribution Data (%)</c:v>
                </c:pt>
              </c:strCache>
            </c:strRef>
          </c:tx>
          <c:spPr>
            <a:ln w="12700" cap="rnd" cmpd="sng" algn="ctr">
              <a:solidFill>
                <a:srgbClr val="000080">
                  <a:alpha val="100000"/>
                </a:srgbClr>
              </a:solidFill>
              <a:prstDash val="solid"/>
              <a:round/>
            </a:ln>
          </c:spPr>
          <c:marker>
            <c:symbol val="diamond"/>
            <c:size val="5"/>
            <c:spPr>
              <a:solidFill>
                <a:srgbClr val="000080">
                  <a:alpha val="100000"/>
                </a:srgbClr>
              </a:solidFill>
              <a:ln w="9525" cap="flat" cmpd="sng" algn="ctr">
                <a:solidFill>
                  <a:srgbClr val="000080">
                    <a:alpha val="100000"/>
                  </a:srgbClr>
                </a:solidFill>
                <a:prstDash val="solid"/>
                <a:round/>
              </a:ln>
            </c:spPr>
          </c:marker>
          <c:dLbls>
            <c:delete val="1"/>
          </c:dLbls>
          <c:xVal>
            <c:numRef>
              <c:f>[502.7粒径.xls]Sheet1!$A$3:$A$71</c:f>
              <c:numCache>
                <c:formatCode>General</c:formatCode>
                <c:ptCount val="69"/>
                <c:pt idx="0">
                  <c:v>0.400000005960464</c:v>
                </c:pt>
                <c:pt idx="1">
                  <c:v>0.463231682777405</c:v>
                </c:pt>
                <c:pt idx="2">
                  <c:v>0.536458969116211</c:v>
                </c:pt>
                <c:pt idx="3">
                  <c:v>0.621261954307556</c:v>
                </c:pt>
                <c:pt idx="4">
                  <c:v>0.71947056055069</c:v>
                </c:pt>
                <c:pt idx="5">
                  <c:v>0.833203911781311</c:v>
                </c:pt>
                <c:pt idx="6">
                  <c:v>0.964916110038757</c:v>
                </c:pt>
                <c:pt idx="7">
                  <c:v>1.11744928359985</c:v>
                </c:pt>
                <c:pt idx="8">
                  <c:v>1.2940948009491</c:v>
                </c:pt>
                <c:pt idx="9">
                  <c:v>1.49866425991058</c:v>
                </c:pt>
                <c:pt idx="10">
                  <c:v>1.73557186126709</c:v>
                </c:pt>
                <c:pt idx="11">
                  <c:v>2.00992965698242</c:v>
                </c:pt>
                <c:pt idx="12">
                  <c:v>2.32765769958496</c:v>
                </c:pt>
                <c:pt idx="13">
                  <c:v>2.69561195373535</c:v>
                </c:pt>
                <c:pt idx="14">
                  <c:v>3.12173223495483</c:v>
                </c:pt>
                <c:pt idx="15">
                  <c:v>3.61521315574646</c:v>
                </c:pt>
                <c:pt idx="16">
                  <c:v>4.18670320510864</c:v>
                </c:pt>
                <c:pt idx="17">
                  <c:v>4.84853363037109</c:v>
                </c:pt>
                <c:pt idx="18">
                  <c:v>5.61498594284058</c:v>
                </c:pt>
                <c:pt idx="19">
                  <c:v>6.50259876251221</c:v>
                </c:pt>
                <c:pt idx="20">
                  <c:v>7.53052425384521</c:v>
                </c:pt>
                <c:pt idx="21">
                  <c:v>8.72094345092773</c:v>
                </c:pt>
                <c:pt idx="22">
                  <c:v>10.0995435714722</c:v>
                </c:pt>
                <c:pt idx="23">
                  <c:v>11.6960706710815</c:v>
                </c:pt>
                <c:pt idx="24">
                  <c:v>13.544976234436</c:v>
                </c:pt>
                <c:pt idx="25">
                  <c:v>15.6861553192139</c:v>
                </c:pt>
                <c:pt idx="26">
                  <c:v>18.1658096313477</c:v>
                </c:pt>
                <c:pt idx="27">
                  <c:v>21.037446975708</c:v>
                </c:pt>
                <c:pt idx="28">
                  <c:v>24.3630294799805</c:v>
                </c:pt>
                <c:pt idx="29">
                  <c:v>28.2143173217773</c:v>
                </c:pt>
                <c:pt idx="30">
                  <c:v>32.6744155883789</c:v>
                </c:pt>
                <c:pt idx="31">
                  <c:v>37.8395614624023</c:v>
                </c:pt>
                <c:pt idx="32">
                  <c:v>43.8212089538574</c:v>
                </c:pt>
                <c:pt idx="33">
                  <c:v>50.7484283447266</c:v>
                </c:pt>
                <c:pt idx="34">
                  <c:v>58.7706985473633</c:v>
                </c:pt>
                <c:pt idx="35">
                  <c:v>68.0611267089844</c:v>
                </c:pt>
                <c:pt idx="36">
                  <c:v>78.8201751708984</c:v>
                </c:pt>
                <c:pt idx="37">
                  <c:v>91.2800064086914</c:v>
                </c:pt>
                <c:pt idx="38">
                  <c:v>105.70947265625</c:v>
                </c:pt>
                <c:pt idx="39">
                  <c:v>122.419944763184</c:v>
                </c:pt>
                <c:pt idx="40">
                  <c:v>141.771987915039</c:v>
                </c:pt>
                <c:pt idx="41">
                  <c:v>164.183197021484</c:v>
                </c:pt>
                <c:pt idx="42">
                  <c:v>190.137130737305</c:v>
                </c:pt>
                <c:pt idx="43">
                  <c:v>220.193862915039</c:v>
                </c:pt>
                <c:pt idx="44">
                  <c:v>255.001937866211</c:v>
                </c:pt>
                <c:pt idx="45">
                  <c:v>295.312438964844</c:v>
                </c:pt>
                <c:pt idx="46">
                  <c:v>341.995178222656</c:v>
                </c:pt>
                <c:pt idx="47">
                  <c:v>396.057525634766</c:v>
                </c:pt>
                <c:pt idx="48">
                  <c:v>458.665954589844</c:v>
                </c:pt>
                <c:pt idx="49">
                  <c:v>531.171508789063</c:v>
                </c:pt>
                <c:pt idx="50">
                  <c:v>615.138671875</c:v>
                </c:pt>
                <c:pt idx="51">
                  <c:v>712.379333496094</c:v>
                </c:pt>
                <c:pt idx="52">
                  <c:v>824.99169921875</c:v>
                </c:pt>
                <c:pt idx="53">
                  <c:v>955.405700683594</c:v>
                </c:pt>
                <c:pt idx="54">
                  <c:v>1106.43542480469</c:v>
                </c:pt>
                <c:pt idx="55">
                  <c:v>1281.33984375</c:v>
                </c:pt>
                <c:pt idx="56">
                  <c:v>1483.89306640625</c:v>
                </c:pt>
                <c:pt idx="57">
                  <c:v>1718.46569824219</c:v>
                </c:pt>
                <c:pt idx="58">
                  <c:v>1990.11938476562</c:v>
                </c:pt>
                <c:pt idx="59">
                  <c:v>2304.7158203125</c:v>
                </c:pt>
                <c:pt idx="60">
                  <c:v>2669.04345703125</c:v>
                </c:pt>
                <c:pt idx="61">
                  <c:v>3090.9638671875</c:v>
                </c:pt>
                <c:pt idx="62">
                  <c:v>3579.58081054688</c:v>
                </c:pt>
                <c:pt idx="63">
                  <c:v>4145.43798828125</c:v>
                </c:pt>
                <c:pt idx="64">
                  <c:v>4800.74560546875</c:v>
                </c:pt>
                <c:pt idx="65">
                  <c:v>5559.6435546875</c:v>
                </c:pt>
                <c:pt idx="66">
                  <c:v>6438.5078125</c:v>
                </c:pt>
                <c:pt idx="67">
                  <c:v>7456.3017578125</c:v>
                </c:pt>
                <c:pt idx="68">
                  <c:v>8634.98828125</c:v>
                </c:pt>
              </c:numCache>
            </c:numRef>
          </c:xVal>
          <c:yVal>
            <c:numRef>
              <c:f>[502.7粒径.xls]Sheet1!$B$3:$B$71</c:f>
              <c:numCache>
                <c:formatCode>General</c:formatCode>
                <c:ptCount val="6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0.0693992674350739</c:v>
                </c:pt>
                <c:pt idx="45">
                  <c:v>2.77282238006592</c:v>
                </c:pt>
                <c:pt idx="46">
                  <c:v>11.264048576355</c:v>
                </c:pt>
                <c:pt idx="47">
                  <c:v>22.1212425231934</c:v>
                </c:pt>
                <c:pt idx="48">
                  <c:v>27.514253616333</c:v>
                </c:pt>
                <c:pt idx="49">
                  <c:v>22.6895942687988</c:v>
                </c:pt>
                <c:pt idx="50">
                  <c:v>11.1522989273071</c:v>
                </c:pt>
                <c:pt idx="51">
                  <c:v>2.41634011268616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13391367"/>
        <c:axId val="421766697"/>
      </c:scatterChart>
      <c:valAx>
        <c:axId val="613391367"/>
        <c:scaling>
          <c:logBase val="10"/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875" b="1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</a:defRPr>
                </a:pPr>
                <a:r>
                  <a:t>size (nm)</a:t>
                </a:r>
                <a:endParaRPr sz="875" b="1" i="0" u="none" strike="noStrike" baseline="0">
                  <a:solidFill>
                    <a:srgbClr val="000000">
                      <a:alpha val="100000"/>
                    </a:srgbClr>
                  </a:solidFill>
                  <a:latin typeface="Arial" panose="020B0604020202020204" pitchFamily="7" charset="0"/>
                  <a:ea typeface="Arial" panose="020B0604020202020204" pitchFamily="7" charset="0"/>
                  <a:cs typeface="Arial" panose="020B0604020202020204" pitchFamily="7" charset="0"/>
                </a:endParaRPr>
              </a:p>
            </c:rich>
          </c:tx>
          <c:layout>
            <c:manualLayout>
              <c:xMode val="edge"/>
              <c:yMode val="edge"/>
              <c:x val="0.467949390941517"/>
              <c:y val="0.892183288409704"/>
            </c:manualLayout>
          </c:layout>
          <c:overlay val="0"/>
        </c:title>
        <c:numFmt formatCode="0.0E+00" sourceLinked="0"/>
        <c:majorTickMark val="out"/>
        <c:minorTickMark val="out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</a:defRPr>
            </a:pPr>
          </a:p>
        </c:txPr>
        <c:crossAx val="421766697"/>
        <c:crosses val="autoZero"/>
        <c:crossBetween val="midCat"/>
        <c:minorUnit val="10"/>
      </c:valAx>
      <c:valAx>
        <c:axId val="421766697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000000">
                  <a:alpha val="100000"/>
                </a:srgbClr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875" b="1" i="0" u="none" strike="noStrike" kern="1200" baseline="0">
                    <a:solidFill>
                      <a:srgbClr val="000000">
                        <a:alpha val="100000"/>
                      </a:srgbClr>
                    </a:solidFill>
                    <a:latin typeface="Arial" panose="020B0604020202020204" pitchFamily="7" charset="0"/>
                    <a:ea typeface="Arial" panose="020B0604020202020204" pitchFamily="7" charset="0"/>
                    <a:cs typeface="Arial" panose="020B0604020202020204" pitchFamily="7" charset="0"/>
                  </a:defRPr>
                </a:pPr>
                <a:r>
                  <a:t>%</a:t>
                </a:r>
                <a:endParaRPr sz="875" b="1" i="0" u="none" strike="noStrike" baseline="0">
                  <a:solidFill>
                    <a:srgbClr val="000000">
                      <a:alpha val="100000"/>
                    </a:srgbClr>
                  </a:solidFill>
                  <a:latin typeface="Arial" panose="020B0604020202020204" pitchFamily="7" charset="0"/>
                  <a:ea typeface="Arial" panose="020B0604020202020204" pitchFamily="7" charset="0"/>
                  <a:cs typeface="Arial" panose="020B0604020202020204" pitchFamily="7" charset="0"/>
                </a:endParaRPr>
              </a:p>
            </c:rich>
          </c:tx>
          <c:layout>
            <c:manualLayout>
              <c:xMode val="edge"/>
              <c:yMode val="edge"/>
              <c:x val="0.0304487179487179"/>
              <c:y val="0.47708894878706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>
                <a:alpha val="100000"/>
              </a:srgbClr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rgbClr val="000000">
                    <a:alpha val="100000"/>
                  </a:srgbClr>
                </a:solidFill>
                <a:latin typeface="Arial" panose="020B0604020202020204" pitchFamily="7" charset="0"/>
                <a:ea typeface="Arial" panose="020B0604020202020204" pitchFamily="7" charset="0"/>
                <a:cs typeface="Arial" panose="020B0604020202020204" pitchFamily="7" charset="0"/>
              </a:defRPr>
            </a:pPr>
          </a:p>
        </c:txPr>
        <c:crossAx val="613391367"/>
        <c:crossesAt val="0.1"/>
        <c:crossBetween val="midCat"/>
      </c:valAx>
      <c:spPr>
        <a:noFill/>
        <a:ln w="12700">
          <a:solidFill>
            <a:srgbClr val="000000">
              <a:alpha val="100000"/>
            </a:srgbClr>
          </a:solidFill>
          <a:prstDash val="solid"/>
        </a:ln>
      </c:spPr>
    </c:plotArea>
    <c:plotVisOnly val="1"/>
    <c:dispBlanksAs val="gap"/>
    <c:showDLblsOverMax val="0"/>
    <c:extLst>
      <c:ext uri="{0b15fc19-7d7d-44ad-8c2d-2c3a37ce22c3}">
        <chartProps xmlns="https://web.wps.cn/et/2018/main" chartId="{ce7237bd-6bd6-4cb2-ad7c-5b382300390e}"/>
      </c:ext>
    </c:extLst>
  </c:chart>
  <c:spPr>
    <a:solidFill>
      <a:srgbClr val="FFFFFF">
        <a:alpha val="100000"/>
      </a:srgbClr>
    </a:solidFill>
    <a:ln w="3175" cap="flat" cmpd="sng" algn="ctr">
      <a:solidFill>
        <a:srgbClr val="000000">
          <a:alpha val="100000"/>
        </a:srgbClr>
      </a:solidFill>
      <a:prstDash val="solid"/>
      <a:round/>
    </a:ln>
  </c:spPr>
  <c:txPr>
    <a:bodyPr rot="0" wrap="square" anchor="ctr" anchorCtr="1"/>
    <a:lstStyle/>
    <a:p>
      <a:pPr>
        <a:defRPr lang="zh-CN" sz="1200" b="0" i="0" u="none" strike="noStrike" baseline="0">
          <a:solidFill>
            <a:srgbClr val="000000">
              <a:alpha val="100000"/>
            </a:srgbClr>
          </a:solidFill>
          <a:latin typeface="Arial" panose="020B0604020202020204" pitchFamily="7" charset="0"/>
          <a:ea typeface="Arial" panose="020B0604020202020204" pitchFamily="7" charset="0"/>
          <a:cs typeface="Arial" panose="020B0604020202020204" pitchFamily="7" charset="0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2025-05-23T09:46:24Z</dcterms:created>
  <dc:creator>赵彭花</dc:creator>
  <cp:lastModifiedBy>左宇霏</cp:lastModifiedBy>
  <dcterms:modified xsi:type="dcterms:W3CDTF">2025-05-23T09:53:05Z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eyJoZGlkIjoiMDYwOGMwOGU1YzZmMGVkNWVhYzVlZGZiYWU4NGRlMzAiLCJ1c2VySWQiOiIxMTcxNTU0MDMwIn0=</vt:lpwstr>
  </property>
  <property fmtid="{D5CDD505-2E9C-101B-9397-08002B2CF9AE}" pid="4" name="ICV">
    <vt:lpwstr>6889776B03064309A3B15F2D10C131C3_12</vt:lpwstr>
  </property>
</Properties>
</file>