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50D5" w:rsidRPr="007C50D5" w:rsidRDefault="007C50D5" w:rsidP="007C50D5">
      <w:pPr>
        <w:pStyle w:val="StandardWeb"/>
        <w:spacing w:before="2" w:after="2" w:line="360" w:lineRule="auto"/>
        <w:rPr>
          <w:rFonts w:ascii="Garamond" w:hAnsi="Garamond"/>
          <w:color w:val="000000" w:themeColor="text1"/>
          <w:sz w:val="24"/>
          <w:szCs w:val="24"/>
          <w:lang w:val="en-US"/>
        </w:rPr>
      </w:pPr>
      <w:r w:rsidRPr="007C50D5">
        <w:rPr>
          <w:rFonts w:ascii="Garamond" w:hAnsi="Garamond"/>
          <w:color w:val="000000" w:themeColor="text1"/>
          <w:sz w:val="24"/>
          <w:szCs w:val="24"/>
          <w:lang w:val="en-US"/>
        </w:rPr>
        <w:t>Table 3: Advantages and disadvantages of the different AR visualization types and modes [supplementary material]</w:t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2263"/>
        <w:gridCol w:w="3743"/>
        <w:gridCol w:w="3770"/>
      </w:tblGrid>
      <w:tr w:rsidR="007C50D5" w:rsidRPr="007C50D5" w:rsidTr="00B8248C">
        <w:tc>
          <w:tcPr>
            <w:tcW w:w="2263" w:type="dxa"/>
            <w:shd w:val="clear" w:color="auto" w:fill="auto"/>
            <w:vAlign w:val="center"/>
          </w:tcPr>
          <w:p w:rsidR="007C50D5" w:rsidRPr="007C50D5" w:rsidRDefault="007C50D5" w:rsidP="00B8248C">
            <w:pPr>
              <w:pStyle w:val="StandardWeb"/>
              <w:spacing w:before="2" w:after="2" w:line="360" w:lineRule="auto"/>
              <w:rPr>
                <w:rFonts w:ascii="Garamond" w:hAnsi="Garamond"/>
                <w:b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b/>
                <w:color w:val="000000" w:themeColor="text1"/>
                <w:lang w:val="en-US"/>
              </w:rPr>
              <w:t>visualization parameter</w:t>
            </w:r>
          </w:p>
        </w:tc>
        <w:tc>
          <w:tcPr>
            <w:tcW w:w="3743" w:type="dxa"/>
            <w:shd w:val="clear" w:color="auto" w:fill="auto"/>
            <w:vAlign w:val="center"/>
          </w:tcPr>
          <w:p w:rsidR="007C50D5" w:rsidRPr="007C50D5" w:rsidRDefault="007C50D5" w:rsidP="00B8248C">
            <w:pPr>
              <w:pStyle w:val="StandardWeb"/>
              <w:spacing w:before="2" w:after="2" w:line="360" w:lineRule="auto"/>
              <w:rPr>
                <w:rFonts w:ascii="Garamond" w:hAnsi="Garamond"/>
                <w:b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b/>
                <w:color w:val="000000" w:themeColor="text1"/>
                <w:lang w:val="en-US"/>
              </w:rPr>
              <w:t>advantages</w:t>
            </w:r>
          </w:p>
        </w:tc>
        <w:tc>
          <w:tcPr>
            <w:tcW w:w="3770" w:type="dxa"/>
            <w:shd w:val="clear" w:color="auto" w:fill="auto"/>
            <w:vAlign w:val="center"/>
          </w:tcPr>
          <w:p w:rsidR="007C50D5" w:rsidRPr="007C50D5" w:rsidRDefault="007C50D5" w:rsidP="00B8248C">
            <w:pPr>
              <w:pStyle w:val="StandardWeb"/>
              <w:spacing w:before="2" w:after="2" w:line="360" w:lineRule="auto"/>
              <w:rPr>
                <w:rFonts w:ascii="Garamond" w:hAnsi="Garamond"/>
                <w:b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b/>
                <w:color w:val="000000" w:themeColor="text1"/>
                <w:lang w:val="en-US"/>
              </w:rPr>
              <w:t>disadvantages</w:t>
            </w:r>
          </w:p>
        </w:tc>
      </w:tr>
      <w:tr w:rsidR="007C50D5" w:rsidRPr="007C50D5" w:rsidTr="00B8248C">
        <w:tc>
          <w:tcPr>
            <w:tcW w:w="2263" w:type="dxa"/>
            <w:shd w:val="clear" w:color="auto" w:fill="auto"/>
            <w:vAlign w:val="center"/>
          </w:tcPr>
          <w:p w:rsidR="007C50D5" w:rsidRPr="007C50D5" w:rsidRDefault="007C50D5" w:rsidP="00B8248C">
            <w:pPr>
              <w:pStyle w:val="StandardWeb"/>
              <w:spacing w:before="2" w:after="2" w:line="360" w:lineRule="auto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target volumes (type)</w:t>
            </w:r>
          </w:p>
        </w:tc>
        <w:tc>
          <w:tcPr>
            <w:tcW w:w="3743" w:type="dxa"/>
            <w:shd w:val="clear" w:color="auto" w:fill="auto"/>
          </w:tcPr>
          <w:p w:rsidR="007C50D5" w:rsidRPr="007C50D5" w:rsidRDefault="007C50D5" w:rsidP="007C50D5">
            <w:pPr>
              <w:pStyle w:val="StandardWeb"/>
              <w:numPr>
                <w:ilvl w:val="0"/>
                <w:numId w:val="6"/>
              </w:numPr>
              <w:spacing w:before="2" w:after="2" w:line="360" w:lineRule="auto"/>
              <w:ind w:left="177" w:hanging="17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more naturalistic 3D volumes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6"/>
              </w:numPr>
              <w:spacing w:before="2" w:after="2" w:line="360" w:lineRule="auto"/>
              <w:ind w:left="177" w:hanging="17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providing topographical presurgical planning information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6"/>
              </w:numPr>
              <w:spacing w:before="2" w:after="2" w:line="360" w:lineRule="auto"/>
              <w:ind w:left="177" w:hanging="17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direct matching with surface structures</w:t>
            </w:r>
          </w:p>
        </w:tc>
        <w:tc>
          <w:tcPr>
            <w:tcW w:w="3770" w:type="dxa"/>
            <w:shd w:val="clear" w:color="auto" w:fill="auto"/>
          </w:tcPr>
          <w:p w:rsidR="007C50D5" w:rsidRPr="007C50D5" w:rsidRDefault="007C50D5" w:rsidP="007C50D5">
            <w:pPr>
              <w:pStyle w:val="StandardWeb"/>
              <w:numPr>
                <w:ilvl w:val="0"/>
                <w:numId w:val="6"/>
              </w:numPr>
              <w:spacing w:before="2" w:after="2" w:line="360" w:lineRule="auto"/>
              <w:ind w:left="257" w:hanging="25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depending on resolution and degree of detail in source data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6"/>
              </w:numPr>
              <w:spacing w:before="2" w:after="2" w:line="360" w:lineRule="auto"/>
              <w:ind w:left="257" w:hanging="25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depth information often uncertain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6"/>
              </w:numPr>
              <w:spacing w:before="2" w:after="2" w:line="360" w:lineRule="auto"/>
              <w:ind w:left="257" w:hanging="25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limited number of objects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6"/>
              </w:numPr>
              <w:spacing w:before="2" w:after="2" w:line="360" w:lineRule="auto"/>
              <w:ind w:left="257" w:hanging="25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short-term utilization during surgery</w:t>
            </w:r>
          </w:p>
        </w:tc>
      </w:tr>
      <w:tr w:rsidR="007C50D5" w:rsidRPr="007C50D5" w:rsidTr="00B8248C">
        <w:tc>
          <w:tcPr>
            <w:tcW w:w="2263" w:type="dxa"/>
            <w:shd w:val="clear" w:color="auto" w:fill="auto"/>
            <w:vAlign w:val="center"/>
          </w:tcPr>
          <w:p w:rsidR="007C50D5" w:rsidRPr="007C50D5" w:rsidRDefault="007C50D5" w:rsidP="00B8248C">
            <w:pPr>
              <w:pStyle w:val="StandardWeb"/>
              <w:spacing w:before="2" w:after="2" w:line="360" w:lineRule="auto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outlines (type)</w:t>
            </w:r>
          </w:p>
        </w:tc>
        <w:tc>
          <w:tcPr>
            <w:tcW w:w="3743" w:type="dxa"/>
            <w:shd w:val="clear" w:color="auto" w:fill="auto"/>
          </w:tcPr>
          <w:p w:rsidR="007C50D5" w:rsidRPr="007C50D5" w:rsidRDefault="007C50D5" w:rsidP="007C50D5">
            <w:pPr>
              <w:pStyle w:val="StandardWeb"/>
              <w:numPr>
                <w:ilvl w:val="0"/>
                <w:numId w:val="8"/>
              </w:numPr>
              <w:spacing w:before="2" w:after="2" w:line="360" w:lineRule="auto"/>
              <w:ind w:left="177" w:hanging="17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indicating maximum extension of sub-surface structures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8"/>
              </w:numPr>
              <w:spacing w:before="2" w:after="2" w:line="360" w:lineRule="auto"/>
              <w:ind w:left="177" w:hanging="17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less occlusion of field of view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8"/>
              </w:numPr>
              <w:spacing w:before="2" w:after="2" w:line="360" w:lineRule="auto"/>
              <w:ind w:left="177" w:hanging="17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long-term utilization during surgery</w:t>
            </w:r>
          </w:p>
        </w:tc>
        <w:tc>
          <w:tcPr>
            <w:tcW w:w="3770" w:type="dxa"/>
            <w:shd w:val="clear" w:color="auto" w:fill="auto"/>
          </w:tcPr>
          <w:p w:rsidR="007C50D5" w:rsidRPr="007C50D5" w:rsidRDefault="007C50D5" w:rsidP="007C50D5">
            <w:pPr>
              <w:pStyle w:val="StandardWeb"/>
              <w:numPr>
                <w:ilvl w:val="0"/>
                <w:numId w:val="8"/>
              </w:numPr>
              <w:spacing w:before="2" w:after="2" w:line="360" w:lineRule="auto"/>
              <w:ind w:left="257" w:hanging="25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depth information often uncertain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8"/>
              </w:numPr>
              <w:spacing w:before="2" w:after="2" w:line="360" w:lineRule="auto"/>
              <w:ind w:left="257" w:hanging="25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type of object often unclear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8"/>
              </w:numPr>
              <w:spacing w:before="2" w:after="2" w:line="360" w:lineRule="auto"/>
              <w:ind w:left="257" w:hanging="25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crossing and overlay of lines in multiple objects</w:t>
            </w:r>
          </w:p>
        </w:tc>
      </w:tr>
      <w:tr w:rsidR="007C50D5" w:rsidRPr="007C50D5" w:rsidTr="00B8248C">
        <w:tc>
          <w:tcPr>
            <w:tcW w:w="2263" w:type="dxa"/>
            <w:shd w:val="clear" w:color="auto" w:fill="auto"/>
            <w:vAlign w:val="center"/>
          </w:tcPr>
          <w:p w:rsidR="007C50D5" w:rsidRPr="007C50D5" w:rsidRDefault="007C50D5" w:rsidP="00B8248C">
            <w:pPr>
              <w:pStyle w:val="StandardWeb"/>
              <w:spacing w:before="2" w:after="2" w:line="360" w:lineRule="auto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navigation view (type)</w:t>
            </w:r>
          </w:p>
        </w:tc>
        <w:tc>
          <w:tcPr>
            <w:tcW w:w="3743" w:type="dxa"/>
            <w:shd w:val="clear" w:color="auto" w:fill="auto"/>
          </w:tcPr>
          <w:p w:rsidR="007C50D5" w:rsidRPr="007C50D5" w:rsidRDefault="007C50D5" w:rsidP="007C50D5">
            <w:pPr>
              <w:pStyle w:val="StandardWeb"/>
              <w:numPr>
                <w:ilvl w:val="0"/>
                <w:numId w:val="7"/>
              </w:numPr>
              <w:spacing w:before="2" w:after="2" w:line="360" w:lineRule="auto"/>
              <w:ind w:left="177" w:hanging="17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›always on‹ real-time navigation information within field of view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7"/>
              </w:numPr>
              <w:spacing w:before="2" w:after="2" w:line="360" w:lineRule="auto"/>
              <w:ind w:left="177" w:hanging="17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less occlusion of field of view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7"/>
              </w:numPr>
              <w:spacing w:before="2" w:after="2" w:line="360" w:lineRule="auto"/>
              <w:ind w:left="177" w:hanging="17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 xml:space="preserve">combination with object segmentation 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7"/>
              </w:numPr>
              <w:spacing w:before="2" w:after="2" w:line="360" w:lineRule="auto"/>
              <w:ind w:left="177" w:hanging="17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view as in conventional neuronavigation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7"/>
              </w:numPr>
              <w:spacing w:before="2" w:after="2" w:line="360" w:lineRule="auto"/>
              <w:ind w:left="177" w:hanging="17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long-term utilization during surgery</w:t>
            </w:r>
          </w:p>
        </w:tc>
        <w:tc>
          <w:tcPr>
            <w:tcW w:w="3770" w:type="dxa"/>
            <w:shd w:val="clear" w:color="auto" w:fill="auto"/>
          </w:tcPr>
          <w:p w:rsidR="007C50D5" w:rsidRPr="007C50D5" w:rsidRDefault="007C50D5" w:rsidP="007C50D5">
            <w:pPr>
              <w:pStyle w:val="StandardWeb"/>
              <w:numPr>
                <w:ilvl w:val="0"/>
                <w:numId w:val="7"/>
              </w:numPr>
              <w:spacing w:before="2" w:after="2" w:line="360" w:lineRule="auto"/>
              <w:ind w:left="257" w:hanging="25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no context information beyond currently displayed sectional planes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7"/>
              </w:numPr>
              <w:spacing w:before="2" w:after="2" w:line="360" w:lineRule="auto"/>
              <w:ind w:left="257" w:hanging="25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risk structures often beyond focal plane (interaction required)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7"/>
              </w:numPr>
              <w:spacing w:before="2" w:after="2" w:line="360" w:lineRule="auto"/>
              <w:ind w:left="257" w:hanging="25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depending on quality of MRI sequence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7"/>
              </w:numPr>
              <w:spacing w:before="2" w:after="2" w:line="360" w:lineRule="auto"/>
              <w:ind w:left="257" w:hanging="25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no combination of different sequences</w:t>
            </w:r>
          </w:p>
        </w:tc>
      </w:tr>
      <w:tr w:rsidR="007C50D5" w:rsidRPr="007C50D5" w:rsidTr="00B8248C">
        <w:tc>
          <w:tcPr>
            <w:tcW w:w="2263" w:type="dxa"/>
            <w:shd w:val="clear" w:color="auto" w:fill="auto"/>
            <w:vAlign w:val="center"/>
          </w:tcPr>
          <w:p w:rsidR="007C50D5" w:rsidRPr="007C50D5" w:rsidRDefault="007C50D5" w:rsidP="00B8248C">
            <w:pPr>
              <w:pStyle w:val="StandardWeb"/>
              <w:spacing w:before="2" w:after="2" w:line="360" w:lineRule="auto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probe’s eye (type)</w:t>
            </w:r>
          </w:p>
        </w:tc>
        <w:tc>
          <w:tcPr>
            <w:tcW w:w="3743" w:type="dxa"/>
            <w:shd w:val="clear" w:color="auto" w:fill="auto"/>
          </w:tcPr>
          <w:p w:rsidR="007C50D5" w:rsidRPr="007C50D5" w:rsidRDefault="007C50D5" w:rsidP="007C50D5">
            <w:pPr>
              <w:pStyle w:val="StandardWeb"/>
              <w:numPr>
                <w:ilvl w:val="0"/>
                <w:numId w:val="9"/>
              </w:numPr>
              <w:spacing w:before="2" w:after="2" w:line="360" w:lineRule="auto"/>
              <w:ind w:left="177" w:hanging="17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direct matching of sectional navigation view and surgical site in correct scale</w:t>
            </w:r>
          </w:p>
        </w:tc>
        <w:tc>
          <w:tcPr>
            <w:tcW w:w="3770" w:type="dxa"/>
            <w:shd w:val="clear" w:color="auto" w:fill="auto"/>
          </w:tcPr>
          <w:p w:rsidR="007C50D5" w:rsidRPr="007C50D5" w:rsidRDefault="007C50D5" w:rsidP="007C50D5">
            <w:pPr>
              <w:pStyle w:val="StandardWeb"/>
              <w:numPr>
                <w:ilvl w:val="0"/>
                <w:numId w:val="9"/>
              </w:numPr>
              <w:spacing w:before="2" w:after="2" w:line="360" w:lineRule="auto"/>
              <w:ind w:left="257" w:hanging="25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depending on resolution and degree of detail in source data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9"/>
              </w:numPr>
              <w:spacing w:before="2" w:after="2" w:line="360" w:lineRule="auto"/>
              <w:ind w:left="257" w:hanging="25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no context information beyond current sectional plane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9"/>
              </w:numPr>
              <w:spacing w:before="2" w:after="2" w:line="360" w:lineRule="auto"/>
              <w:ind w:left="257" w:hanging="25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occlusion of field of view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9"/>
              </w:numPr>
              <w:spacing w:before="2" w:after="2" w:line="360" w:lineRule="auto"/>
              <w:ind w:left="257" w:hanging="25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short-term utilization during surgery</w:t>
            </w:r>
          </w:p>
        </w:tc>
      </w:tr>
      <w:tr w:rsidR="007C50D5" w:rsidRPr="007C50D5" w:rsidTr="00B8248C">
        <w:tc>
          <w:tcPr>
            <w:tcW w:w="2263" w:type="dxa"/>
            <w:shd w:val="clear" w:color="auto" w:fill="auto"/>
            <w:vAlign w:val="center"/>
          </w:tcPr>
          <w:p w:rsidR="007C50D5" w:rsidRPr="007C50D5" w:rsidRDefault="007C50D5" w:rsidP="00B8248C">
            <w:pPr>
              <w:pStyle w:val="StandardWeb"/>
              <w:spacing w:before="2" w:after="2" w:line="360" w:lineRule="auto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target volumes + navigation view (type)</w:t>
            </w:r>
          </w:p>
        </w:tc>
        <w:tc>
          <w:tcPr>
            <w:tcW w:w="3743" w:type="dxa"/>
            <w:shd w:val="clear" w:color="auto" w:fill="auto"/>
          </w:tcPr>
          <w:p w:rsidR="007C50D5" w:rsidRPr="007C50D5" w:rsidRDefault="007C50D5" w:rsidP="007C50D5">
            <w:pPr>
              <w:pStyle w:val="StandardWeb"/>
              <w:numPr>
                <w:ilvl w:val="0"/>
                <w:numId w:val="10"/>
              </w:numPr>
              <w:spacing w:before="2" w:after="2" w:line="360" w:lineRule="auto"/>
              <w:ind w:left="177" w:hanging="17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 xml:space="preserve">both </w:t>
            </w:r>
            <w:proofErr w:type="spellStart"/>
            <w:r w:rsidRPr="007C50D5">
              <w:rPr>
                <w:rFonts w:ascii="Garamond" w:hAnsi="Garamond"/>
                <w:color w:val="000000" w:themeColor="text1"/>
                <w:lang w:val="en-US"/>
              </w:rPr>
              <w:t>focal</w:t>
            </w:r>
            <w:proofErr w:type="spellEnd"/>
            <w:r w:rsidRPr="007C50D5">
              <w:rPr>
                <w:rFonts w:ascii="Garamond" w:hAnsi="Garamond"/>
                <w:color w:val="000000" w:themeColor="text1"/>
                <w:lang w:val="en-US"/>
              </w:rPr>
              <w:t xml:space="preserve"> and global orientation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10"/>
              </w:numPr>
              <w:spacing w:before="2" w:after="2" w:line="360" w:lineRule="auto"/>
              <w:ind w:left="177" w:hanging="17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direct matching with surface structures</w:t>
            </w:r>
          </w:p>
        </w:tc>
        <w:tc>
          <w:tcPr>
            <w:tcW w:w="3770" w:type="dxa"/>
            <w:shd w:val="clear" w:color="auto" w:fill="auto"/>
          </w:tcPr>
          <w:p w:rsidR="007C50D5" w:rsidRPr="007C50D5" w:rsidRDefault="007C50D5" w:rsidP="007C50D5">
            <w:pPr>
              <w:pStyle w:val="StandardWeb"/>
              <w:numPr>
                <w:ilvl w:val="0"/>
                <w:numId w:val="10"/>
              </w:numPr>
              <w:spacing w:before="2" w:after="2" w:line="360" w:lineRule="auto"/>
              <w:ind w:left="257" w:hanging="25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occlusion of field of view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10"/>
              </w:numPr>
              <w:spacing w:before="2" w:after="2" w:line="360" w:lineRule="auto"/>
              <w:ind w:left="257" w:hanging="25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short-term utilization during surgery</w:t>
            </w:r>
          </w:p>
        </w:tc>
      </w:tr>
      <w:tr w:rsidR="007C50D5" w:rsidRPr="007C50D5" w:rsidTr="00B8248C">
        <w:tc>
          <w:tcPr>
            <w:tcW w:w="2263" w:type="dxa"/>
            <w:shd w:val="clear" w:color="auto" w:fill="auto"/>
            <w:vAlign w:val="center"/>
          </w:tcPr>
          <w:p w:rsidR="007C50D5" w:rsidRPr="007C50D5" w:rsidRDefault="007C50D5" w:rsidP="00B8248C">
            <w:pPr>
              <w:pStyle w:val="StandardWeb"/>
              <w:spacing w:before="2" w:after="2" w:line="360" w:lineRule="auto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overlay display (mode)</w:t>
            </w:r>
          </w:p>
        </w:tc>
        <w:tc>
          <w:tcPr>
            <w:tcW w:w="3743" w:type="dxa"/>
            <w:shd w:val="clear" w:color="auto" w:fill="auto"/>
          </w:tcPr>
          <w:p w:rsidR="007C50D5" w:rsidRPr="007C50D5" w:rsidRDefault="007C50D5" w:rsidP="007C50D5">
            <w:pPr>
              <w:pStyle w:val="StandardWeb"/>
              <w:numPr>
                <w:ilvl w:val="0"/>
                <w:numId w:val="11"/>
              </w:numPr>
              <w:spacing w:before="2" w:after="2" w:line="360" w:lineRule="auto"/>
              <w:ind w:left="177" w:hanging="17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direct matching with anatomical/ pathological structures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11"/>
              </w:numPr>
              <w:spacing w:before="2" w:after="2" w:line="360" w:lineRule="auto"/>
              <w:ind w:left="177" w:hanging="17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more naturalistic 3D volumes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11"/>
              </w:numPr>
              <w:spacing w:before="2" w:after="2" w:line="360" w:lineRule="auto"/>
              <w:ind w:left="177" w:hanging="17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indicating maximum extension of sub-surface structu</w:t>
            </w:r>
            <w:bookmarkStart w:id="0" w:name="_GoBack"/>
            <w:bookmarkEnd w:id="0"/>
            <w:r w:rsidRPr="007C50D5">
              <w:rPr>
                <w:rFonts w:ascii="Garamond" w:hAnsi="Garamond"/>
                <w:color w:val="000000" w:themeColor="text1"/>
                <w:lang w:val="en-US"/>
              </w:rPr>
              <w:t>res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11"/>
              </w:numPr>
              <w:spacing w:before="2" w:after="2" w:line="360" w:lineRule="auto"/>
              <w:ind w:left="177" w:hanging="17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 xml:space="preserve">enabling estimation of </w:t>
            </w:r>
            <w:proofErr w:type="spellStart"/>
            <w:r w:rsidRPr="007C50D5">
              <w:rPr>
                <w:rFonts w:ascii="Garamond" w:hAnsi="Garamond"/>
                <w:color w:val="000000" w:themeColor="text1"/>
                <w:lang w:val="en-US"/>
              </w:rPr>
              <w:t>brainshift</w:t>
            </w:r>
            <w:proofErr w:type="spellEnd"/>
          </w:p>
        </w:tc>
        <w:tc>
          <w:tcPr>
            <w:tcW w:w="3770" w:type="dxa"/>
            <w:shd w:val="clear" w:color="auto" w:fill="auto"/>
          </w:tcPr>
          <w:p w:rsidR="007C50D5" w:rsidRPr="007C50D5" w:rsidRDefault="007C50D5" w:rsidP="007C50D5">
            <w:pPr>
              <w:pStyle w:val="StandardWeb"/>
              <w:numPr>
                <w:ilvl w:val="0"/>
                <w:numId w:val="11"/>
              </w:numPr>
              <w:spacing w:before="2" w:after="2" w:line="360" w:lineRule="auto"/>
              <w:ind w:left="257" w:hanging="283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no fusion with context features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11"/>
              </w:numPr>
              <w:spacing w:before="2" w:after="2" w:line="360" w:lineRule="auto"/>
              <w:ind w:left="257" w:hanging="283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no reliable tool-target distance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11"/>
              </w:numPr>
              <w:spacing w:before="2" w:after="2" w:line="360" w:lineRule="auto"/>
              <w:ind w:left="257" w:hanging="283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potential artifacts caused by visual distortion/varying angles to resection plane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11"/>
              </w:numPr>
              <w:spacing w:before="2" w:after="2" w:line="360" w:lineRule="auto"/>
              <w:ind w:left="257" w:hanging="283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depth information often uncertain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11"/>
              </w:numPr>
              <w:spacing w:before="2" w:after="2" w:line="360" w:lineRule="auto"/>
              <w:ind w:left="257" w:hanging="283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limited number of objects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11"/>
              </w:numPr>
              <w:spacing w:before="2" w:after="2" w:line="360" w:lineRule="auto"/>
              <w:ind w:left="257" w:hanging="283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occlusion of field of view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11"/>
              </w:numPr>
              <w:spacing w:before="2" w:after="2" w:line="360" w:lineRule="auto"/>
              <w:ind w:left="257" w:hanging="283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short-term utilization during surgery</w:t>
            </w:r>
          </w:p>
        </w:tc>
      </w:tr>
      <w:tr w:rsidR="007C50D5" w:rsidRPr="007C50D5" w:rsidTr="00B8248C">
        <w:tc>
          <w:tcPr>
            <w:tcW w:w="2263" w:type="dxa"/>
            <w:shd w:val="clear" w:color="auto" w:fill="auto"/>
            <w:vAlign w:val="center"/>
          </w:tcPr>
          <w:p w:rsidR="007C50D5" w:rsidRPr="007C50D5" w:rsidRDefault="007C50D5" w:rsidP="00B8248C">
            <w:pPr>
              <w:pStyle w:val="StandardWeb"/>
              <w:spacing w:before="2" w:after="2" w:line="360" w:lineRule="auto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lastRenderedPageBreak/>
              <w:t>picture-in-picture (mode)</w:t>
            </w:r>
          </w:p>
        </w:tc>
        <w:tc>
          <w:tcPr>
            <w:tcW w:w="3743" w:type="dxa"/>
            <w:shd w:val="clear" w:color="auto" w:fill="auto"/>
          </w:tcPr>
          <w:p w:rsidR="007C50D5" w:rsidRPr="007C50D5" w:rsidRDefault="007C50D5" w:rsidP="007C50D5">
            <w:pPr>
              <w:pStyle w:val="StandardWeb"/>
              <w:numPr>
                <w:ilvl w:val="0"/>
                <w:numId w:val="12"/>
              </w:numPr>
              <w:spacing w:before="2" w:after="2" w:line="360" w:lineRule="auto"/>
              <w:ind w:left="177" w:hanging="17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all-in-one display of surgically relevant information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12"/>
              </w:numPr>
              <w:spacing w:before="2" w:after="2" w:line="360" w:lineRule="auto"/>
              <w:ind w:left="177" w:hanging="17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less occlusion of field of view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12"/>
              </w:numPr>
              <w:spacing w:before="2" w:after="2" w:line="360" w:lineRule="auto"/>
              <w:ind w:left="177" w:hanging="17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long-term utilization during surgery</w:t>
            </w:r>
          </w:p>
        </w:tc>
        <w:tc>
          <w:tcPr>
            <w:tcW w:w="3770" w:type="dxa"/>
            <w:shd w:val="clear" w:color="auto" w:fill="auto"/>
          </w:tcPr>
          <w:p w:rsidR="007C50D5" w:rsidRPr="007C50D5" w:rsidRDefault="007C50D5" w:rsidP="007C50D5">
            <w:pPr>
              <w:pStyle w:val="StandardWeb"/>
              <w:numPr>
                <w:ilvl w:val="0"/>
                <w:numId w:val="12"/>
              </w:numPr>
              <w:spacing w:before="2" w:after="2" w:line="360" w:lineRule="auto"/>
              <w:ind w:left="257" w:hanging="283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no realistic scale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12"/>
              </w:numPr>
              <w:spacing w:before="2" w:after="2" w:line="360" w:lineRule="auto"/>
              <w:ind w:left="257" w:hanging="283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no context information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12"/>
              </w:numPr>
              <w:spacing w:before="2" w:after="2" w:line="360" w:lineRule="auto"/>
              <w:ind w:left="257" w:hanging="283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no relation to physical depth of resection cavity</w:t>
            </w:r>
          </w:p>
        </w:tc>
      </w:tr>
      <w:tr w:rsidR="007C50D5" w:rsidRPr="007C50D5" w:rsidTr="00B8248C">
        <w:tc>
          <w:tcPr>
            <w:tcW w:w="2263" w:type="dxa"/>
            <w:shd w:val="clear" w:color="auto" w:fill="auto"/>
            <w:vAlign w:val="center"/>
          </w:tcPr>
          <w:p w:rsidR="007C50D5" w:rsidRPr="007C50D5" w:rsidRDefault="007C50D5" w:rsidP="00B8248C">
            <w:pPr>
              <w:pStyle w:val="StandardWeb"/>
              <w:spacing w:before="2" w:after="2" w:line="360" w:lineRule="auto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picture-in-picture + overlay display (mode)</w:t>
            </w:r>
          </w:p>
        </w:tc>
        <w:tc>
          <w:tcPr>
            <w:tcW w:w="3743" w:type="dxa"/>
            <w:shd w:val="clear" w:color="auto" w:fill="auto"/>
          </w:tcPr>
          <w:p w:rsidR="007C50D5" w:rsidRPr="007C50D5" w:rsidRDefault="007C50D5" w:rsidP="007C50D5">
            <w:pPr>
              <w:pStyle w:val="StandardWeb"/>
              <w:numPr>
                <w:ilvl w:val="0"/>
                <w:numId w:val="10"/>
              </w:numPr>
              <w:spacing w:before="2" w:after="2" w:line="360" w:lineRule="auto"/>
              <w:ind w:left="177" w:hanging="17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 xml:space="preserve">both </w:t>
            </w:r>
            <w:proofErr w:type="spellStart"/>
            <w:r w:rsidRPr="007C50D5">
              <w:rPr>
                <w:rFonts w:ascii="Garamond" w:hAnsi="Garamond"/>
                <w:color w:val="000000" w:themeColor="text1"/>
                <w:lang w:val="en-US"/>
              </w:rPr>
              <w:t>focal</w:t>
            </w:r>
            <w:proofErr w:type="spellEnd"/>
            <w:r w:rsidRPr="007C50D5">
              <w:rPr>
                <w:rFonts w:ascii="Garamond" w:hAnsi="Garamond"/>
                <w:color w:val="000000" w:themeColor="text1"/>
                <w:lang w:val="en-US"/>
              </w:rPr>
              <w:t xml:space="preserve"> and global orientation</w:t>
            </w:r>
          </w:p>
          <w:p w:rsidR="007C50D5" w:rsidRPr="007C50D5" w:rsidRDefault="007C50D5" w:rsidP="00B8248C">
            <w:pPr>
              <w:pStyle w:val="StandardWeb"/>
              <w:spacing w:before="2" w:after="2" w:line="360" w:lineRule="auto"/>
              <w:rPr>
                <w:rFonts w:ascii="Garamond" w:hAnsi="Garamond"/>
                <w:color w:val="000000" w:themeColor="text1"/>
                <w:lang w:val="en-US"/>
              </w:rPr>
            </w:pPr>
          </w:p>
        </w:tc>
        <w:tc>
          <w:tcPr>
            <w:tcW w:w="3770" w:type="dxa"/>
            <w:shd w:val="clear" w:color="auto" w:fill="auto"/>
          </w:tcPr>
          <w:p w:rsidR="007C50D5" w:rsidRPr="007C50D5" w:rsidRDefault="007C50D5" w:rsidP="007C50D5">
            <w:pPr>
              <w:pStyle w:val="StandardWeb"/>
              <w:numPr>
                <w:ilvl w:val="0"/>
                <w:numId w:val="10"/>
              </w:numPr>
              <w:spacing w:before="2" w:after="2" w:line="360" w:lineRule="auto"/>
              <w:ind w:left="257" w:hanging="25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occlusion of field of view</w:t>
            </w:r>
          </w:p>
          <w:p w:rsidR="007C50D5" w:rsidRPr="007C50D5" w:rsidRDefault="007C50D5" w:rsidP="007C50D5">
            <w:pPr>
              <w:pStyle w:val="StandardWeb"/>
              <w:numPr>
                <w:ilvl w:val="0"/>
                <w:numId w:val="10"/>
              </w:numPr>
              <w:spacing w:before="2" w:after="2" w:line="360" w:lineRule="auto"/>
              <w:ind w:left="257" w:hanging="257"/>
              <w:rPr>
                <w:rFonts w:ascii="Garamond" w:hAnsi="Garamond"/>
                <w:color w:val="000000" w:themeColor="text1"/>
                <w:lang w:val="en-US"/>
              </w:rPr>
            </w:pPr>
            <w:r w:rsidRPr="007C50D5">
              <w:rPr>
                <w:rFonts w:ascii="Garamond" w:hAnsi="Garamond"/>
                <w:color w:val="000000" w:themeColor="text1"/>
                <w:lang w:val="en-US"/>
              </w:rPr>
              <w:t>short-term utilization during surgery</w:t>
            </w:r>
          </w:p>
        </w:tc>
      </w:tr>
    </w:tbl>
    <w:p w:rsidR="007C50D5" w:rsidRPr="007C50D5" w:rsidRDefault="007C50D5" w:rsidP="007C50D5">
      <w:pPr>
        <w:pStyle w:val="StandardWeb"/>
        <w:spacing w:before="2" w:after="2" w:line="360" w:lineRule="auto"/>
        <w:rPr>
          <w:rFonts w:ascii="Garamond" w:hAnsi="Garamond"/>
          <w:color w:val="000000" w:themeColor="text1"/>
          <w:sz w:val="24"/>
          <w:szCs w:val="24"/>
          <w:lang w:val="en-US"/>
        </w:rPr>
      </w:pPr>
    </w:p>
    <w:p w:rsidR="00BF2643" w:rsidRPr="007C50D5" w:rsidRDefault="00BF2643" w:rsidP="007C50D5">
      <w:pPr>
        <w:rPr>
          <w:color w:val="000000" w:themeColor="text1"/>
          <w:lang w:val="en-US"/>
        </w:rPr>
      </w:pPr>
    </w:p>
    <w:sectPr w:rsidR="00BF2643" w:rsidRPr="007C50D5" w:rsidSect="00BF2643">
      <w:pgSz w:w="12240" w:h="15840" w:code="1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7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31F5E"/>
    <w:multiLevelType w:val="hybridMultilevel"/>
    <w:tmpl w:val="BD7267C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5434BB"/>
    <w:multiLevelType w:val="hybridMultilevel"/>
    <w:tmpl w:val="EA58B9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073148"/>
    <w:multiLevelType w:val="hybridMultilevel"/>
    <w:tmpl w:val="B6E881D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0C71DC"/>
    <w:multiLevelType w:val="hybridMultilevel"/>
    <w:tmpl w:val="A01AB0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571874"/>
    <w:multiLevelType w:val="hybridMultilevel"/>
    <w:tmpl w:val="86A4B21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D56255"/>
    <w:multiLevelType w:val="hybridMultilevel"/>
    <w:tmpl w:val="3B94F84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DC70CA"/>
    <w:multiLevelType w:val="hybridMultilevel"/>
    <w:tmpl w:val="0A164CD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CA25E4"/>
    <w:multiLevelType w:val="hybridMultilevel"/>
    <w:tmpl w:val="DB6A2A0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82343A"/>
    <w:multiLevelType w:val="hybridMultilevel"/>
    <w:tmpl w:val="851E53C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0F2EF8"/>
    <w:multiLevelType w:val="hybridMultilevel"/>
    <w:tmpl w:val="9C7EF2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DD584D"/>
    <w:multiLevelType w:val="hybridMultilevel"/>
    <w:tmpl w:val="ABB25CF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09277B"/>
    <w:multiLevelType w:val="hybridMultilevel"/>
    <w:tmpl w:val="324A9D3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0"/>
  </w:num>
  <w:num w:numId="4">
    <w:abstractNumId w:val="2"/>
  </w:num>
  <w:num w:numId="5">
    <w:abstractNumId w:val="8"/>
  </w:num>
  <w:num w:numId="6">
    <w:abstractNumId w:val="9"/>
  </w:num>
  <w:num w:numId="7">
    <w:abstractNumId w:val="1"/>
  </w:num>
  <w:num w:numId="8">
    <w:abstractNumId w:val="7"/>
  </w:num>
  <w:num w:numId="9">
    <w:abstractNumId w:val="5"/>
  </w:num>
  <w:num w:numId="10">
    <w:abstractNumId w:val="4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643"/>
    <w:rsid w:val="00684169"/>
    <w:rsid w:val="007C50D5"/>
    <w:rsid w:val="00AC4B67"/>
    <w:rsid w:val="00BF2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388541A"/>
  <w15:chartTrackingRefBased/>
  <w15:docId w15:val="{53F9BE93-B275-C649-90D8-D7D92E400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BF2643"/>
    <w:pPr>
      <w:spacing w:after="200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F2643"/>
    <w:pPr>
      <w:ind w:left="720"/>
      <w:contextualSpacing/>
    </w:pPr>
  </w:style>
  <w:style w:type="paragraph" w:styleId="StandardWeb">
    <w:name w:val="Normal (Web)"/>
    <w:basedOn w:val="Standard"/>
    <w:uiPriority w:val="99"/>
    <w:rsid w:val="00BF2643"/>
    <w:pPr>
      <w:spacing w:beforeLines="1" w:afterLines="1"/>
    </w:pPr>
    <w:rPr>
      <w:rFonts w:ascii="Times" w:hAnsi="Times" w:cs="Times New Roman"/>
      <w:sz w:val="20"/>
      <w:szCs w:val="20"/>
    </w:rPr>
  </w:style>
  <w:style w:type="table" w:styleId="Tabellenraster">
    <w:name w:val="Table Grid"/>
    <w:basedOn w:val="NormaleTabelle"/>
    <w:uiPriority w:val="59"/>
    <w:rsid w:val="00BF26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340</Words>
  <Characters>2146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Laroe</dc:creator>
  <cp:keywords/>
  <dc:description/>
  <cp:lastModifiedBy>Laroe</cp:lastModifiedBy>
  <cp:revision>2</cp:revision>
  <dcterms:created xsi:type="dcterms:W3CDTF">2019-07-02T13:08:00Z</dcterms:created>
  <dcterms:modified xsi:type="dcterms:W3CDTF">2019-07-02T13:08:00Z</dcterms:modified>
</cp:coreProperties>
</file>