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45244" w14:textId="77777777" w:rsidR="00DE5279" w:rsidRDefault="00282FDE">
      <w:pPr>
        <w:rPr>
          <w:rFonts w:ascii="Times New Roman" w:hAnsi="Times New Roman" w:cs="Times New Roman"/>
          <w:b/>
          <w:lang w:val="en-US"/>
        </w:rPr>
      </w:pPr>
      <w:r w:rsidRPr="00282FDE">
        <w:rPr>
          <w:rFonts w:ascii="Times New Roman" w:hAnsi="Times New Roman" w:cs="Times New Roman"/>
          <w:b/>
          <w:lang w:val="en-US"/>
        </w:rPr>
        <w:t>Reliability of intraoperative visual evoked potentials (</w:t>
      </w:r>
      <w:proofErr w:type="spellStart"/>
      <w:r w:rsidRPr="00282FDE">
        <w:rPr>
          <w:rFonts w:ascii="Times New Roman" w:hAnsi="Times New Roman" w:cs="Times New Roman"/>
          <w:b/>
          <w:lang w:val="en-US"/>
        </w:rPr>
        <w:t>iVEPs</w:t>
      </w:r>
      <w:proofErr w:type="spellEnd"/>
      <w:r w:rsidRPr="00282FDE">
        <w:rPr>
          <w:rFonts w:ascii="Times New Roman" w:hAnsi="Times New Roman" w:cs="Times New Roman"/>
          <w:b/>
          <w:lang w:val="en-US"/>
        </w:rPr>
        <w:t>) in monitoring visual function during endoscopic transsphenoidal surgery.</w:t>
      </w:r>
    </w:p>
    <w:p w14:paraId="3734C99A" w14:textId="77777777" w:rsidR="00282FDE" w:rsidRDefault="00282FDE">
      <w:pPr>
        <w:rPr>
          <w:rFonts w:ascii="Times New Roman" w:hAnsi="Times New Roman" w:cs="Times New Roman"/>
          <w:b/>
          <w:lang w:val="en-US"/>
        </w:rPr>
      </w:pPr>
    </w:p>
    <w:p w14:paraId="7F26FD0C" w14:textId="77777777" w:rsidR="00282FDE" w:rsidRDefault="00282FDE">
      <w:pPr>
        <w:rPr>
          <w:rFonts w:ascii="Times New Roman" w:hAnsi="Times New Roman" w:cs="Times New Roman"/>
          <w:b/>
          <w:lang w:val="en-US"/>
        </w:rPr>
      </w:pPr>
      <w:r w:rsidRPr="00282FDE">
        <w:rPr>
          <w:rFonts w:ascii="Times New Roman" w:hAnsi="Times New Roman" w:cs="Times New Roman"/>
          <w:b/>
          <w:lang w:val="en-US"/>
        </w:rPr>
        <w:t>Supplementary Methods</w:t>
      </w:r>
    </w:p>
    <w:p w14:paraId="15C6A8FA" w14:textId="77777777" w:rsidR="00282FDE" w:rsidRDefault="00282FDE">
      <w:pPr>
        <w:rPr>
          <w:rFonts w:ascii="Times New Roman" w:hAnsi="Times New Roman" w:cs="Times New Roman"/>
          <w:b/>
          <w:lang w:val="en-US"/>
        </w:rPr>
      </w:pPr>
    </w:p>
    <w:p w14:paraId="014D3CCA" w14:textId="77777777" w:rsidR="00282FDE" w:rsidRPr="005D5E1D" w:rsidRDefault="00282FDE" w:rsidP="00282FDE">
      <w:pPr>
        <w:widowControl w:val="0"/>
        <w:spacing w:after="0" w:line="360" w:lineRule="auto"/>
        <w:jc w:val="both"/>
        <w:rPr>
          <w:lang w:val="en-US"/>
        </w:rPr>
      </w:pPr>
      <w:r w:rsidRPr="005D5E1D">
        <w:rPr>
          <w:rFonts w:ascii="Times New Roman" w:hAnsi="Times New Roman"/>
          <w:i/>
          <w:iCs/>
          <w:sz w:val="24"/>
          <w:szCs w:val="24"/>
          <w:lang w:val="en-US"/>
        </w:rPr>
        <w:t>Neuro-anesthetic Protocol</w:t>
      </w:r>
    </w:p>
    <w:p w14:paraId="0B21CD2E" w14:textId="2E3A1B9F" w:rsidR="00282FDE" w:rsidRPr="005D5E1D" w:rsidRDefault="00282FDE" w:rsidP="00282FDE">
      <w:pPr>
        <w:spacing w:line="360" w:lineRule="auto"/>
        <w:jc w:val="both"/>
        <w:rPr>
          <w:rFonts w:ascii="Times New Roman" w:hAnsi="Times New Roman" w:cs="Times New Roman"/>
          <w:sz w:val="24"/>
          <w:szCs w:val="24"/>
          <w:lang w:val="en-US"/>
        </w:rPr>
      </w:pPr>
      <w:r w:rsidRPr="005D5E1D">
        <w:rPr>
          <w:rFonts w:ascii="Times New Roman" w:hAnsi="Times New Roman" w:cs="Times New Roman"/>
          <w:sz w:val="24"/>
          <w:szCs w:val="24"/>
          <w:lang w:val="en-US"/>
        </w:rPr>
        <w:t xml:space="preserve">The anesthetic technique used is based on TIVA (Total </w:t>
      </w:r>
      <w:proofErr w:type="spellStart"/>
      <w:r w:rsidRPr="005D5E1D">
        <w:rPr>
          <w:rFonts w:ascii="Times New Roman" w:hAnsi="Times New Roman" w:cs="Times New Roman"/>
          <w:sz w:val="24"/>
          <w:szCs w:val="24"/>
          <w:lang w:val="en-US"/>
        </w:rPr>
        <w:t>IntraVenous</w:t>
      </w:r>
      <w:proofErr w:type="spellEnd"/>
      <w:r w:rsidRPr="005D5E1D">
        <w:rPr>
          <w:rFonts w:ascii="Times New Roman" w:hAnsi="Times New Roman" w:cs="Times New Roman"/>
          <w:sz w:val="24"/>
          <w:szCs w:val="24"/>
          <w:lang w:val="en-US"/>
        </w:rPr>
        <w:t xml:space="preserve"> Anesthesia) with </w:t>
      </w:r>
      <w:r w:rsidR="006B4C33" w:rsidRPr="005D5E1D">
        <w:rPr>
          <w:rFonts w:ascii="Times New Roman" w:hAnsi="Times New Roman" w:cs="Times New Roman"/>
          <w:sz w:val="24"/>
          <w:szCs w:val="24"/>
          <w:lang w:val="en-US"/>
        </w:rPr>
        <w:t>propofol and</w:t>
      </w:r>
      <w:r w:rsidRPr="005D5E1D">
        <w:rPr>
          <w:rFonts w:ascii="Times New Roman" w:hAnsi="Times New Roman" w:cs="Times New Roman"/>
          <w:sz w:val="24"/>
          <w:szCs w:val="24"/>
          <w:lang w:val="en-US"/>
        </w:rPr>
        <w:t xml:space="preserve"> remifentanil both TCI (Target Controlled </w:t>
      </w:r>
      <w:proofErr w:type="gramStart"/>
      <w:r w:rsidRPr="005D5E1D">
        <w:rPr>
          <w:rFonts w:ascii="Times New Roman" w:hAnsi="Times New Roman" w:cs="Times New Roman"/>
          <w:sz w:val="24"/>
          <w:szCs w:val="24"/>
          <w:lang w:val="en-US"/>
        </w:rPr>
        <w:t>Infusion)</w:t>
      </w:r>
      <w:r w:rsidR="00F043C7">
        <w:rPr>
          <w:rFonts w:ascii="Times New Roman" w:hAnsi="Times New Roman" w:cs="Times New Roman"/>
          <w:sz w:val="24"/>
          <w:szCs w:val="24"/>
          <w:lang w:val="en-US"/>
        </w:rPr>
        <w:t>[</w:t>
      </w:r>
      <w:proofErr w:type="gramEnd"/>
      <w:r w:rsidR="00F043C7">
        <w:rPr>
          <w:rFonts w:ascii="Times New Roman" w:hAnsi="Times New Roman" w:cs="Times New Roman"/>
          <w:sz w:val="24"/>
          <w:szCs w:val="24"/>
          <w:lang w:val="en-US"/>
        </w:rPr>
        <w:t>16,20]</w:t>
      </w:r>
      <w:r w:rsidRPr="005D5E1D">
        <w:rPr>
          <w:rFonts w:ascii="Times New Roman" w:hAnsi="Times New Roman" w:cs="Times New Roman"/>
          <w:sz w:val="24"/>
          <w:szCs w:val="24"/>
          <w:lang w:val="en-US"/>
        </w:rPr>
        <w:t xml:space="preserve">. TCI modality is well suited to neurosurgical procedures, allowing for more precise control over the effects of anesthetic drugs on neurophysiological parameters. All patients received an oral 0.2 mg/kg midazolam dose as premedication approximately 1 hour before surgery. No other sedative or centrally acting agent was administered prior to the induction of anesthesia. Anesthesia was induced with a loading dose of remifentanil 2-3 ng/ml in continuous infusion (Alaris PK) based on the pharmacokinetic model of Minto, followed 5 minutes with 3- 3.5 µg /ml propofol as dose of induction. The TCI system used for target-controlled delivery of propofol was set up on the Alaris PK pump and was based on </w:t>
      </w:r>
      <w:proofErr w:type="spellStart"/>
      <w:r w:rsidRPr="005D5E1D">
        <w:rPr>
          <w:rFonts w:ascii="Times New Roman" w:hAnsi="Times New Roman" w:cs="Times New Roman"/>
          <w:sz w:val="24"/>
          <w:szCs w:val="24"/>
          <w:lang w:val="en-US"/>
        </w:rPr>
        <w:t>Schnider's</w:t>
      </w:r>
      <w:proofErr w:type="spellEnd"/>
      <w:r w:rsidRPr="005D5E1D">
        <w:rPr>
          <w:rFonts w:ascii="Times New Roman" w:hAnsi="Times New Roman" w:cs="Times New Roman"/>
          <w:sz w:val="24"/>
          <w:szCs w:val="24"/>
          <w:lang w:val="en-US"/>
        </w:rPr>
        <w:t xml:space="preserve"> pharmacokinetic model</w:t>
      </w:r>
      <w:r w:rsidR="00F043C7">
        <w:rPr>
          <w:rFonts w:ascii="Times New Roman" w:hAnsi="Times New Roman" w:cs="Times New Roman"/>
          <w:sz w:val="24"/>
          <w:szCs w:val="24"/>
          <w:lang w:val="en-US"/>
        </w:rPr>
        <w:t xml:space="preserve"> [29]</w:t>
      </w:r>
      <w:r w:rsidRPr="005D5E1D">
        <w:rPr>
          <w:rFonts w:ascii="Times New Roman" w:hAnsi="Times New Roman" w:cs="Times New Roman"/>
          <w:sz w:val="24"/>
          <w:szCs w:val="24"/>
          <w:lang w:val="en-US"/>
        </w:rPr>
        <w:t xml:space="preserve">. Endotracheal intubation was facilitated by 0.08 mg/kg </w:t>
      </w:r>
      <w:r w:rsidR="00EF3DF2">
        <w:rPr>
          <w:rFonts w:ascii="Times New Roman" w:hAnsi="Times New Roman" w:cs="Times New Roman"/>
          <w:sz w:val="24"/>
          <w:szCs w:val="24"/>
          <w:lang w:val="en-US"/>
        </w:rPr>
        <w:t>v</w:t>
      </w:r>
      <w:r w:rsidRPr="005D5E1D">
        <w:rPr>
          <w:rFonts w:ascii="Times New Roman" w:hAnsi="Times New Roman" w:cs="Times New Roman"/>
          <w:sz w:val="24"/>
          <w:szCs w:val="24"/>
          <w:lang w:val="en-US"/>
        </w:rPr>
        <w:t xml:space="preserve">ecuronium bromide; no further doses of muscle relaxants were administered during surgery. The lungs were mechanically ventilated with a 45% O2 mixture in air, to maintain end-tidal CO2 (ETCO2) concentrations at 30-35 mmHg during surgery. Anesthesia was maintained with remifentanil 4-5 ng/ml and propofol in a range of 2.5 to 3.0 </w:t>
      </w:r>
      <w:proofErr w:type="spellStart"/>
      <w:r w:rsidRPr="005D5E1D">
        <w:rPr>
          <w:rFonts w:ascii="Times New Roman" w:hAnsi="Times New Roman" w:cs="Times New Roman"/>
          <w:sz w:val="24"/>
          <w:szCs w:val="24"/>
          <w:lang w:val="en-US"/>
        </w:rPr>
        <w:t>μg</w:t>
      </w:r>
      <w:proofErr w:type="spellEnd"/>
      <w:r w:rsidRPr="005D5E1D">
        <w:rPr>
          <w:rFonts w:ascii="Times New Roman" w:hAnsi="Times New Roman" w:cs="Times New Roman"/>
          <w:sz w:val="24"/>
          <w:szCs w:val="24"/>
          <w:lang w:val="en-US"/>
        </w:rPr>
        <w:t>/ml according to the physiological parameters of the patients and BIS (</w:t>
      </w:r>
      <w:proofErr w:type="spellStart"/>
      <w:r w:rsidRPr="005D5E1D">
        <w:rPr>
          <w:rFonts w:ascii="Times New Roman" w:hAnsi="Times New Roman" w:cs="Times New Roman"/>
          <w:sz w:val="24"/>
          <w:szCs w:val="24"/>
          <w:lang w:val="en-US"/>
        </w:rPr>
        <w:t>Bispectral</w:t>
      </w:r>
      <w:proofErr w:type="spellEnd"/>
      <w:r w:rsidRPr="005D5E1D">
        <w:rPr>
          <w:rFonts w:ascii="Times New Roman" w:hAnsi="Times New Roman" w:cs="Times New Roman"/>
          <w:sz w:val="24"/>
          <w:szCs w:val="24"/>
          <w:lang w:val="en-US"/>
        </w:rPr>
        <w:t xml:space="preserve"> Index) monitoring, to obtain a constant level of anesthesia. In the event of signs of light anesthesia (increased heart rate or MAP [mean arterial pressure]&gt; 15% from </w:t>
      </w:r>
      <w:r w:rsidR="008F6E4F" w:rsidRPr="005D5E1D">
        <w:rPr>
          <w:rFonts w:ascii="Times New Roman" w:hAnsi="Times New Roman" w:cs="Times New Roman"/>
          <w:sz w:val="24"/>
          <w:szCs w:val="24"/>
          <w:lang w:val="en-US"/>
        </w:rPr>
        <w:t>baseline, BIS</w:t>
      </w:r>
      <w:r w:rsidRPr="005D5E1D">
        <w:rPr>
          <w:rFonts w:ascii="Times New Roman" w:hAnsi="Times New Roman" w:cs="Times New Roman"/>
          <w:sz w:val="24"/>
          <w:szCs w:val="24"/>
          <w:lang w:val="en-US"/>
        </w:rPr>
        <w:t xml:space="preserve"> values over 50-60), the infusion rate of remifentanil was increased to 5-6ng/mL and propofol up to 4 µg/ml. During the recording of evoked potentials, a stable anesthetic status was maintained without further administration of bolus drugs</w:t>
      </w:r>
      <w:r w:rsidR="00C97423">
        <w:rPr>
          <w:rFonts w:ascii="Times New Roman" w:hAnsi="Times New Roman" w:cs="Times New Roman"/>
          <w:sz w:val="24"/>
          <w:szCs w:val="24"/>
          <w:lang w:val="en-US"/>
        </w:rPr>
        <w:t xml:space="preserve">; </w:t>
      </w:r>
      <w:r w:rsidR="00C97423" w:rsidRPr="00EB391B">
        <w:rPr>
          <w:rFonts w:ascii="Times New Roman" w:hAnsi="Times New Roman" w:cs="Times New Roman"/>
          <w:color w:val="000000" w:themeColor="text1"/>
          <w:sz w:val="24"/>
          <w:szCs w:val="24"/>
          <w:lang w:val="en-US"/>
        </w:rPr>
        <w:t xml:space="preserve">BIS values were kept stable at 45-50 throughout the VEP recording </w:t>
      </w:r>
      <w:proofErr w:type="gramStart"/>
      <w:r w:rsidR="00C97423" w:rsidRPr="00EB391B">
        <w:rPr>
          <w:rFonts w:ascii="Times New Roman" w:hAnsi="Times New Roman" w:cs="Times New Roman"/>
          <w:color w:val="000000" w:themeColor="text1"/>
          <w:sz w:val="24"/>
          <w:szCs w:val="24"/>
          <w:lang w:val="en-US"/>
        </w:rPr>
        <w:t>phase</w:t>
      </w:r>
      <w:proofErr w:type="gramEnd"/>
      <w:r w:rsidR="00C97423" w:rsidRPr="00EB391B">
        <w:rPr>
          <w:rFonts w:ascii="Times New Roman" w:hAnsi="Times New Roman" w:cs="Times New Roman"/>
          <w:color w:val="000000" w:themeColor="text1"/>
          <w:sz w:val="24"/>
          <w:szCs w:val="24"/>
          <w:lang w:val="en-US"/>
        </w:rPr>
        <w:t xml:space="preserve"> for all included patients</w:t>
      </w:r>
      <w:r w:rsidRPr="00EB391B">
        <w:rPr>
          <w:rFonts w:ascii="Times New Roman" w:hAnsi="Times New Roman" w:cs="Times New Roman"/>
          <w:color w:val="000000" w:themeColor="text1"/>
          <w:sz w:val="24"/>
          <w:szCs w:val="24"/>
          <w:lang w:val="en-US"/>
        </w:rPr>
        <w:t xml:space="preserve">. </w:t>
      </w:r>
      <w:r w:rsidRPr="005D5E1D">
        <w:rPr>
          <w:rFonts w:ascii="Times New Roman" w:hAnsi="Times New Roman" w:cs="Times New Roman"/>
          <w:sz w:val="24"/>
          <w:szCs w:val="24"/>
          <w:lang w:val="en-US"/>
        </w:rPr>
        <w:t>Routine anesthetic monitoring included ECG, heart ratio, SpO2, invasive blood pressure, ETCO2, pharyngeal (core) and skin temperature, BIS. Arterial blood samples were analyzed periodically to keep all ABB (Acid Base Balance) parameters within the normal range. At the end of the surgical procedure, all patients awakened within 15-30 minutes of stopping the TIVA.</w:t>
      </w:r>
    </w:p>
    <w:p w14:paraId="2AC90F3E" w14:textId="77777777" w:rsidR="00282FDE" w:rsidRPr="005D5E1D" w:rsidRDefault="00282FDE" w:rsidP="00282FDE">
      <w:pPr>
        <w:spacing w:after="0" w:line="360" w:lineRule="auto"/>
        <w:jc w:val="both"/>
        <w:rPr>
          <w:lang w:val="en-US"/>
        </w:rPr>
      </w:pPr>
    </w:p>
    <w:p w14:paraId="7E5A7EF8" w14:textId="080AE9EF" w:rsidR="00282FDE" w:rsidRPr="005D5E1D" w:rsidRDefault="0069273D" w:rsidP="00282FDE">
      <w:pPr>
        <w:spacing w:after="0" w:line="360" w:lineRule="auto"/>
        <w:jc w:val="both"/>
        <w:rPr>
          <w:lang w:val="en-US"/>
        </w:rPr>
      </w:pPr>
      <w:r>
        <w:rPr>
          <w:rFonts w:ascii="Times New Roman" w:hAnsi="Times New Roman"/>
          <w:i/>
          <w:iCs/>
          <w:sz w:val="24"/>
          <w:szCs w:val="24"/>
          <w:lang w:val="en-US"/>
        </w:rPr>
        <w:t>Surgical technique</w:t>
      </w:r>
    </w:p>
    <w:p w14:paraId="70C5F68D" w14:textId="29B9E399" w:rsidR="00282FDE" w:rsidRPr="005D5E1D" w:rsidRDefault="00282FDE" w:rsidP="00282FDE">
      <w:pPr>
        <w:spacing w:after="0" w:line="360" w:lineRule="auto"/>
        <w:jc w:val="both"/>
        <w:rPr>
          <w:lang w:val="en-US"/>
        </w:rPr>
      </w:pPr>
      <w:r w:rsidRPr="005D5E1D">
        <w:rPr>
          <w:rFonts w:ascii="Times New Roman" w:hAnsi="Times New Roman"/>
          <w:sz w:val="24"/>
          <w:szCs w:val="24"/>
          <w:lang w:val="en-US"/>
        </w:rPr>
        <w:t xml:space="preserve">Patients were operated on by a multidisciplinary team consisting of Otolaryngologist and Neurosurgeon with extensive experience in EEA. The technique used was the </w:t>
      </w:r>
      <w:proofErr w:type="spellStart"/>
      <w:r w:rsidRPr="005D5E1D">
        <w:rPr>
          <w:rFonts w:ascii="Times New Roman" w:hAnsi="Times New Roman"/>
          <w:sz w:val="24"/>
          <w:szCs w:val="24"/>
          <w:lang w:val="en-US"/>
        </w:rPr>
        <w:t>binostril</w:t>
      </w:r>
      <w:proofErr w:type="spellEnd"/>
      <w:r w:rsidRPr="005D5E1D">
        <w:rPr>
          <w:rFonts w:ascii="Times New Roman" w:hAnsi="Times New Roman"/>
          <w:sz w:val="24"/>
          <w:szCs w:val="24"/>
          <w:lang w:val="en-US"/>
        </w:rPr>
        <w:t xml:space="preserve"> trans</w:t>
      </w:r>
      <w:r w:rsidR="00A84C9B">
        <w:rPr>
          <w:rFonts w:ascii="Times New Roman" w:hAnsi="Times New Roman"/>
          <w:sz w:val="24"/>
          <w:szCs w:val="24"/>
          <w:lang w:val="en-US"/>
        </w:rPr>
        <w:t>-</w:t>
      </w:r>
      <w:r w:rsidR="00A84C9B">
        <w:rPr>
          <w:rFonts w:ascii="Times New Roman" w:hAnsi="Times New Roman"/>
          <w:sz w:val="24"/>
          <w:szCs w:val="24"/>
          <w:lang w:val="en-US"/>
        </w:rPr>
        <w:lastRenderedPageBreak/>
        <w:t>s</w:t>
      </w:r>
      <w:r w:rsidRPr="005D5E1D">
        <w:rPr>
          <w:rFonts w:ascii="Times New Roman" w:hAnsi="Times New Roman"/>
          <w:sz w:val="24"/>
          <w:szCs w:val="24"/>
          <w:lang w:val="en-US"/>
        </w:rPr>
        <w:t xml:space="preserve">phenoidal approach with posterior septostomy and harvesting of a modified "rescue flap" and / or a pedunculated </w:t>
      </w:r>
      <w:proofErr w:type="spellStart"/>
      <w:r w:rsidRPr="005D5E1D">
        <w:rPr>
          <w:rFonts w:ascii="Times New Roman" w:hAnsi="Times New Roman"/>
          <w:sz w:val="24"/>
          <w:szCs w:val="24"/>
          <w:lang w:val="en-US"/>
        </w:rPr>
        <w:t>nasoseptal</w:t>
      </w:r>
      <w:proofErr w:type="spellEnd"/>
      <w:r w:rsidRPr="005D5E1D">
        <w:rPr>
          <w:rFonts w:ascii="Times New Roman" w:hAnsi="Times New Roman"/>
          <w:sz w:val="24"/>
          <w:szCs w:val="24"/>
          <w:lang w:val="en-US"/>
        </w:rPr>
        <w:t xml:space="preserve"> flap according to </w:t>
      </w:r>
      <w:proofErr w:type="spellStart"/>
      <w:r w:rsidRPr="005D5E1D">
        <w:rPr>
          <w:rFonts w:ascii="Times New Roman" w:hAnsi="Times New Roman"/>
          <w:sz w:val="24"/>
          <w:szCs w:val="24"/>
          <w:lang w:val="en-US"/>
        </w:rPr>
        <w:t>Hadad-Bassagasteguy</w:t>
      </w:r>
      <w:proofErr w:type="spellEnd"/>
      <w:r w:rsidRPr="005D5E1D">
        <w:rPr>
          <w:rFonts w:ascii="Times New Roman" w:hAnsi="Times New Roman"/>
          <w:sz w:val="24"/>
          <w:szCs w:val="24"/>
          <w:lang w:val="en-US"/>
        </w:rPr>
        <w:t>, carefully preserving the septal branch of the sphenopalatine artery which supplies the flap</w:t>
      </w:r>
      <w:r w:rsidR="00F043C7">
        <w:rPr>
          <w:rFonts w:ascii="Times New Roman" w:hAnsi="Times New Roman"/>
          <w:sz w:val="24"/>
          <w:szCs w:val="24"/>
          <w:lang w:val="en-US"/>
        </w:rPr>
        <w:t xml:space="preserve"> [12]</w:t>
      </w:r>
      <w:r>
        <w:rPr>
          <w:rFonts w:ascii="Times New Roman" w:hAnsi="Times New Roman"/>
          <w:sz w:val="24"/>
          <w:szCs w:val="24"/>
          <w:lang w:val="en-US"/>
        </w:rPr>
        <w:t>.</w:t>
      </w:r>
      <w:r>
        <w:rPr>
          <w:rFonts w:ascii="Times New Roman" w:hAnsi="Times New Roman"/>
          <w:sz w:val="24"/>
          <w:szCs w:val="24"/>
          <w:vertAlign w:val="superscript"/>
          <w:lang w:val="en-US"/>
        </w:rPr>
        <w:t xml:space="preserve"> </w:t>
      </w:r>
      <w:r w:rsidRPr="005D5E1D">
        <w:rPr>
          <w:rFonts w:ascii="Times New Roman" w:hAnsi="Times New Roman"/>
          <w:sz w:val="24"/>
          <w:szCs w:val="24"/>
          <w:lang w:val="en-US"/>
        </w:rPr>
        <w:t xml:space="preserve">In cases of suprasellar extension of the lesion, removal of the tuberculum sellae or part of the </w:t>
      </w:r>
      <w:proofErr w:type="spellStart"/>
      <w:r w:rsidRPr="005D5E1D">
        <w:rPr>
          <w:rFonts w:ascii="Times New Roman" w:hAnsi="Times New Roman"/>
          <w:sz w:val="24"/>
          <w:szCs w:val="24"/>
          <w:lang w:val="en-US"/>
        </w:rPr>
        <w:t>spheno</w:t>
      </w:r>
      <w:proofErr w:type="spellEnd"/>
      <w:r w:rsidRPr="005D5E1D">
        <w:rPr>
          <w:rFonts w:ascii="Times New Roman" w:hAnsi="Times New Roman"/>
          <w:sz w:val="24"/>
          <w:szCs w:val="24"/>
          <w:lang w:val="en-US"/>
        </w:rPr>
        <w:t xml:space="preserve">-ethmoidal planum was carried out in order to have the widest possible view of the suprasellar region and of the optic-chiasmatic complex, to perform the most effective and safe possible decompression. After removal of the lesion, </w:t>
      </w:r>
      <w:proofErr w:type="spellStart"/>
      <w:r w:rsidRPr="005D5E1D">
        <w:rPr>
          <w:rFonts w:ascii="Times New Roman" w:hAnsi="Times New Roman"/>
          <w:sz w:val="24"/>
          <w:szCs w:val="24"/>
          <w:lang w:val="en-US"/>
        </w:rPr>
        <w:t>sellar</w:t>
      </w:r>
      <w:proofErr w:type="spellEnd"/>
      <w:r w:rsidRPr="005D5E1D">
        <w:rPr>
          <w:rFonts w:ascii="Times New Roman" w:hAnsi="Times New Roman"/>
          <w:sz w:val="24"/>
          <w:szCs w:val="24"/>
          <w:lang w:val="en-US"/>
        </w:rPr>
        <w:t xml:space="preserve"> floor reconstruction was carried out with </w:t>
      </w:r>
      <w:proofErr w:type="spellStart"/>
      <w:r w:rsidRPr="005D5E1D">
        <w:rPr>
          <w:rFonts w:ascii="Times New Roman" w:hAnsi="Times New Roman"/>
          <w:sz w:val="24"/>
          <w:szCs w:val="24"/>
          <w:lang w:val="en-US"/>
        </w:rPr>
        <w:t>Gelfoam</w:t>
      </w:r>
      <w:proofErr w:type="spellEnd"/>
      <w:r w:rsidRPr="005D5E1D">
        <w:rPr>
          <w:rFonts w:ascii="Times New Roman" w:hAnsi="Times New Roman"/>
          <w:sz w:val="24"/>
          <w:szCs w:val="24"/>
          <w:lang w:val="en-US"/>
        </w:rPr>
        <w:t xml:space="preserve">, fibrin glue and autologous septal bone/cartilage; alternatively, in cases of evidence of intraoperative </w:t>
      </w:r>
      <w:proofErr w:type="spellStart"/>
      <w:r w:rsidRPr="005D5E1D">
        <w:rPr>
          <w:rFonts w:ascii="Times New Roman" w:hAnsi="Times New Roman"/>
          <w:sz w:val="24"/>
          <w:szCs w:val="24"/>
          <w:lang w:val="en-US"/>
        </w:rPr>
        <w:t>cerebro</w:t>
      </w:r>
      <w:proofErr w:type="spellEnd"/>
      <w:r w:rsidRPr="005D5E1D">
        <w:rPr>
          <w:rFonts w:ascii="Times New Roman" w:hAnsi="Times New Roman"/>
          <w:sz w:val="24"/>
          <w:szCs w:val="24"/>
          <w:lang w:val="en-US"/>
        </w:rPr>
        <w:t xml:space="preserve">-spinal fluid (CSF) leakage, autologous adipose tissue </w:t>
      </w:r>
      <w:r>
        <w:rPr>
          <w:rFonts w:ascii="Times New Roman" w:hAnsi="Times New Roman"/>
          <w:sz w:val="24"/>
          <w:szCs w:val="24"/>
          <w:lang w:val="en-US"/>
        </w:rPr>
        <w:t>harvested</w:t>
      </w:r>
      <w:r w:rsidRPr="005D5E1D">
        <w:rPr>
          <w:rFonts w:ascii="Times New Roman" w:hAnsi="Times New Roman"/>
          <w:sz w:val="24"/>
          <w:szCs w:val="24"/>
          <w:lang w:val="en-US"/>
        </w:rPr>
        <w:t xml:space="preserve"> from the </w:t>
      </w:r>
      <w:r>
        <w:rPr>
          <w:rFonts w:ascii="Times New Roman" w:hAnsi="Times New Roman"/>
          <w:sz w:val="24"/>
          <w:szCs w:val="24"/>
          <w:lang w:val="en-US"/>
        </w:rPr>
        <w:t>abdominal subcutaneous</w:t>
      </w:r>
      <w:r w:rsidRPr="005D5E1D">
        <w:rPr>
          <w:rFonts w:ascii="Times New Roman" w:hAnsi="Times New Roman"/>
          <w:sz w:val="24"/>
          <w:szCs w:val="24"/>
          <w:lang w:val="en-US"/>
        </w:rPr>
        <w:t xml:space="preserve"> was positioned, covered by the previously prepared </w:t>
      </w:r>
      <w:proofErr w:type="spellStart"/>
      <w:r w:rsidRPr="005D5E1D">
        <w:rPr>
          <w:rFonts w:ascii="Times New Roman" w:hAnsi="Times New Roman"/>
          <w:sz w:val="24"/>
          <w:szCs w:val="24"/>
          <w:lang w:val="en-US"/>
        </w:rPr>
        <w:t>nasoseptal</w:t>
      </w:r>
      <w:proofErr w:type="spellEnd"/>
      <w:r w:rsidRPr="005D5E1D">
        <w:rPr>
          <w:rFonts w:ascii="Times New Roman" w:hAnsi="Times New Roman"/>
          <w:sz w:val="24"/>
          <w:szCs w:val="24"/>
          <w:lang w:val="en-US"/>
        </w:rPr>
        <w:t xml:space="preserve"> pedunculated flap</w:t>
      </w:r>
      <w:r w:rsidR="00F043C7">
        <w:rPr>
          <w:rFonts w:ascii="Times New Roman" w:hAnsi="Times New Roman"/>
          <w:sz w:val="24"/>
          <w:szCs w:val="24"/>
          <w:lang w:val="en-US"/>
        </w:rPr>
        <w:t xml:space="preserve"> [12]</w:t>
      </w:r>
      <w:r w:rsidRPr="005D5E1D">
        <w:rPr>
          <w:rFonts w:ascii="Times New Roman" w:hAnsi="Times New Roman"/>
          <w:sz w:val="24"/>
          <w:szCs w:val="24"/>
          <w:lang w:val="en-US"/>
        </w:rPr>
        <w:t>.</w:t>
      </w:r>
    </w:p>
    <w:p w14:paraId="75906A98" w14:textId="77777777" w:rsidR="00282FDE" w:rsidRPr="005D5E1D" w:rsidRDefault="00282FDE" w:rsidP="00282FDE">
      <w:pPr>
        <w:spacing w:after="0" w:line="360" w:lineRule="auto"/>
        <w:jc w:val="both"/>
        <w:rPr>
          <w:lang w:val="en-US"/>
        </w:rPr>
      </w:pPr>
      <w:r w:rsidRPr="005D5E1D">
        <w:rPr>
          <w:rFonts w:ascii="Times New Roman" w:hAnsi="Times New Roman"/>
          <w:sz w:val="24"/>
          <w:szCs w:val="24"/>
          <w:lang w:val="en-US"/>
        </w:rPr>
        <w:t>The endoscopic instruments used were the UHD System (</w:t>
      </w:r>
      <w:proofErr w:type="spellStart"/>
      <w:r w:rsidRPr="005D5E1D">
        <w:rPr>
          <w:rFonts w:ascii="Times New Roman" w:hAnsi="Times New Roman"/>
          <w:sz w:val="24"/>
          <w:szCs w:val="24"/>
          <w:lang w:val="en-US"/>
        </w:rPr>
        <w:t>Visera</w:t>
      </w:r>
      <w:proofErr w:type="spellEnd"/>
      <w:r w:rsidRPr="005D5E1D">
        <w:rPr>
          <w:rFonts w:ascii="Times New Roman" w:hAnsi="Times New Roman"/>
          <w:sz w:val="24"/>
          <w:szCs w:val="24"/>
          <w:lang w:val="en-US"/>
        </w:rPr>
        <w:t xml:space="preserve"> 4K UHD, Olympus, Tokyo, Japan) consisting of a camera (CH-S400, Olympus) equipped with a 300 W Xenon light source (CLV-S400, Olympus), a control (OTV-S400, Olympus) and a dedicated ultra-HD 55 '' main screen (LMD-X550S, Olympus).</w:t>
      </w:r>
    </w:p>
    <w:p w14:paraId="40562E4C" w14:textId="77777777" w:rsidR="00282FDE" w:rsidRPr="005D5E1D" w:rsidRDefault="00282FDE" w:rsidP="00282FDE">
      <w:pPr>
        <w:spacing w:after="0" w:line="360" w:lineRule="auto"/>
        <w:jc w:val="both"/>
        <w:rPr>
          <w:lang w:val="en-US"/>
        </w:rPr>
      </w:pPr>
      <w:r>
        <w:rPr>
          <w:rFonts w:ascii="Times New Roman" w:hAnsi="Times New Roman"/>
          <w:sz w:val="24"/>
          <w:szCs w:val="24"/>
          <w:lang w:val="en-US"/>
        </w:rPr>
        <w:t>0</w:t>
      </w:r>
      <w:r w:rsidRPr="005D5E1D">
        <w:rPr>
          <w:rFonts w:ascii="Times New Roman" w:hAnsi="Times New Roman"/>
          <w:sz w:val="24"/>
          <w:szCs w:val="24"/>
          <w:lang w:val="en-US"/>
        </w:rPr>
        <w:t>°</w:t>
      </w:r>
      <w:r>
        <w:rPr>
          <w:rFonts w:ascii="Times New Roman" w:hAnsi="Times New Roman"/>
          <w:sz w:val="24"/>
          <w:szCs w:val="24"/>
          <w:lang w:val="en-US"/>
        </w:rPr>
        <w:t>,</w:t>
      </w:r>
      <w:r w:rsidRPr="005D5E1D">
        <w:rPr>
          <w:rFonts w:ascii="Times New Roman" w:hAnsi="Times New Roman"/>
          <w:sz w:val="24"/>
          <w:szCs w:val="24"/>
          <w:lang w:val="en-US"/>
        </w:rPr>
        <w:t xml:space="preserve"> </w:t>
      </w:r>
      <w:r>
        <w:rPr>
          <w:rFonts w:ascii="Times New Roman" w:hAnsi="Times New Roman"/>
          <w:sz w:val="24"/>
          <w:szCs w:val="24"/>
          <w:lang w:val="en-US"/>
        </w:rPr>
        <w:t>30</w:t>
      </w:r>
      <w:r w:rsidRPr="005D5E1D">
        <w:rPr>
          <w:rFonts w:ascii="Times New Roman" w:hAnsi="Times New Roman"/>
          <w:sz w:val="24"/>
          <w:szCs w:val="24"/>
          <w:lang w:val="en-US"/>
        </w:rPr>
        <w:t>°</w:t>
      </w:r>
      <w:r>
        <w:rPr>
          <w:rFonts w:ascii="Times New Roman" w:hAnsi="Times New Roman"/>
          <w:sz w:val="24"/>
          <w:szCs w:val="24"/>
          <w:lang w:val="en-US"/>
        </w:rPr>
        <w:t xml:space="preserve"> and 45°</w:t>
      </w:r>
      <w:r w:rsidRPr="005D5E1D">
        <w:rPr>
          <w:rFonts w:ascii="Times New Roman" w:hAnsi="Times New Roman"/>
          <w:sz w:val="24"/>
          <w:szCs w:val="24"/>
          <w:lang w:val="en-US"/>
        </w:rPr>
        <w:t xml:space="preserve"> optics, diameter 4 mm, length 18 cm (Olympus, Tokyo, Japan) were used for all the procedures performed.</w:t>
      </w:r>
    </w:p>
    <w:p w14:paraId="453AF4CC" w14:textId="77777777" w:rsidR="00282FDE" w:rsidRPr="00282FDE" w:rsidRDefault="00282FDE">
      <w:pPr>
        <w:rPr>
          <w:rFonts w:ascii="Times New Roman" w:hAnsi="Times New Roman" w:cs="Times New Roman"/>
          <w:b/>
          <w:lang w:val="en-US"/>
        </w:rPr>
      </w:pPr>
    </w:p>
    <w:sectPr w:rsidR="00282FDE" w:rsidRPr="00282FDE" w:rsidSect="001350E8">
      <w:footerReference w:type="even" r:id="rId6"/>
      <w:footerReference w:type="default" r:id="rId7"/>
      <w:pgSz w:w="11906" w:h="16838"/>
      <w:pgMar w:top="1417"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61433" w14:textId="77777777" w:rsidR="00EF2FD3" w:rsidRDefault="00EF2FD3" w:rsidP="001350E8">
      <w:pPr>
        <w:spacing w:after="0" w:line="240" w:lineRule="auto"/>
      </w:pPr>
      <w:r>
        <w:separator/>
      </w:r>
    </w:p>
  </w:endnote>
  <w:endnote w:type="continuationSeparator" w:id="0">
    <w:p w14:paraId="239BDD1C" w14:textId="77777777" w:rsidR="00EF2FD3" w:rsidRDefault="00EF2FD3" w:rsidP="00135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310366416"/>
      <w:docPartObj>
        <w:docPartGallery w:val="Page Numbers (Bottom of Page)"/>
        <w:docPartUnique/>
      </w:docPartObj>
    </w:sdtPr>
    <w:sdtContent>
      <w:p w14:paraId="2B760896" w14:textId="70DE9BD7" w:rsidR="001350E8" w:rsidRDefault="001350E8" w:rsidP="00B71358">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AF1DB46" w14:textId="77777777" w:rsidR="001350E8" w:rsidRDefault="001350E8" w:rsidP="001350E8">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860900427"/>
      <w:docPartObj>
        <w:docPartGallery w:val="Page Numbers (Bottom of Page)"/>
        <w:docPartUnique/>
      </w:docPartObj>
    </w:sdtPr>
    <w:sdtContent>
      <w:p w14:paraId="4497CB34" w14:textId="05D928B0" w:rsidR="001350E8" w:rsidRDefault="001350E8" w:rsidP="00B71358">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A84C9B">
          <w:rPr>
            <w:rStyle w:val="Numeropagina"/>
            <w:noProof/>
          </w:rPr>
          <w:t>1</w:t>
        </w:r>
        <w:r>
          <w:rPr>
            <w:rStyle w:val="Numeropagina"/>
          </w:rPr>
          <w:fldChar w:fldCharType="end"/>
        </w:r>
      </w:p>
    </w:sdtContent>
  </w:sdt>
  <w:p w14:paraId="3D140886" w14:textId="77777777" w:rsidR="001350E8" w:rsidRDefault="001350E8" w:rsidP="001350E8">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34082" w14:textId="77777777" w:rsidR="00EF2FD3" w:rsidRDefault="00EF2FD3" w:rsidP="001350E8">
      <w:pPr>
        <w:spacing w:after="0" w:line="240" w:lineRule="auto"/>
      </w:pPr>
      <w:r>
        <w:separator/>
      </w:r>
    </w:p>
  </w:footnote>
  <w:footnote w:type="continuationSeparator" w:id="0">
    <w:p w14:paraId="3D00885E" w14:textId="77777777" w:rsidR="00EF2FD3" w:rsidRDefault="00EF2FD3" w:rsidP="001350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F36"/>
    <w:rsid w:val="00035B0D"/>
    <w:rsid w:val="00061A7A"/>
    <w:rsid w:val="001350E8"/>
    <w:rsid w:val="00282FDE"/>
    <w:rsid w:val="00672544"/>
    <w:rsid w:val="0069273D"/>
    <w:rsid w:val="006B4C33"/>
    <w:rsid w:val="007C07DB"/>
    <w:rsid w:val="008F6E4F"/>
    <w:rsid w:val="00937F36"/>
    <w:rsid w:val="009A41F4"/>
    <w:rsid w:val="00A84C9B"/>
    <w:rsid w:val="00A91ADE"/>
    <w:rsid w:val="00AA3C89"/>
    <w:rsid w:val="00B73FC5"/>
    <w:rsid w:val="00C97423"/>
    <w:rsid w:val="00DE5279"/>
    <w:rsid w:val="00EB1324"/>
    <w:rsid w:val="00EB391B"/>
    <w:rsid w:val="00EF2FD3"/>
    <w:rsid w:val="00EF3DF2"/>
    <w:rsid w:val="00F043C7"/>
    <w:rsid w:val="00F614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0B33"/>
  <w15:chartTrackingRefBased/>
  <w15:docId w15:val="{638D1DE1-E3A4-4413-B682-96A2F96FC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riga">
    <w:name w:val="line number"/>
    <w:basedOn w:val="Carpredefinitoparagrafo"/>
    <w:uiPriority w:val="99"/>
    <w:semiHidden/>
    <w:unhideWhenUsed/>
    <w:rsid w:val="001350E8"/>
  </w:style>
  <w:style w:type="paragraph" w:styleId="Pidipagina">
    <w:name w:val="footer"/>
    <w:basedOn w:val="Normale"/>
    <w:link w:val="PidipaginaCarattere"/>
    <w:uiPriority w:val="99"/>
    <w:unhideWhenUsed/>
    <w:rsid w:val="001350E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350E8"/>
  </w:style>
  <w:style w:type="character" w:styleId="Numeropagina">
    <w:name w:val="page number"/>
    <w:basedOn w:val="Carpredefinitoparagrafo"/>
    <w:uiPriority w:val="99"/>
    <w:semiHidden/>
    <w:unhideWhenUsed/>
    <w:rsid w:val="001350E8"/>
  </w:style>
  <w:style w:type="paragraph" w:styleId="Revisione">
    <w:name w:val="Revision"/>
    <w:hidden/>
    <w:uiPriority w:val="99"/>
    <w:semiHidden/>
    <w:rsid w:val="006B4C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595</Words>
  <Characters>3397</Characters>
  <Application>Microsoft Office Word</Application>
  <DocSecurity>0</DocSecurity>
  <Lines>28</Lines>
  <Paragraphs>7</Paragraphs>
  <ScaleCrop>false</ScaleCrop>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Quintino Giorgio D'alessandris</dc:creator>
  <cp:keywords/>
  <dc:description/>
  <cp:lastModifiedBy>Pier Paolo Mattogno</cp:lastModifiedBy>
  <cp:revision>2</cp:revision>
  <dcterms:created xsi:type="dcterms:W3CDTF">2023-07-31T22:08:00Z</dcterms:created>
  <dcterms:modified xsi:type="dcterms:W3CDTF">2023-07-31T22:08:00Z</dcterms:modified>
</cp:coreProperties>
</file>