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A63C0">
      <w:pPr>
        <w:keepNext w:val="0"/>
        <w:keepLines w:val="0"/>
        <w:widowControl/>
        <w:suppressLineNumbers w:val="0"/>
        <w:jc w:val="both"/>
        <w:textAlignment w:val="center"/>
        <w:rPr>
          <w:rFonts w:hint="eastAsia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  <w:t xml:space="preserve">Supplementary material 1. 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Baseline of patients between Aspirin plus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Standard-dose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Clopidogrel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 xml:space="preserve"> and Aspirin plus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 xml:space="preserve">Half-dose 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Ticagrelor</w:t>
      </w:r>
      <w:r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  <w:t>.</w:t>
      </w:r>
    </w:p>
    <w:tbl>
      <w:tblPr>
        <w:tblStyle w:val="2"/>
        <w:tblpPr w:leftFromText="180" w:rightFromText="180" w:vertAnchor="page" w:horzAnchor="page" w:tblpX="855" w:tblpY="3016"/>
        <w:tblOverlap w:val="never"/>
        <w:tblW w:w="633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9"/>
        <w:gridCol w:w="2072"/>
        <w:gridCol w:w="2242"/>
        <w:gridCol w:w="2178"/>
        <w:gridCol w:w="1105"/>
      </w:tblGrid>
      <w:tr w14:paraId="6C1EE09C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481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4AAEF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Variables</w:t>
            </w:r>
          </w:p>
        </w:tc>
        <w:tc>
          <w:tcPr>
            <w:tcW w:w="959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86F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</w:t>
            </w:r>
          </w:p>
        </w:tc>
        <w:tc>
          <w:tcPr>
            <w:tcW w:w="1038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016B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Aspirin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plus Standard-dose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Clopidogrel</w:t>
            </w:r>
          </w:p>
        </w:tc>
        <w:tc>
          <w:tcPr>
            <w:tcW w:w="1008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6494B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Aspirin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plus</w:t>
            </w:r>
          </w:p>
          <w:p w14:paraId="19EAB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Half-dose</w:t>
            </w:r>
          </w:p>
          <w:p w14:paraId="064B7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Ticagrelor</w:t>
            </w:r>
          </w:p>
        </w:tc>
        <w:tc>
          <w:tcPr>
            <w:tcW w:w="511" w:type="pct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FDF2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</w:tr>
      <w:tr w14:paraId="4BD1C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148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9A60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Number</w:t>
            </w:r>
          </w:p>
        </w:tc>
        <w:tc>
          <w:tcPr>
            <w:tcW w:w="959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FF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103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28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008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1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511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89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350A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9845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AA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892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3.80 [1.90, 5.90]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A43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 [1.70, 5.50]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F80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4.10 [2.08, 6.50]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9FD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0.045</w:t>
            </w:r>
          </w:p>
        </w:tc>
      </w:tr>
      <w:tr w14:paraId="62DC9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FD9D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ADP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i-MPA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29B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31.10 [21.90, 39.70]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ED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37.70 [29.50, 43.60]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897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26.00 [17.45, 34.25]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4C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2D6EA7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F1A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B4D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57.00 [47.00, 64.00]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EDD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57.00 [48.00, 63.00]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D36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56.50 [46.00, 64.00]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2CF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0.918</w:t>
            </w:r>
          </w:p>
        </w:tc>
      </w:tr>
      <w:tr w14:paraId="4CAC6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0A9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Duration of DAPT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7A7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899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16F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4C0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0.022*</w:t>
            </w:r>
          </w:p>
        </w:tc>
      </w:tr>
      <w:tr w14:paraId="22991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C1B3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＜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 Months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1F1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 (51.4)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DF0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44.8)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EA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56.7)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098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BA63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35CA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6-12 Months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0A7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 (48.6)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9D4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55.2)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43F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F2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B201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34F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Gender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72F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12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2E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0CE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0.165</w:t>
            </w:r>
          </w:p>
        </w:tc>
      </w:tr>
      <w:tr w14:paraId="74676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A135D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EB2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 (32.6)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CE7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0AD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29.5)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C55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048D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2979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FA3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273 (67.4)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02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63.5)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487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70.5)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0C30DC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FBCB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714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Preoperative mRS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670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893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6B3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8F6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0.112</w:t>
            </w:r>
          </w:p>
        </w:tc>
      </w:tr>
      <w:tr w14:paraId="083F8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481" w:type="pct"/>
            <w:tcBorders>
              <w:top w:val="nil"/>
              <w:left w:val="nil"/>
              <w:right w:val="nil"/>
            </w:tcBorders>
            <w:shd w:val="clear" w:color="auto" w:fill="FFFFFF"/>
            <w:noWrap/>
            <w:vAlign w:val="center"/>
          </w:tcPr>
          <w:p w14:paraId="4DF6EF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Favorable (mRS score 0-2)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4A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394 (97.3)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39F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95.6)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988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98.7)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BE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F896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9D1E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Morbidity (mRS score 3-5)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08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89D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A9E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D75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A654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0907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Mortality (mRS score 6)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E4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(0.0)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E5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(0.0)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57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 (0.0)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FFE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FD66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158D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revious medical history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E5A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4E3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2F7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6A0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24109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D2DD4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460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 (40.5)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C38F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41.4)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954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39.7)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61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0.806</w:t>
            </w:r>
          </w:p>
        </w:tc>
      </w:tr>
      <w:tr w14:paraId="06E18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878A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EF3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 (15.1)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BB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070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AB9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0.366</w:t>
            </w:r>
          </w:p>
        </w:tc>
      </w:tr>
      <w:tr w14:paraId="3DCF3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332B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Hyperlipidemia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E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 (23.5)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856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27.1)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92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20.5)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F3A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0.154</w:t>
            </w:r>
          </w:p>
        </w:tc>
      </w:tr>
      <w:tr w14:paraId="4D3FC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DA49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Coronary disease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81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24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163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81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197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0.346</w:t>
            </w:r>
          </w:p>
        </w:tc>
      </w:tr>
      <w:tr w14:paraId="38717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38E2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Ischemic stroke history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1F0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 (19.0)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1B6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21.5)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D9A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1A9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0.298</w:t>
            </w:r>
          </w:p>
        </w:tc>
      </w:tr>
      <w:tr w14:paraId="059DD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72A6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Smoking status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3AB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620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012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78C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61357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931E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Alcohol abuse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EEB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3.0)</w:t>
            </w: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FFD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5.5)</w:t>
            </w: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CC4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F6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3F549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5CE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Aneurysmal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segment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869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00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64D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992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0.203</w:t>
            </w:r>
          </w:p>
        </w:tc>
      </w:tr>
      <w:tr w14:paraId="694BB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9079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Anterior cerebral artery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E0F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D27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FC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76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8324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5A0F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Anterior choroidal artery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3A10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26A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406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5B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88B9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82BD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Anterior communicating artery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520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D2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33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E2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8550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BB58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Basilar artery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DFF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FE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BB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951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6ACA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AA65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Internal carotid artery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74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 (75.3)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515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75.7)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02B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2CE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F5FF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C88C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Middle cerebral artery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EA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14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A733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203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38E2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0906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Posterior cerebral artery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FC8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1BA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668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C2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3C30C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D69C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Posterior communicating artery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F8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92A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5D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D4B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DE1B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21BF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Vertebral artery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18E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063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215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354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EAEF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909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Aneurysmal morphology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C9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7F2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D4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E7F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0.447</w:t>
            </w:r>
          </w:p>
        </w:tc>
      </w:tr>
      <w:tr w14:paraId="4BE4F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E7E0FC">
            <w:pPr>
              <w:widowControl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Saccular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BE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 (88.9)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09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158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87.3)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FC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90.2)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D5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77A75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B1C33D">
            <w:pPr>
              <w:widowControl/>
              <w:jc w:val="righ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Non-saccular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EB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 (11.1)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B1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B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22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AC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471BE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FE0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Aneurysmal neck width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AFA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4.65 [3.49, 6.59]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0C2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 [3.21, 6.66]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DE2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 [3.69, 6.45]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F0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0.154</w:t>
            </w:r>
          </w:p>
        </w:tc>
      </w:tr>
      <w:tr w14:paraId="550C2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623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Aneurysmal</w:t>
            </w:r>
            <w:r>
              <w:rPr>
                <w:rStyle w:val="4"/>
                <w:rFonts w:eastAsia="宋体"/>
                <w:b w:val="0"/>
                <w:bCs w:val="0"/>
                <w:sz w:val="22"/>
                <w:szCs w:val="22"/>
                <w:lang w:bidi="ar"/>
              </w:rPr>
              <w:t xml:space="preserve"> size</w:t>
            </w:r>
            <w:r>
              <w:rPr>
                <w:rStyle w:val="4"/>
                <w:rFonts w:hint="eastAsia" w:eastAsia="宋体"/>
                <w:b w:val="0"/>
                <w:bCs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4"/>
                <w:rFonts w:eastAsia="宋体"/>
                <w:b w:val="0"/>
                <w:bCs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014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 [3.49, 7.89]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71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4.69 [3.31, 8.44]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D0E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 [3.71, 7.34]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061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0.727</w:t>
            </w:r>
          </w:p>
        </w:tc>
      </w:tr>
      <w:tr w14:paraId="3D684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3F8E73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Parent vessel diameter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C0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4.30 [3.72, 5.00]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2E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4.06 [3.54, 4.70]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7A8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4.45 [3.95, 5.20]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5C4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47DC6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4528E5">
            <w:pPr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Adjunctive coiling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030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 (18.0)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539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23.8)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CE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798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0.01*</w:t>
            </w:r>
          </w:p>
        </w:tc>
      </w:tr>
      <w:tr w14:paraId="36F44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EF56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FD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type</w:t>
            </w:r>
          </w:p>
        </w:tc>
        <w:tc>
          <w:tcPr>
            <w:tcW w:w="95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E03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A70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954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B4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4F5E6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803CC8">
            <w:pPr>
              <w:jc w:val="righ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PED Flex shield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819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 (41.5)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F80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31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17.1)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E3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137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61.2)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16D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E7AC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BF0BFD">
            <w:pPr>
              <w:jc w:val="right"/>
              <w:rPr>
                <w:rFonts w:hint="default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PED/PED Flex/TED 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A13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 (58.5)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C4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 (82.9)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6AC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 (38.8)</w:t>
            </w:r>
          </w:p>
        </w:tc>
        <w:tc>
          <w:tcPr>
            <w:tcW w:w="5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6F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CB23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FCBCCA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FD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diameter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AA9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 [3.75, 4.50]</w:t>
            </w:r>
          </w:p>
        </w:tc>
        <w:tc>
          <w:tcPr>
            <w:tcW w:w="22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93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4.00 [3.75, 4.50]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A4B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4.25 [3.75, 4.50]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A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0.075</w:t>
            </w:r>
          </w:p>
        </w:tc>
      </w:tr>
      <w:tr w14:paraId="524F0A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481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1D2E928">
            <w:pPr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>FD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 xml:space="preserve"> length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 w:val="0"/>
                <w:bCs w:val="0"/>
                <w:color w:val="000000"/>
                <w:kern w:val="0"/>
                <w:sz w:val="22"/>
                <w:szCs w:val="22"/>
                <w:lang w:bidi="ar"/>
              </w:rPr>
              <w:t>(mm)</w:t>
            </w:r>
          </w:p>
        </w:tc>
        <w:tc>
          <w:tcPr>
            <w:tcW w:w="207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2C0D9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 [18.00, 25.00]</w:t>
            </w:r>
          </w:p>
        </w:tc>
        <w:tc>
          <w:tcPr>
            <w:tcW w:w="22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77FDF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25.00 [20.00, 30.00]</w:t>
            </w:r>
          </w:p>
        </w:tc>
        <w:tc>
          <w:tcPr>
            <w:tcW w:w="217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1CCD6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20.00 [18.00, 25.00]</w:t>
            </w:r>
          </w:p>
        </w:tc>
        <w:tc>
          <w:tcPr>
            <w:tcW w:w="110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FC2D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</w:t>
            </w:r>
          </w:p>
        </w:tc>
      </w:tr>
      <w:tr w14:paraId="4DDD3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noWrap/>
            <w:vAlign w:val="center"/>
          </w:tcPr>
          <w:p w14:paraId="4D26A56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0EEBF2F6"/>
    <w:p w14:paraId="7E28F860">
      <w:pPr>
        <w:bidi w:val="0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  <w:t>Abbreviations</w:t>
      </w:r>
      <w:r>
        <w:rPr>
          <w:rFonts w:hint="eastAsia"/>
          <w:lang w:val="en-US" w:eastAsia="zh-CN"/>
        </w:rPr>
        <w:t>: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AA, arachidonic acid; 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 xml:space="preserve">ADPi-MPA, adenosine diphosphate-induced maximal platelet aggregation; </w:t>
      </w:r>
      <w:r>
        <w:rPr>
          <w:rFonts w:hint="eastAsia" w:ascii="Times New Roman" w:hAnsi="Times New Roman" w:eastAsia="宋体" w:cs="Times New Roman"/>
          <w:b w:val="0"/>
          <w:bCs w:val="0"/>
          <w:color w:val="000000"/>
          <w:kern w:val="0"/>
          <w:sz w:val="22"/>
          <w:szCs w:val="22"/>
          <w:lang w:val="en-US" w:eastAsia="zh-CN" w:bidi="ar"/>
        </w:rPr>
        <w:t xml:space="preserve">DAPT, Dual antiplatelet therapy; </w:t>
      </w:r>
      <w:r>
        <w:rPr>
          <w:rFonts w:hint="default" w:ascii="Times New Roman" w:hAnsi="Times New Roman" w:cs="Times New Roman"/>
          <w:sz w:val="22"/>
          <w:szCs w:val="28"/>
          <w:lang w:val="en-US" w:eastAsia="zh-CN"/>
        </w:rPr>
        <w:t>mRS, modified Rankin Scale;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 xml:space="preserve"> PED, pipeline embolization device; TED, Tubridge embolization device; </w:t>
      </w: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*</w:t>
      </w:r>
      <w:r>
        <w:rPr>
          <w:rFonts w:hint="eastAsia" w:ascii="Times New Roman" w:hAnsi="Times New Roman" w:cs="Times New Roman"/>
          <w:sz w:val="22"/>
          <w:szCs w:val="28"/>
          <w:lang w:val="en-US" w:eastAsia="zh-CN"/>
        </w:rPr>
        <w:t>, Statistic difference;</w:t>
      </w:r>
    </w:p>
    <w:p w14:paraId="07490E40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 w:themeColor="text1"/>
          <w:kern w:val="0"/>
          <w:sz w:val="22"/>
          <w:szCs w:val="22"/>
          <w:u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331E902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D54760"/>
    <w:rsid w:val="038B262D"/>
    <w:rsid w:val="06BB1216"/>
    <w:rsid w:val="0A784C23"/>
    <w:rsid w:val="10EB58F4"/>
    <w:rsid w:val="135156A9"/>
    <w:rsid w:val="15437DC1"/>
    <w:rsid w:val="19C86FC1"/>
    <w:rsid w:val="1CC34E58"/>
    <w:rsid w:val="1FF72308"/>
    <w:rsid w:val="2EF441A1"/>
    <w:rsid w:val="31682C84"/>
    <w:rsid w:val="3A9C3320"/>
    <w:rsid w:val="3CFB750B"/>
    <w:rsid w:val="41325883"/>
    <w:rsid w:val="44C65F99"/>
    <w:rsid w:val="451B7C86"/>
    <w:rsid w:val="4998409A"/>
    <w:rsid w:val="4F1F4019"/>
    <w:rsid w:val="53E977FC"/>
    <w:rsid w:val="65D54760"/>
    <w:rsid w:val="664C7B80"/>
    <w:rsid w:val="7045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423</Words>
  <Characters>2237</Characters>
  <Lines>0</Lines>
  <Paragraphs>0</Paragraphs>
  <TotalTime>0</TotalTime>
  <ScaleCrop>false</ScaleCrop>
  <LinksUpToDate>false</LinksUpToDate>
  <CharactersWithSpaces>2475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2025-03-04T13:47:00Z</dcterms:created>
  <dc:creator>路茫长</dc:creator>
  <cp:lastModifiedBy>路茫长</cp:lastModifiedBy>
  <dcterms:modified xsi:type="dcterms:W3CDTF">2026-01-26T02:25:44Z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A824F30F839243D98059E51FC2CC64E9_11</vt:lpwstr>
  </property>
  <property fmtid="{D5CDD505-2E9C-101B-9397-08002B2CF9AE}" pid="4" name="KSOTemplateDocerSaveRecord">
    <vt:lpwstr>eyJoZGlkIjoiOTA1YjY1YWZiNGEwYTA3OGE1MjQ4MzgwMThmYzE1OTIiLCJ1c2VySWQiOiI0MzE4OTEwOTEifQ==</vt:lpwstr>
  </property>
</Properties>
</file>