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13BF" w14:textId="77777777" w:rsidR="001243A6" w:rsidRPr="00D84718" w:rsidRDefault="001243A6" w:rsidP="001243A6">
      <w:pPr>
        <w:rPr>
          <w:rFonts w:ascii="Times New Roman" w:hAnsi="Times New Roman" w:cs="Times New Roman"/>
        </w:rPr>
      </w:pPr>
      <w:r w:rsidRPr="00C90EF0">
        <w:rPr>
          <w:rFonts w:ascii="Times New Roman" w:hAnsi="Times New Roman" w:cs="Times New Roman"/>
          <w:b/>
          <w:bCs/>
        </w:rPr>
        <w:t>Supplemental Table 4</w:t>
      </w:r>
      <w:r w:rsidRPr="00D84718">
        <w:rPr>
          <w:rFonts w:ascii="Times New Roman" w:hAnsi="Times New Roman" w:cs="Times New Roman"/>
        </w:rPr>
        <w:t>. Reported Drug Indications</w:t>
      </w:r>
    </w:p>
    <w:tbl>
      <w:tblPr>
        <w:tblW w:w="8128" w:type="dxa"/>
        <w:tblLook w:val="04A0" w:firstRow="1" w:lastRow="0" w:firstColumn="1" w:lastColumn="0" w:noHBand="0" w:noVBand="1"/>
      </w:tblPr>
      <w:tblGrid>
        <w:gridCol w:w="2468"/>
        <w:gridCol w:w="1640"/>
        <w:gridCol w:w="1321"/>
        <w:gridCol w:w="1420"/>
        <w:gridCol w:w="1380"/>
      </w:tblGrid>
      <w:tr w:rsidR="001243A6" w:rsidRPr="002662D5" w14:paraId="1B407FCF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3E4791"/>
              <w:left w:val="single" w:sz="4" w:space="0" w:color="3E4791"/>
              <w:bottom w:val="single" w:sz="4" w:space="0" w:color="3E4791"/>
              <w:right w:val="single" w:sz="4" w:space="0" w:color="535FC1"/>
            </w:tcBorders>
            <w:shd w:val="clear" w:color="535FC1" w:fill="535FC1"/>
            <w:noWrap/>
            <w:vAlign w:val="center"/>
            <w:hideMark/>
          </w:tcPr>
          <w:p w14:paraId="68DD5822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Indication</w:t>
            </w:r>
          </w:p>
        </w:tc>
        <w:tc>
          <w:tcPr>
            <w:tcW w:w="1640" w:type="dxa"/>
            <w:tcBorders>
              <w:top w:val="single" w:sz="4" w:space="0" w:color="3E4791"/>
              <w:left w:val="single" w:sz="4" w:space="0" w:color="535FC1"/>
              <w:bottom w:val="single" w:sz="4" w:space="0" w:color="3E4791"/>
              <w:right w:val="single" w:sz="4" w:space="0" w:color="535FC1"/>
            </w:tcBorders>
            <w:shd w:val="clear" w:color="535FC1" w:fill="535FC1"/>
            <w:noWrap/>
            <w:vAlign w:val="center"/>
            <w:hideMark/>
          </w:tcPr>
          <w:p w14:paraId="0E8AF0B6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Warfarin</w:t>
            </w:r>
          </w:p>
        </w:tc>
        <w:tc>
          <w:tcPr>
            <w:tcW w:w="1220" w:type="dxa"/>
            <w:tcBorders>
              <w:top w:val="single" w:sz="4" w:space="0" w:color="3E4791"/>
              <w:left w:val="single" w:sz="4" w:space="0" w:color="535FC1"/>
              <w:bottom w:val="single" w:sz="4" w:space="0" w:color="3E4791"/>
              <w:right w:val="single" w:sz="4" w:space="0" w:color="535FC1"/>
            </w:tcBorders>
            <w:shd w:val="clear" w:color="535FC1" w:fill="535FC1"/>
            <w:noWrap/>
            <w:vAlign w:val="center"/>
            <w:hideMark/>
          </w:tcPr>
          <w:p w14:paraId="0341403A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Rivaroxaban</w:t>
            </w:r>
          </w:p>
        </w:tc>
        <w:tc>
          <w:tcPr>
            <w:tcW w:w="1420" w:type="dxa"/>
            <w:tcBorders>
              <w:top w:val="single" w:sz="4" w:space="0" w:color="3E4791"/>
              <w:left w:val="single" w:sz="4" w:space="0" w:color="535FC1"/>
              <w:bottom w:val="single" w:sz="4" w:space="0" w:color="3E4791"/>
              <w:right w:val="single" w:sz="4" w:space="0" w:color="535FC1"/>
            </w:tcBorders>
            <w:shd w:val="clear" w:color="535FC1" w:fill="535FC1"/>
            <w:noWrap/>
            <w:vAlign w:val="center"/>
            <w:hideMark/>
          </w:tcPr>
          <w:p w14:paraId="794996D5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Dabigatran</w:t>
            </w:r>
          </w:p>
        </w:tc>
        <w:tc>
          <w:tcPr>
            <w:tcW w:w="1380" w:type="dxa"/>
            <w:tcBorders>
              <w:top w:val="single" w:sz="4" w:space="0" w:color="3E4791"/>
              <w:left w:val="single" w:sz="4" w:space="0" w:color="535FC1"/>
              <w:bottom w:val="single" w:sz="4" w:space="0" w:color="3E4791"/>
              <w:right w:val="single" w:sz="4" w:space="0" w:color="3E4791"/>
            </w:tcBorders>
            <w:shd w:val="clear" w:color="535FC1" w:fill="535FC1"/>
            <w:noWrap/>
            <w:vAlign w:val="center"/>
            <w:hideMark/>
          </w:tcPr>
          <w:p w14:paraId="172C5834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Apixaban</w:t>
            </w:r>
          </w:p>
        </w:tc>
      </w:tr>
      <w:tr w:rsidR="001243A6" w:rsidRPr="002662D5" w14:paraId="30578AE3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FFFFF"/>
              <w:left w:val="single" w:sz="4" w:space="0" w:color="3E4791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73F587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Atrial Fibrillation</w:t>
            </w:r>
          </w:p>
        </w:tc>
        <w:tc>
          <w:tcPr>
            <w:tcW w:w="1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9F00E7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(18.1%)</w:t>
            </w:r>
          </w:p>
        </w:tc>
        <w:tc>
          <w:tcPr>
            <w:tcW w:w="1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F274FC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(32.1%)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7EC3EF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(57.1%)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3E4791"/>
            </w:tcBorders>
            <w:shd w:val="clear" w:color="FFFFFF" w:fill="FFFFFF"/>
            <w:noWrap/>
            <w:vAlign w:val="center"/>
            <w:hideMark/>
          </w:tcPr>
          <w:p w14:paraId="632F803D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 (24.0%)</w:t>
            </w:r>
          </w:p>
        </w:tc>
      </w:tr>
      <w:tr w:rsidR="001243A6" w:rsidRPr="002662D5" w14:paraId="22AF70F7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6F8F9"/>
              <w:left w:val="single" w:sz="4" w:space="0" w:color="3E4791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2978016E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Pulmonary Embolism</w:t>
            </w:r>
          </w:p>
        </w:tc>
        <w:tc>
          <w:tcPr>
            <w:tcW w:w="164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7BDBA011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(10.8%)</w:t>
            </w:r>
          </w:p>
        </w:tc>
        <w:tc>
          <w:tcPr>
            <w:tcW w:w="12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3398947A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  <w:tc>
          <w:tcPr>
            <w:tcW w:w="14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7F84E029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  <w:tc>
          <w:tcPr>
            <w:tcW w:w="138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3E4791"/>
            </w:tcBorders>
            <w:shd w:val="clear" w:color="F6F8F9" w:fill="F6F8F9"/>
            <w:noWrap/>
            <w:vAlign w:val="center"/>
            <w:hideMark/>
          </w:tcPr>
          <w:p w14:paraId="27988EEA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</w:tr>
      <w:tr w:rsidR="001243A6" w:rsidRPr="002662D5" w14:paraId="1734CCD8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FFFFF"/>
              <w:left w:val="single" w:sz="4" w:space="0" w:color="3E4791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8D71EC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DVT</w:t>
            </w:r>
          </w:p>
        </w:tc>
        <w:tc>
          <w:tcPr>
            <w:tcW w:w="1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583B6F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(8.4%)</w:t>
            </w:r>
          </w:p>
        </w:tc>
        <w:tc>
          <w:tcPr>
            <w:tcW w:w="1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ECDCDA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(3.6%)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E174A1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3E4791"/>
            </w:tcBorders>
            <w:shd w:val="clear" w:color="FFFFFF" w:fill="FFFFFF"/>
            <w:noWrap/>
            <w:vAlign w:val="center"/>
            <w:hideMark/>
          </w:tcPr>
          <w:p w14:paraId="144431BD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</w:tr>
      <w:tr w:rsidR="001243A6" w:rsidRPr="002662D5" w14:paraId="0DE809B1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6F8F9"/>
              <w:left w:val="single" w:sz="4" w:space="0" w:color="3E4791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5FA34240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Cardiac Disease</w:t>
            </w:r>
          </w:p>
        </w:tc>
        <w:tc>
          <w:tcPr>
            <w:tcW w:w="164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15316B8B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 (7.2%)</w:t>
            </w:r>
          </w:p>
        </w:tc>
        <w:tc>
          <w:tcPr>
            <w:tcW w:w="12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23F76241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(3.6%)</w:t>
            </w:r>
          </w:p>
        </w:tc>
        <w:tc>
          <w:tcPr>
            <w:tcW w:w="14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64811846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  <w:tc>
          <w:tcPr>
            <w:tcW w:w="138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3E4791"/>
            </w:tcBorders>
            <w:shd w:val="clear" w:color="F6F8F9" w:fill="F6F8F9"/>
            <w:noWrap/>
            <w:vAlign w:val="center"/>
            <w:hideMark/>
          </w:tcPr>
          <w:p w14:paraId="478D2C44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(8.0%)</w:t>
            </w:r>
          </w:p>
        </w:tc>
      </w:tr>
      <w:tr w:rsidR="001243A6" w:rsidRPr="002662D5" w14:paraId="686B224E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FFFFF"/>
              <w:left w:val="single" w:sz="4" w:space="0" w:color="3E4791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9C88EBD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CVA/Thrombus Prophylaxis</w:t>
            </w:r>
          </w:p>
        </w:tc>
        <w:tc>
          <w:tcPr>
            <w:tcW w:w="1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18AE6B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(2.4%)</w:t>
            </w:r>
          </w:p>
        </w:tc>
        <w:tc>
          <w:tcPr>
            <w:tcW w:w="1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E81CD5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(10.7%)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A6E8AE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 (0.0%)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3E4791"/>
            </w:tcBorders>
            <w:shd w:val="clear" w:color="FFFFFF" w:fill="FFFFFF"/>
            <w:noWrap/>
            <w:vAlign w:val="center"/>
            <w:hideMark/>
          </w:tcPr>
          <w:p w14:paraId="403911C2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 (24.0%)</w:t>
            </w:r>
          </w:p>
        </w:tc>
      </w:tr>
      <w:tr w:rsidR="001243A6" w:rsidRPr="002662D5" w14:paraId="4AF5B3F8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6F8F9"/>
              <w:left w:val="single" w:sz="4" w:space="0" w:color="3E4791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710FFA93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164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0D0CDD5B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 (53.0%)</w:t>
            </w:r>
          </w:p>
        </w:tc>
        <w:tc>
          <w:tcPr>
            <w:tcW w:w="12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41949A97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(50.0%)</w:t>
            </w:r>
          </w:p>
        </w:tc>
        <w:tc>
          <w:tcPr>
            <w:tcW w:w="142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F6F8F9"/>
            </w:tcBorders>
            <w:shd w:val="clear" w:color="F6F8F9" w:fill="F6F8F9"/>
            <w:noWrap/>
            <w:vAlign w:val="center"/>
            <w:hideMark/>
          </w:tcPr>
          <w:p w14:paraId="7CFB64F9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(42.9%)</w:t>
            </w:r>
          </w:p>
        </w:tc>
        <w:tc>
          <w:tcPr>
            <w:tcW w:w="1380" w:type="dxa"/>
            <w:tcBorders>
              <w:top w:val="single" w:sz="4" w:space="0" w:color="F6F8F9"/>
              <w:left w:val="single" w:sz="4" w:space="0" w:color="F6F8F9"/>
              <w:bottom w:val="single" w:sz="4" w:space="0" w:color="F6F8F9"/>
              <w:right w:val="single" w:sz="4" w:space="0" w:color="3E4791"/>
            </w:tcBorders>
            <w:shd w:val="clear" w:color="F6F8F9" w:fill="F6F8F9"/>
            <w:noWrap/>
            <w:vAlign w:val="center"/>
            <w:hideMark/>
          </w:tcPr>
          <w:p w14:paraId="535DA7A8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(44.0%)</w:t>
            </w:r>
          </w:p>
        </w:tc>
      </w:tr>
      <w:tr w:rsidR="001243A6" w:rsidRPr="002662D5" w14:paraId="31769B80" w14:textId="77777777" w:rsidTr="00F0239B">
        <w:trPr>
          <w:trHeight w:val="300"/>
        </w:trPr>
        <w:tc>
          <w:tcPr>
            <w:tcW w:w="2468" w:type="dxa"/>
            <w:tcBorders>
              <w:top w:val="single" w:sz="4" w:space="0" w:color="FFFFFF"/>
              <w:left w:val="single" w:sz="4" w:space="0" w:color="3E4791"/>
              <w:bottom w:val="single" w:sz="4" w:space="0" w:color="3E4791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060610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640" w:type="dxa"/>
            <w:tcBorders>
              <w:top w:val="single" w:sz="4" w:space="0" w:color="FFFFFF"/>
              <w:left w:val="single" w:sz="4" w:space="0" w:color="FFFFFF"/>
              <w:bottom w:val="single" w:sz="4" w:space="0" w:color="3E4791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5236CE7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1220" w:type="dxa"/>
            <w:tcBorders>
              <w:top w:val="single" w:sz="4" w:space="0" w:color="FFFFFF"/>
              <w:left w:val="single" w:sz="4" w:space="0" w:color="FFFFFF"/>
              <w:bottom w:val="single" w:sz="4" w:space="0" w:color="3E4791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15B2A2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3E4791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72CD16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3E4791"/>
              <w:right w:val="single" w:sz="4" w:space="0" w:color="3E4791"/>
            </w:tcBorders>
            <w:shd w:val="clear" w:color="FFFFFF" w:fill="FFFFFF"/>
            <w:noWrap/>
            <w:vAlign w:val="center"/>
            <w:hideMark/>
          </w:tcPr>
          <w:p w14:paraId="2132B5D6" w14:textId="77777777" w:rsidR="001243A6" w:rsidRPr="00D93BFD" w:rsidRDefault="001243A6" w:rsidP="00F023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93B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</w:tr>
    </w:tbl>
    <w:p w14:paraId="2E383F4A" w14:textId="77777777" w:rsidR="001243A6" w:rsidRDefault="001243A6" w:rsidP="001243A6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EE0BFCB" w14:textId="77777777" w:rsidR="001243A6" w:rsidRDefault="001243A6" w:rsidP="001243A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4 Caption: </w:t>
      </w:r>
      <w:r w:rsidRPr="00C90EF0">
        <w:rPr>
          <w:rFonts w:ascii="Times New Roman" w:hAnsi="Times New Roman" w:cs="Times New Roman"/>
        </w:rPr>
        <w:t>Medical indication for anti-coagulation utilization. Anti-coagulation medication is stratified by each indication.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AED1387" w14:textId="77777777" w:rsidR="00687232" w:rsidRDefault="00687232"/>
    <w:sectPr w:rsidR="00687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32"/>
    <w:rsid w:val="001243A6"/>
    <w:rsid w:val="005D6F25"/>
    <w:rsid w:val="006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47FC0-DD20-4826-B9CF-7E6E7A30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3A6"/>
  </w:style>
  <w:style w:type="paragraph" w:styleId="Heading1">
    <w:name w:val="heading 1"/>
    <w:basedOn w:val="Normal"/>
    <w:next w:val="Normal"/>
    <w:link w:val="Heading1Char"/>
    <w:uiPriority w:val="9"/>
    <w:qFormat/>
    <w:rsid w:val="00687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2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Mokshal Porwal</dc:creator>
  <cp:keywords/>
  <dc:description/>
  <cp:lastModifiedBy>Mokshal Porwal</cp:lastModifiedBy>
  <cp:revision>2</cp:revision>
  <dcterms:created xsi:type="dcterms:W3CDTF">2026-03-23T20:06:00Z</dcterms:created>
  <dcterms:modified xsi:type="dcterms:W3CDTF">2026-03-23T20:06:00Z</dcterms:modified>
</cp:coreProperties>
</file>