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8AC71" w14:textId="1A197288" w:rsidR="00286658" w:rsidRPr="003F36B5" w:rsidRDefault="00286658" w:rsidP="00E551A6">
      <w:pPr>
        <w:spacing w:after="120" w:line="480" w:lineRule="auto"/>
        <w:rPr>
          <w:rFonts w:ascii="Times New Roman" w:hAnsi="Times New Roman" w:cs="Times New Roman"/>
          <w:b/>
          <w:bCs/>
          <w:sz w:val="20"/>
          <w:szCs w:val="20"/>
        </w:rPr>
      </w:pPr>
      <w:r w:rsidRPr="003F36B5">
        <w:rPr>
          <w:rFonts w:ascii="Times New Roman" w:hAnsi="Times New Roman" w:cs="Times New Roman"/>
          <w:b/>
          <w:bCs/>
          <w:sz w:val="20"/>
          <w:szCs w:val="20"/>
        </w:rPr>
        <w:t>S3: Quick reference summary of</w:t>
      </w:r>
      <w:r w:rsidR="00BA69D3" w:rsidRPr="003F36B5">
        <w:rPr>
          <w:rFonts w:ascii="Times New Roman" w:hAnsi="Times New Roman" w:cs="Times New Roman"/>
          <w:b/>
          <w:bCs/>
          <w:sz w:val="20"/>
          <w:szCs w:val="20"/>
        </w:rPr>
        <w:t xml:space="preserve"> key</w:t>
      </w:r>
      <w:r w:rsidRPr="003F36B5">
        <w:rPr>
          <w:rFonts w:ascii="Times New Roman" w:hAnsi="Times New Roman" w:cs="Times New Roman"/>
          <w:b/>
          <w:bCs/>
          <w:sz w:val="20"/>
          <w:szCs w:val="20"/>
        </w:rPr>
        <w:t xml:space="preserve"> practical recommendations</w:t>
      </w:r>
    </w:p>
    <w:tbl>
      <w:tblPr>
        <w:tblStyle w:val="TableGridLight"/>
        <w:tblW w:w="0" w:type="auto"/>
        <w:tblLook w:val="04A0" w:firstRow="1" w:lastRow="0" w:firstColumn="1" w:lastColumn="0" w:noHBand="0" w:noVBand="1"/>
      </w:tblPr>
      <w:tblGrid>
        <w:gridCol w:w="3964"/>
        <w:gridCol w:w="9923"/>
      </w:tblGrid>
      <w:tr w:rsidR="00286658" w:rsidRPr="003F36B5" w14:paraId="5D273E50" w14:textId="77777777" w:rsidTr="00286658">
        <w:tc>
          <w:tcPr>
            <w:tcW w:w="3964" w:type="dxa"/>
          </w:tcPr>
          <w:p w14:paraId="0B30D70D" w14:textId="030E63F3" w:rsidR="00286658" w:rsidRPr="003F36B5" w:rsidRDefault="00286658" w:rsidP="00E551A6">
            <w:pPr>
              <w:pStyle w:val="ListParagraph"/>
              <w:numPr>
                <w:ilvl w:val="0"/>
                <w:numId w:val="2"/>
              </w:numPr>
              <w:spacing w:after="120" w:line="480" w:lineRule="auto"/>
              <w:ind w:left="447"/>
              <w:contextualSpacing w:val="0"/>
              <w:rPr>
                <w:rFonts w:ascii="Times New Roman" w:hAnsi="Times New Roman" w:cs="Times New Roman"/>
                <w:b/>
                <w:bCs/>
                <w:sz w:val="20"/>
                <w:szCs w:val="20"/>
              </w:rPr>
            </w:pPr>
            <w:r w:rsidRPr="003F36B5">
              <w:rPr>
                <w:rFonts w:ascii="Times New Roman" w:hAnsi="Times New Roman" w:cs="Times New Roman"/>
                <w:b/>
                <w:bCs/>
                <w:sz w:val="20"/>
                <w:szCs w:val="20"/>
              </w:rPr>
              <w:t>Setting for apomorphine infusion initiation</w:t>
            </w:r>
          </w:p>
        </w:tc>
        <w:tc>
          <w:tcPr>
            <w:tcW w:w="9923" w:type="dxa"/>
          </w:tcPr>
          <w:p w14:paraId="6BB6C16C" w14:textId="28DACE17" w:rsidR="00286658" w:rsidRPr="003F36B5" w:rsidRDefault="00293205" w:rsidP="00E551A6">
            <w:pPr>
              <w:spacing w:after="120" w:line="480" w:lineRule="auto"/>
              <w:rPr>
                <w:rFonts w:ascii="Times New Roman" w:hAnsi="Times New Roman" w:cs="Times New Roman"/>
                <w:b/>
                <w:bCs/>
                <w:sz w:val="20"/>
                <w:szCs w:val="20"/>
              </w:rPr>
            </w:pPr>
            <w:r w:rsidRPr="003F36B5">
              <w:rPr>
                <w:rFonts w:ascii="Times New Roman" w:hAnsi="Times New Roman" w:cs="Times New Roman"/>
                <w:sz w:val="20"/>
                <w:szCs w:val="20"/>
              </w:rPr>
              <w:t xml:space="preserve">Outpatient initiation is straightforward </w:t>
            </w:r>
            <w:r w:rsidR="0047391A" w:rsidRPr="003F36B5">
              <w:rPr>
                <w:rFonts w:ascii="Times New Roman" w:hAnsi="Times New Roman" w:cs="Times New Roman"/>
                <w:sz w:val="20"/>
                <w:szCs w:val="20"/>
              </w:rPr>
              <w:t xml:space="preserve"> </w:t>
            </w:r>
            <w:r w:rsidRPr="003F36B5">
              <w:rPr>
                <w:rFonts w:ascii="Times New Roman" w:hAnsi="Times New Roman" w:cs="Times New Roman"/>
                <w:sz w:val="20"/>
                <w:szCs w:val="20"/>
              </w:rPr>
              <w:t xml:space="preserve"> but there may be specific reasons why hospital admission may be preferable. </w:t>
            </w:r>
            <w:r w:rsidR="0047391A" w:rsidRPr="003F36B5">
              <w:rPr>
                <w:rFonts w:ascii="Times New Roman" w:hAnsi="Times New Roman" w:cs="Times New Roman"/>
                <w:sz w:val="20"/>
                <w:szCs w:val="20"/>
              </w:rPr>
              <w:t xml:space="preserve"> Inpatient</w:t>
            </w:r>
            <w:r w:rsidRPr="003F36B5">
              <w:rPr>
                <w:rFonts w:ascii="Times New Roman" w:hAnsi="Times New Roman" w:cs="Times New Roman"/>
                <w:sz w:val="20"/>
                <w:szCs w:val="20"/>
              </w:rPr>
              <w:t xml:space="preserve"> initiation may make the patient feel more confident, allow repeated training in handling the device, and give staff the opportunity to make early observations on tolerability or potential difficulties. Initiation can usually be completed over 5–10 days, after which less frequent visits are required</w:t>
            </w:r>
            <w:r w:rsidR="000E5435" w:rsidRPr="003F36B5">
              <w:rPr>
                <w:rFonts w:ascii="Times New Roman" w:hAnsi="Times New Roman" w:cs="Times New Roman"/>
                <w:sz w:val="20"/>
                <w:szCs w:val="20"/>
              </w:rPr>
              <w:t xml:space="preserve"> to allow</w:t>
            </w:r>
            <w:r w:rsidRPr="003F36B5">
              <w:rPr>
                <w:rFonts w:ascii="Times New Roman" w:hAnsi="Times New Roman" w:cs="Times New Roman"/>
                <w:sz w:val="20"/>
                <w:szCs w:val="20"/>
              </w:rPr>
              <w:t xml:space="preserve"> for further adjustments.</w:t>
            </w:r>
          </w:p>
        </w:tc>
      </w:tr>
      <w:tr w:rsidR="00286658" w:rsidRPr="003F36B5" w14:paraId="13B1CA68" w14:textId="77777777" w:rsidTr="00286658">
        <w:tc>
          <w:tcPr>
            <w:tcW w:w="3964" w:type="dxa"/>
          </w:tcPr>
          <w:p w14:paraId="23800E40" w14:textId="26F1FFF8" w:rsidR="00286658" w:rsidRPr="003F36B5" w:rsidRDefault="00286658" w:rsidP="00E551A6">
            <w:pPr>
              <w:pStyle w:val="ListParagraph"/>
              <w:numPr>
                <w:ilvl w:val="0"/>
                <w:numId w:val="2"/>
              </w:numPr>
              <w:spacing w:after="120" w:line="480" w:lineRule="auto"/>
              <w:ind w:left="447"/>
              <w:contextualSpacing w:val="0"/>
              <w:rPr>
                <w:rFonts w:ascii="Times New Roman" w:hAnsi="Times New Roman" w:cs="Times New Roman"/>
                <w:b/>
                <w:bCs/>
                <w:sz w:val="20"/>
                <w:szCs w:val="20"/>
              </w:rPr>
            </w:pPr>
            <w:r w:rsidRPr="003F36B5">
              <w:rPr>
                <w:rFonts w:ascii="Times New Roman" w:hAnsi="Times New Roman" w:cs="Times New Roman"/>
                <w:b/>
                <w:bCs/>
                <w:sz w:val="20"/>
                <w:szCs w:val="20"/>
              </w:rPr>
              <w:t>Anti-emetic use when initiating apomorphine</w:t>
            </w:r>
          </w:p>
          <w:p w14:paraId="458E5EDA" w14:textId="77777777" w:rsidR="00286658" w:rsidRPr="003F36B5" w:rsidRDefault="00286658" w:rsidP="00E551A6">
            <w:pPr>
              <w:spacing w:after="120" w:line="480" w:lineRule="auto"/>
              <w:ind w:left="447"/>
              <w:rPr>
                <w:rFonts w:ascii="Times New Roman" w:hAnsi="Times New Roman" w:cs="Times New Roman"/>
                <w:b/>
                <w:bCs/>
                <w:sz w:val="20"/>
                <w:szCs w:val="20"/>
              </w:rPr>
            </w:pPr>
          </w:p>
        </w:tc>
        <w:tc>
          <w:tcPr>
            <w:tcW w:w="9923" w:type="dxa"/>
          </w:tcPr>
          <w:p w14:paraId="01D9983B" w14:textId="55624C1D" w:rsidR="008B4740" w:rsidRPr="003F36B5" w:rsidRDefault="008B4740" w:rsidP="00E551A6">
            <w:pPr>
              <w:spacing w:after="120" w:line="480" w:lineRule="auto"/>
              <w:rPr>
                <w:rFonts w:ascii="Times New Roman" w:hAnsi="Times New Roman" w:cs="Times New Roman"/>
                <w:sz w:val="20"/>
                <w:szCs w:val="20"/>
              </w:rPr>
            </w:pPr>
            <w:r w:rsidRPr="003F36B5">
              <w:rPr>
                <w:rFonts w:ascii="Times New Roman" w:hAnsi="Times New Roman" w:cs="Times New Roman"/>
                <w:bCs/>
                <w:sz w:val="20"/>
                <w:szCs w:val="20"/>
              </w:rPr>
              <w:t>Clinicians should review the patient's medical history, medications, and ECG. If there is no prior history of nausea, domperidone may not be needed. It is</w:t>
            </w:r>
            <w:r w:rsidR="000E5435" w:rsidRPr="003F36B5">
              <w:rPr>
                <w:rFonts w:ascii="Times New Roman" w:hAnsi="Times New Roman" w:cs="Times New Roman"/>
                <w:bCs/>
                <w:sz w:val="20"/>
                <w:szCs w:val="20"/>
              </w:rPr>
              <w:t xml:space="preserve"> also</w:t>
            </w:r>
            <w:r w:rsidRPr="003F36B5">
              <w:rPr>
                <w:rFonts w:ascii="Times New Roman" w:hAnsi="Times New Roman" w:cs="Times New Roman"/>
                <w:bCs/>
                <w:sz w:val="20"/>
                <w:szCs w:val="20"/>
              </w:rPr>
              <w:t xml:space="preserve"> contraindicated in severe hepatic impairment, in conditions where cardiac conduction is or could be impaired, and when co-administered with QTc-prolonging medications or potent CYP3A4 inhibitors.</w:t>
            </w:r>
            <w:r w:rsidR="00423042" w:rsidRPr="003F36B5">
              <w:rPr>
                <w:rFonts w:ascii="Times New Roman" w:hAnsi="Times New Roman" w:cs="Times New Roman"/>
                <w:bCs/>
                <w:sz w:val="20"/>
                <w:szCs w:val="20"/>
                <w:vertAlign w:val="superscript"/>
              </w:rPr>
              <w:t>1</w:t>
            </w:r>
            <w:r w:rsidRPr="003F36B5">
              <w:rPr>
                <w:rFonts w:ascii="Times New Roman" w:hAnsi="Times New Roman" w:cs="Times New Roman"/>
                <w:bCs/>
                <w:sz w:val="20"/>
                <w:szCs w:val="20"/>
              </w:rPr>
              <w:t xml:space="preserve"> If needed (and available), domperidone should be used at the lowest effective dose for the shortest possible time, as per EMA recommendations. </w:t>
            </w:r>
          </w:p>
        </w:tc>
      </w:tr>
      <w:tr w:rsidR="00286658" w:rsidRPr="003F36B5" w14:paraId="7838DEB9" w14:textId="77777777" w:rsidTr="00286658">
        <w:tc>
          <w:tcPr>
            <w:tcW w:w="3964" w:type="dxa"/>
          </w:tcPr>
          <w:p w14:paraId="5C08AA2D" w14:textId="77777777" w:rsidR="00BA69D3" w:rsidRPr="003F36B5" w:rsidRDefault="00BA69D3" w:rsidP="00E551A6">
            <w:pPr>
              <w:pStyle w:val="ListParagraph"/>
              <w:numPr>
                <w:ilvl w:val="0"/>
                <w:numId w:val="2"/>
              </w:numPr>
              <w:spacing w:after="120" w:line="480" w:lineRule="auto"/>
              <w:ind w:left="447"/>
              <w:contextualSpacing w:val="0"/>
              <w:rPr>
                <w:rFonts w:ascii="Times New Roman" w:hAnsi="Times New Roman" w:cs="Times New Roman"/>
                <w:b/>
                <w:bCs/>
                <w:sz w:val="20"/>
                <w:szCs w:val="20"/>
              </w:rPr>
            </w:pPr>
            <w:r w:rsidRPr="003F36B5">
              <w:rPr>
                <w:rFonts w:ascii="Times New Roman" w:hAnsi="Times New Roman" w:cs="Times New Roman"/>
                <w:b/>
                <w:bCs/>
                <w:sz w:val="20"/>
                <w:szCs w:val="20"/>
              </w:rPr>
              <w:t>Titration regimen during the first 10 days</w:t>
            </w:r>
          </w:p>
          <w:p w14:paraId="26AEA963" w14:textId="77777777" w:rsidR="00286658" w:rsidRPr="003F36B5" w:rsidRDefault="00286658" w:rsidP="00E551A6">
            <w:pPr>
              <w:spacing w:after="120" w:line="480" w:lineRule="auto"/>
              <w:ind w:left="447"/>
              <w:rPr>
                <w:rFonts w:ascii="Times New Roman" w:hAnsi="Times New Roman" w:cs="Times New Roman"/>
                <w:b/>
                <w:bCs/>
                <w:sz w:val="20"/>
                <w:szCs w:val="20"/>
              </w:rPr>
            </w:pPr>
          </w:p>
        </w:tc>
        <w:tc>
          <w:tcPr>
            <w:tcW w:w="9923" w:type="dxa"/>
          </w:tcPr>
          <w:p w14:paraId="15A50EE3" w14:textId="3B06BCF9" w:rsidR="00286658" w:rsidRPr="003F36B5" w:rsidRDefault="00606059" w:rsidP="00E551A6">
            <w:pPr>
              <w:spacing w:after="120" w:line="480" w:lineRule="auto"/>
              <w:rPr>
                <w:rFonts w:ascii="Times New Roman" w:hAnsi="Times New Roman" w:cs="Times New Roman"/>
                <w:sz w:val="20"/>
                <w:szCs w:val="20"/>
              </w:rPr>
            </w:pPr>
            <w:r w:rsidRPr="003F36B5">
              <w:rPr>
                <w:rFonts w:ascii="Times New Roman" w:hAnsi="Times New Roman" w:cs="Times New Roman"/>
                <w:sz w:val="20"/>
                <w:szCs w:val="20"/>
              </w:rPr>
              <w:t xml:space="preserve">There are various options for titration in clinical practice: a quick titration, most commonly as an inpatient, starting at 0.5–1.0 mg/hour, with increments of 0.5–1.0 mg every few hours </w:t>
            </w:r>
            <w:r w:rsidR="00EF3B92" w:rsidRPr="003F36B5">
              <w:rPr>
                <w:rFonts w:ascii="Times New Roman" w:hAnsi="Times New Roman" w:cs="Times New Roman"/>
                <w:sz w:val="20"/>
                <w:szCs w:val="20"/>
              </w:rPr>
              <w:t xml:space="preserve"> </w:t>
            </w:r>
            <w:r w:rsidRPr="003F36B5">
              <w:rPr>
                <w:rFonts w:ascii="Times New Roman" w:hAnsi="Times New Roman" w:cs="Times New Roman"/>
                <w:sz w:val="20"/>
                <w:szCs w:val="20"/>
              </w:rPr>
              <w:t>, depending on tolerability or increased dopaminergic effects such as dyskinesias; or a slower titration, mo</w:t>
            </w:r>
            <w:r w:rsidR="00EF3B92" w:rsidRPr="003F36B5">
              <w:rPr>
                <w:rFonts w:ascii="Times New Roman" w:hAnsi="Times New Roman" w:cs="Times New Roman"/>
                <w:sz w:val="20"/>
                <w:szCs w:val="20"/>
              </w:rPr>
              <w:t>re</w:t>
            </w:r>
            <w:r w:rsidRPr="003F36B5">
              <w:rPr>
                <w:rFonts w:ascii="Times New Roman" w:hAnsi="Times New Roman" w:cs="Times New Roman"/>
                <w:sz w:val="20"/>
                <w:szCs w:val="20"/>
              </w:rPr>
              <w:t xml:space="preserve"> suited for outpatient initiation, with increments of 1.0 mg/hour at intervals that depend on individual response and tolerability but </w:t>
            </w:r>
            <w:r w:rsidR="00EF3B92" w:rsidRPr="003F36B5">
              <w:rPr>
                <w:rFonts w:ascii="Times New Roman" w:hAnsi="Times New Roman" w:cs="Times New Roman"/>
                <w:sz w:val="20"/>
                <w:szCs w:val="20"/>
              </w:rPr>
              <w:t xml:space="preserve"> usually take one</w:t>
            </w:r>
            <w:r w:rsidRPr="003F36B5">
              <w:rPr>
                <w:rFonts w:ascii="Times New Roman" w:hAnsi="Times New Roman" w:cs="Times New Roman"/>
                <w:sz w:val="20"/>
                <w:szCs w:val="20"/>
              </w:rPr>
              <w:t xml:space="preserve"> week. If no anti-emetic is available </w:t>
            </w:r>
            <w:r w:rsidR="00A415AF" w:rsidRPr="003F36B5">
              <w:rPr>
                <w:rFonts w:ascii="Times New Roman" w:hAnsi="Times New Roman" w:cs="Times New Roman"/>
                <w:sz w:val="20"/>
                <w:szCs w:val="20"/>
              </w:rPr>
              <w:t xml:space="preserve">the incremental increase may need to be slower. </w:t>
            </w:r>
          </w:p>
        </w:tc>
      </w:tr>
      <w:tr w:rsidR="00286658" w:rsidRPr="003F36B5" w14:paraId="7C9C7677" w14:textId="77777777" w:rsidTr="00286658">
        <w:tc>
          <w:tcPr>
            <w:tcW w:w="3964" w:type="dxa"/>
          </w:tcPr>
          <w:p w14:paraId="07A45D6D" w14:textId="77777777" w:rsidR="00BA69D3" w:rsidRPr="003F36B5" w:rsidRDefault="00BA69D3" w:rsidP="00E551A6">
            <w:pPr>
              <w:pStyle w:val="ListParagraph"/>
              <w:numPr>
                <w:ilvl w:val="0"/>
                <w:numId w:val="2"/>
              </w:numPr>
              <w:spacing w:after="120" w:line="480" w:lineRule="auto"/>
              <w:ind w:left="447"/>
              <w:contextualSpacing w:val="0"/>
              <w:rPr>
                <w:rFonts w:ascii="Times New Roman" w:hAnsi="Times New Roman" w:cs="Times New Roman"/>
                <w:b/>
                <w:bCs/>
                <w:sz w:val="20"/>
                <w:szCs w:val="20"/>
              </w:rPr>
            </w:pPr>
            <w:r w:rsidRPr="003F36B5">
              <w:rPr>
                <w:rFonts w:ascii="Times New Roman" w:hAnsi="Times New Roman" w:cs="Times New Roman"/>
                <w:b/>
                <w:bCs/>
                <w:sz w:val="20"/>
                <w:szCs w:val="20"/>
              </w:rPr>
              <w:t>Time to stable dose and stable dose achieved</w:t>
            </w:r>
          </w:p>
          <w:p w14:paraId="38C54B41" w14:textId="77777777" w:rsidR="00286658" w:rsidRPr="003F36B5" w:rsidRDefault="00286658" w:rsidP="00E551A6">
            <w:pPr>
              <w:spacing w:after="120" w:line="480" w:lineRule="auto"/>
              <w:ind w:left="447"/>
              <w:rPr>
                <w:rFonts w:ascii="Times New Roman" w:hAnsi="Times New Roman" w:cs="Times New Roman"/>
                <w:b/>
                <w:bCs/>
                <w:sz w:val="20"/>
                <w:szCs w:val="20"/>
              </w:rPr>
            </w:pPr>
          </w:p>
        </w:tc>
        <w:tc>
          <w:tcPr>
            <w:tcW w:w="9923" w:type="dxa"/>
          </w:tcPr>
          <w:p w14:paraId="03E4D3C2" w14:textId="0C8C728E" w:rsidR="00286658" w:rsidRPr="003F36B5" w:rsidRDefault="00423042" w:rsidP="00E551A6">
            <w:pPr>
              <w:spacing w:after="120" w:line="480" w:lineRule="auto"/>
              <w:rPr>
                <w:rFonts w:ascii="Times New Roman" w:hAnsi="Times New Roman" w:cs="Times New Roman"/>
                <w:b/>
                <w:bCs/>
                <w:sz w:val="20"/>
                <w:szCs w:val="20"/>
              </w:rPr>
            </w:pPr>
            <w:r w:rsidRPr="003F36B5">
              <w:rPr>
                <w:rFonts w:ascii="Times New Roman" w:hAnsi="Times New Roman" w:cs="Times New Roman"/>
                <w:bCs/>
                <w:sz w:val="20"/>
                <w:szCs w:val="20"/>
              </w:rPr>
              <w:lastRenderedPageBreak/>
              <w:t>Each patient’s stable apomorphine dose will depend on individual efficacy and tolerability, and on their wishes</w:t>
            </w:r>
            <w:r w:rsidR="00A415AF" w:rsidRPr="003F36B5">
              <w:rPr>
                <w:rFonts w:ascii="Times New Roman" w:hAnsi="Times New Roman" w:cs="Times New Roman"/>
                <w:bCs/>
                <w:sz w:val="20"/>
                <w:szCs w:val="20"/>
              </w:rPr>
              <w:t xml:space="preserve"> </w:t>
            </w:r>
            <w:r w:rsidRPr="003F36B5">
              <w:rPr>
                <w:rFonts w:ascii="Times New Roman" w:hAnsi="Times New Roman" w:cs="Times New Roman"/>
                <w:bCs/>
                <w:sz w:val="20"/>
                <w:szCs w:val="20"/>
              </w:rPr>
              <w:t xml:space="preserve"> In contrast to the </w:t>
            </w:r>
            <w:r w:rsidR="00E551A6" w:rsidRPr="003F36B5">
              <w:rPr>
                <w:rFonts w:ascii="Times New Roman" w:hAnsi="Times New Roman" w:cs="Times New Roman"/>
                <w:bCs/>
                <w:sz w:val="20"/>
                <w:szCs w:val="20"/>
              </w:rPr>
              <w:t>randomized</w:t>
            </w:r>
            <w:r w:rsidRPr="003F36B5">
              <w:rPr>
                <w:rFonts w:ascii="Times New Roman" w:hAnsi="Times New Roman" w:cs="Times New Roman"/>
                <w:bCs/>
                <w:sz w:val="20"/>
                <w:szCs w:val="20"/>
              </w:rPr>
              <w:t xml:space="preserve"> study, in clinical practice, there is no time limit to dose adjustments and this may take longer </w:t>
            </w:r>
            <w:r w:rsidRPr="003F36B5">
              <w:rPr>
                <w:rFonts w:ascii="Times New Roman" w:hAnsi="Times New Roman" w:cs="Times New Roman"/>
                <w:bCs/>
                <w:sz w:val="20"/>
                <w:szCs w:val="20"/>
              </w:rPr>
              <w:lastRenderedPageBreak/>
              <w:t>than the 4 weeks specified in the study protocol. The aim is an effective, well tolerated dose with individually adjusted concomitant oral medication.</w:t>
            </w:r>
          </w:p>
        </w:tc>
      </w:tr>
      <w:tr w:rsidR="00286658" w:rsidRPr="003F36B5" w14:paraId="5A54A5FD" w14:textId="77777777" w:rsidTr="00286658">
        <w:tc>
          <w:tcPr>
            <w:tcW w:w="3964" w:type="dxa"/>
          </w:tcPr>
          <w:p w14:paraId="4409989E" w14:textId="77777777" w:rsidR="007336D7" w:rsidRPr="003F36B5" w:rsidRDefault="007336D7" w:rsidP="00E551A6">
            <w:pPr>
              <w:pStyle w:val="ListParagraph"/>
              <w:numPr>
                <w:ilvl w:val="0"/>
                <w:numId w:val="2"/>
              </w:numPr>
              <w:spacing w:after="120" w:line="480" w:lineRule="auto"/>
              <w:ind w:left="447"/>
              <w:contextualSpacing w:val="0"/>
              <w:rPr>
                <w:rFonts w:ascii="Times New Roman" w:hAnsi="Times New Roman" w:cs="Times New Roman"/>
                <w:b/>
                <w:bCs/>
                <w:sz w:val="20"/>
                <w:szCs w:val="20"/>
              </w:rPr>
            </w:pPr>
            <w:r w:rsidRPr="003F36B5">
              <w:rPr>
                <w:rFonts w:ascii="Times New Roman" w:hAnsi="Times New Roman" w:cs="Times New Roman"/>
                <w:b/>
                <w:bCs/>
                <w:sz w:val="20"/>
                <w:szCs w:val="20"/>
              </w:rPr>
              <w:lastRenderedPageBreak/>
              <w:t>Reductions and discontinuation of concomitant anti-PD medication</w:t>
            </w:r>
          </w:p>
          <w:p w14:paraId="1979ADE4" w14:textId="77777777" w:rsidR="00286658" w:rsidRPr="003F36B5" w:rsidRDefault="00286658" w:rsidP="00E551A6">
            <w:pPr>
              <w:spacing w:after="120" w:line="480" w:lineRule="auto"/>
              <w:ind w:left="447"/>
              <w:rPr>
                <w:rFonts w:ascii="Times New Roman" w:hAnsi="Times New Roman" w:cs="Times New Roman"/>
                <w:b/>
                <w:bCs/>
                <w:sz w:val="20"/>
                <w:szCs w:val="20"/>
              </w:rPr>
            </w:pPr>
          </w:p>
        </w:tc>
        <w:tc>
          <w:tcPr>
            <w:tcW w:w="9923" w:type="dxa"/>
          </w:tcPr>
          <w:p w14:paraId="1287ADF2" w14:textId="26AF7D4D" w:rsidR="00286658" w:rsidRPr="003F36B5" w:rsidRDefault="008F1E70" w:rsidP="00E551A6">
            <w:pPr>
              <w:spacing w:after="120" w:line="480" w:lineRule="auto"/>
              <w:rPr>
                <w:rFonts w:ascii="Times New Roman" w:hAnsi="Times New Roman" w:cs="Times New Roman"/>
                <w:bCs/>
                <w:sz w:val="20"/>
                <w:szCs w:val="20"/>
              </w:rPr>
            </w:pPr>
            <w:r w:rsidRPr="003F36B5">
              <w:rPr>
                <w:rFonts w:ascii="Times New Roman" w:hAnsi="Times New Roman" w:cs="Times New Roman"/>
                <w:bCs/>
                <w:sz w:val="20"/>
                <w:szCs w:val="20"/>
              </w:rPr>
              <w:t xml:space="preserve">If dopaminergic side effects, such as increased dyskinesias, occur </w:t>
            </w:r>
            <w:r w:rsidR="00042786" w:rsidRPr="003F36B5">
              <w:rPr>
                <w:rFonts w:ascii="Times New Roman" w:hAnsi="Times New Roman" w:cs="Times New Roman"/>
                <w:bCs/>
                <w:sz w:val="20"/>
                <w:szCs w:val="20"/>
              </w:rPr>
              <w:t xml:space="preserve">after starting </w:t>
            </w:r>
            <w:r w:rsidRPr="003F36B5">
              <w:rPr>
                <w:rFonts w:ascii="Times New Roman" w:hAnsi="Times New Roman" w:cs="Times New Roman"/>
                <w:bCs/>
                <w:sz w:val="20"/>
                <w:szCs w:val="20"/>
              </w:rPr>
              <w:t xml:space="preserve"> apomorphine then concurrent oral medication should be gradually reduced, usually in the order suggested </w:t>
            </w:r>
            <w:r w:rsidRPr="00F620B1">
              <w:rPr>
                <w:rFonts w:ascii="Times New Roman" w:hAnsi="Times New Roman" w:cs="Times New Roman"/>
                <w:bCs/>
                <w:sz w:val="20"/>
                <w:szCs w:val="20"/>
              </w:rPr>
              <w:t xml:space="preserve">in </w:t>
            </w:r>
            <w:r w:rsidR="007336D7" w:rsidRPr="00F620B1">
              <w:rPr>
                <w:rFonts w:ascii="Times New Roman" w:hAnsi="Times New Roman" w:cs="Times New Roman"/>
                <w:bCs/>
                <w:sz w:val="20"/>
                <w:szCs w:val="20"/>
              </w:rPr>
              <w:t>Table 1.</w:t>
            </w:r>
            <w:r w:rsidR="00F52CA3" w:rsidRPr="00F620B1">
              <w:rPr>
                <w:rFonts w:ascii="Times New Roman" w:hAnsi="Times New Roman" w:cs="Times New Roman"/>
                <w:bCs/>
                <w:sz w:val="20"/>
                <w:szCs w:val="20"/>
              </w:rPr>
              <w:t xml:space="preserve"> </w:t>
            </w:r>
            <w:r w:rsidR="00F52CA3" w:rsidRPr="003F36B5">
              <w:rPr>
                <w:rFonts w:ascii="Times New Roman" w:hAnsi="Times New Roman" w:cs="Times New Roman"/>
                <w:bCs/>
                <w:sz w:val="20"/>
                <w:szCs w:val="20"/>
              </w:rPr>
              <w:t xml:space="preserve">Sudden withdrawal of </w:t>
            </w:r>
            <w:r w:rsidR="00042786" w:rsidRPr="003F36B5">
              <w:rPr>
                <w:rFonts w:ascii="Times New Roman" w:hAnsi="Times New Roman" w:cs="Times New Roman"/>
                <w:bCs/>
                <w:sz w:val="20"/>
                <w:szCs w:val="20"/>
              </w:rPr>
              <w:t xml:space="preserve">any </w:t>
            </w:r>
            <w:r w:rsidR="00F52CA3" w:rsidRPr="003F36B5">
              <w:rPr>
                <w:rFonts w:ascii="Times New Roman" w:hAnsi="Times New Roman" w:cs="Times New Roman"/>
                <w:bCs/>
                <w:sz w:val="20"/>
                <w:szCs w:val="20"/>
              </w:rPr>
              <w:t>oral</w:t>
            </w:r>
            <w:r w:rsidR="00042786" w:rsidRPr="003F36B5">
              <w:rPr>
                <w:rFonts w:ascii="Times New Roman" w:hAnsi="Times New Roman" w:cs="Times New Roman"/>
                <w:bCs/>
                <w:sz w:val="20"/>
                <w:szCs w:val="20"/>
              </w:rPr>
              <w:t xml:space="preserve"> anti-Parkinsonian</w:t>
            </w:r>
            <w:r w:rsidR="00F52CA3" w:rsidRPr="003F36B5">
              <w:rPr>
                <w:rFonts w:ascii="Times New Roman" w:hAnsi="Times New Roman" w:cs="Times New Roman"/>
                <w:bCs/>
                <w:sz w:val="20"/>
                <w:szCs w:val="20"/>
              </w:rPr>
              <w:t xml:space="preserve"> medication is not recommended, and in the case of dopamine agonists may precipitate dopamine agonist withdrawal syndrome</w:t>
            </w:r>
            <w:r w:rsidR="00042786" w:rsidRPr="003F36B5">
              <w:rPr>
                <w:rFonts w:ascii="Times New Roman" w:hAnsi="Times New Roman" w:cs="Times New Roman"/>
                <w:bCs/>
                <w:sz w:val="20"/>
                <w:szCs w:val="20"/>
              </w:rPr>
              <w:t>.</w:t>
            </w:r>
            <w:r w:rsidR="00F52CA3" w:rsidRPr="003F36B5">
              <w:rPr>
                <w:rFonts w:ascii="Times New Roman" w:hAnsi="Times New Roman" w:cs="Times New Roman"/>
                <w:bCs/>
                <w:sz w:val="20"/>
                <w:szCs w:val="20"/>
              </w:rPr>
              <w:t xml:space="preserve"> </w:t>
            </w:r>
            <w:r w:rsidR="00042786" w:rsidRPr="003F36B5">
              <w:rPr>
                <w:rFonts w:ascii="Times New Roman" w:hAnsi="Times New Roman" w:cs="Times New Roman"/>
                <w:bCs/>
                <w:sz w:val="20"/>
                <w:szCs w:val="20"/>
              </w:rPr>
              <w:t xml:space="preserve"> </w:t>
            </w:r>
          </w:p>
          <w:p w14:paraId="118B2E39" w14:textId="77777777" w:rsidR="00ED1130" w:rsidRPr="003F36B5" w:rsidRDefault="00ED1130" w:rsidP="00E551A6">
            <w:pPr>
              <w:spacing w:after="120" w:line="480" w:lineRule="auto"/>
              <w:rPr>
                <w:rFonts w:ascii="Times New Roman" w:hAnsi="Times New Roman" w:cs="Times New Roman"/>
                <w:sz w:val="20"/>
                <w:szCs w:val="20"/>
              </w:rPr>
            </w:pPr>
            <w:r w:rsidRPr="003F36B5">
              <w:rPr>
                <w:rFonts w:ascii="Times New Roman" w:hAnsi="Times New Roman" w:cs="Times New Roman"/>
                <w:sz w:val="20"/>
                <w:szCs w:val="20"/>
              </w:rPr>
              <w:t xml:space="preserve">Dyskinesia severity determines the optimal degree of dose reduction. To treat OFF periods, the reduction in oral drugs may only need to be small, however in a patient with troublesome dyskinesia, gradual withdrawal of all daytime oral medication may be required with the exception of a night-time and early morning levodopa dose. </w:t>
            </w:r>
          </w:p>
          <w:p w14:paraId="0D985BAA" w14:textId="3566B057" w:rsidR="00B15C66" w:rsidRPr="003F36B5" w:rsidRDefault="00B15C66" w:rsidP="00E551A6">
            <w:pPr>
              <w:spacing w:after="120" w:line="480" w:lineRule="auto"/>
              <w:rPr>
                <w:rFonts w:ascii="Times New Roman" w:hAnsi="Times New Roman" w:cs="Times New Roman"/>
                <w:sz w:val="20"/>
                <w:szCs w:val="20"/>
              </w:rPr>
            </w:pPr>
            <w:r w:rsidRPr="003F36B5">
              <w:rPr>
                <w:rFonts w:ascii="Times New Roman" w:hAnsi="Times New Roman" w:cs="Times New Roman"/>
                <w:sz w:val="20"/>
                <w:szCs w:val="20"/>
              </w:rPr>
              <w:t>If the patient continues to experience tolerability issues despite oral</w:t>
            </w:r>
            <w:r w:rsidR="00042786" w:rsidRPr="003F36B5">
              <w:rPr>
                <w:rFonts w:ascii="Times New Roman" w:hAnsi="Times New Roman" w:cs="Times New Roman"/>
                <w:sz w:val="20"/>
                <w:szCs w:val="20"/>
              </w:rPr>
              <w:t xml:space="preserve"> medication</w:t>
            </w:r>
            <w:r w:rsidRPr="003F36B5">
              <w:rPr>
                <w:rFonts w:ascii="Times New Roman" w:hAnsi="Times New Roman" w:cs="Times New Roman"/>
                <w:sz w:val="20"/>
                <w:szCs w:val="20"/>
              </w:rPr>
              <w:t xml:space="preserve"> reduction, the apomorphine dose should be decreased. Conversely, if side effects are reduced following oral drug alterations, but the clinical effect of apomorphine infusion is still sub-optimal, apomorphine should be slowly increased. </w:t>
            </w:r>
          </w:p>
          <w:p w14:paraId="3A7410A7" w14:textId="3F87CA61" w:rsidR="006E33BA" w:rsidRPr="003F36B5" w:rsidRDefault="006E33BA" w:rsidP="00E551A6">
            <w:pPr>
              <w:spacing w:after="120" w:line="480" w:lineRule="auto"/>
              <w:rPr>
                <w:rFonts w:ascii="Times New Roman" w:hAnsi="Times New Roman" w:cs="Times New Roman"/>
                <w:sz w:val="20"/>
                <w:szCs w:val="20"/>
              </w:rPr>
            </w:pPr>
            <w:r w:rsidRPr="003F36B5">
              <w:rPr>
                <w:rFonts w:ascii="Times New Roman" w:hAnsi="Times New Roman" w:cs="Times New Roman"/>
                <w:sz w:val="20"/>
                <w:szCs w:val="20"/>
              </w:rPr>
              <w:t>In patients with troublesome nocturnal OFF symptoms, 24-hour use may be helpful. If apomorphine infusion is only used during daytime, nocturnal parkinsonian symptoms may be alleviated by using levodopa at bedtime</w:t>
            </w:r>
            <w:r w:rsidR="00042786" w:rsidRPr="003F36B5">
              <w:rPr>
                <w:rFonts w:ascii="Times New Roman" w:hAnsi="Times New Roman" w:cs="Times New Roman"/>
                <w:sz w:val="20"/>
                <w:szCs w:val="20"/>
              </w:rPr>
              <w:t xml:space="preserve"> </w:t>
            </w:r>
            <w:r w:rsidRPr="003F36B5">
              <w:rPr>
                <w:rFonts w:ascii="Times New Roman" w:hAnsi="Times New Roman" w:cs="Times New Roman"/>
                <w:sz w:val="20"/>
                <w:szCs w:val="20"/>
              </w:rPr>
              <w:t xml:space="preserve"> </w:t>
            </w:r>
          </w:p>
          <w:p w14:paraId="11AFAD83" w14:textId="77777777" w:rsidR="006E33BA" w:rsidRPr="003F36B5" w:rsidRDefault="006E33BA" w:rsidP="00E551A6">
            <w:pPr>
              <w:spacing w:after="120" w:line="480" w:lineRule="auto"/>
              <w:rPr>
                <w:rFonts w:ascii="Times New Roman" w:hAnsi="Times New Roman" w:cs="Times New Roman"/>
                <w:sz w:val="20"/>
                <w:szCs w:val="20"/>
              </w:rPr>
            </w:pPr>
            <w:r w:rsidRPr="003F36B5">
              <w:rPr>
                <w:rFonts w:ascii="Times New Roman" w:hAnsi="Times New Roman" w:cs="Times New Roman"/>
                <w:sz w:val="20"/>
                <w:szCs w:val="20"/>
              </w:rPr>
              <w:t>If dyskinesias are still troublesome while using apomorphine infusion, amantadine can be introduced or increased.</w:t>
            </w:r>
          </w:p>
          <w:p w14:paraId="6C10C4A4" w14:textId="5E88CDDD" w:rsidR="007336D7" w:rsidRPr="003F36B5" w:rsidRDefault="006E33BA" w:rsidP="00E551A6">
            <w:pPr>
              <w:spacing w:after="120" w:line="480" w:lineRule="auto"/>
              <w:rPr>
                <w:rFonts w:ascii="Times New Roman" w:hAnsi="Times New Roman" w:cs="Times New Roman"/>
                <w:sz w:val="20"/>
                <w:szCs w:val="20"/>
              </w:rPr>
            </w:pPr>
            <w:r w:rsidRPr="003F36B5">
              <w:rPr>
                <w:rFonts w:ascii="Times New Roman" w:hAnsi="Times New Roman" w:cs="Times New Roman"/>
                <w:sz w:val="20"/>
                <w:szCs w:val="20"/>
              </w:rPr>
              <w:t>During the early treatment phase, regular clinic visits are needed to achieve</w:t>
            </w:r>
            <w:r w:rsidR="002D213B" w:rsidRPr="003F36B5">
              <w:rPr>
                <w:rFonts w:ascii="Times New Roman" w:hAnsi="Times New Roman" w:cs="Times New Roman"/>
                <w:sz w:val="20"/>
                <w:szCs w:val="20"/>
              </w:rPr>
              <w:t xml:space="preserve"> the best long</w:t>
            </w:r>
            <w:r w:rsidR="00FC3A8D">
              <w:rPr>
                <w:rFonts w:ascii="Times New Roman" w:hAnsi="Times New Roman" w:cs="Times New Roman"/>
                <w:sz w:val="20"/>
                <w:szCs w:val="20"/>
              </w:rPr>
              <w:t>-</w:t>
            </w:r>
            <w:r w:rsidR="002D213B" w:rsidRPr="003F36B5">
              <w:rPr>
                <w:rFonts w:ascii="Times New Roman" w:hAnsi="Times New Roman" w:cs="Times New Roman"/>
                <w:sz w:val="20"/>
                <w:szCs w:val="20"/>
              </w:rPr>
              <w:t xml:space="preserve">term </w:t>
            </w:r>
            <w:r w:rsidRPr="003F36B5">
              <w:rPr>
                <w:rFonts w:ascii="Times New Roman" w:hAnsi="Times New Roman" w:cs="Times New Roman"/>
                <w:sz w:val="20"/>
                <w:szCs w:val="20"/>
              </w:rPr>
              <w:t>results.</w:t>
            </w:r>
          </w:p>
        </w:tc>
      </w:tr>
      <w:tr w:rsidR="00286658" w:rsidRPr="003F36B5" w14:paraId="10501736" w14:textId="77777777" w:rsidTr="00286658">
        <w:tc>
          <w:tcPr>
            <w:tcW w:w="3964" w:type="dxa"/>
          </w:tcPr>
          <w:p w14:paraId="02DD751F" w14:textId="77777777" w:rsidR="007336D7" w:rsidRPr="003F36B5" w:rsidRDefault="007336D7" w:rsidP="00E551A6">
            <w:pPr>
              <w:pStyle w:val="ListParagraph"/>
              <w:numPr>
                <w:ilvl w:val="0"/>
                <w:numId w:val="2"/>
              </w:numPr>
              <w:spacing w:after="120" w:line="480" w:lineRule="auto"/>
              <w:ind w:left="447"/>
              <w:contextualSpacing w:val="0"/>
              <w:rPr>
                <w:rFonts w:ascii="Times New Roman" w:hAnsi="Times New Roman" w:cs="Times New Roman"/>
                <w:b/>
                <w:bCs/>
                <w:sz w:val="20"/>
                <w:szCs w:val="20"/>
              </w:rPr>
            </w:pPr>
            <w:r w:rsidRPr="003F36B5">
              <w:rPr>
                <w:rFonts w:ascii="Times New Roman" w:hAnsi="Times New Roman" w:cs="Times New Roman"/>
                <w:b/>
                <w:bCs/>
                <w:sz w:val="20"/>
                <w:szCs w:val="20"/>
              </w:rPr>
              <w:lastRenderedPageBreak/>
              <w:t>Hours of infusion</w:t>
            </w:r>
          </w:p>
          <w:p w14:paraId="7C70AFA7" w14:textId="77777777" w:rsidR="00286658" w:rsidRPr="003F36B5" w:rsidRDefault="00286658" w:rsidP="00E551A6">
            <w:pPr>
              <w:spacing w:after="120" w:line="480" w:lineRule="auto"/>
              <w:ind w:left="447"/>
              <w:rPr>
                <w:rFonts w:ascii="Times New Roman" w:hAnsi="Times New Roman" w:cs="Times New Roman"/>
                <w:b/>
                <w:bCs/>
                <w:sz w:val="20"/>
                <w:szCs w:val="20"/>
              </w:rPr>
            </w:pPr>
          </w:p>
        </w:tc>
        <w:tc>
          <w:tcPr>
            <w:tcW w:w="9923" w:type="dxa"/>
          </w:tcPr>
          <w:p w14:paraId="0A0F8438" w14:textId="0937D484" w:rsidR="00286658" w:rsidRPr="003F36B5" w:rsidRDefault="007336D7" w:rsidP="00E551A6">
            <w:pPr>
              <w:spacing w:after="120" w:line="480" w:lineRule="auto"/>
              <w:rPr>
                <w:rFonts w:ascii="Times New Roman" w:hAnsi="Times New Roman" w:cs="Times New Roman"/>
                <w:sz w:val="20"/>
                <w:szCs w:val="20"/>
              </w:rPr>
            </w:pPr>
            <w:r w:rsidRPr="003F36B5">
              <w:rPr>
                <w:rFonts w:ascii="Times New Roman" w:hAnsi="Times New Roman" w:cs="Times New Roman"/>
                <w:sz w:val="20"/>
                <w:szCs w:val="20"/>
              </w:rPr>
              <w:t>The primary aim is for a waking day infusion of around 16 hours, depending on each patient’s personal schedule and preference. In patients with troublesome nocturnal OFF symptoms, 24-hour use may helpful.</w:t>
            </w:r>
          </w:p>
        </w:tc>
      </w:tr>
      <w:tr w:rsidR="00286658" w:rsidRPr="003F36B5" w14:paraId="3C5F2599" w14:textId="77777777" w:rsidTr="00286658">
        <w:tc>
          <w:tcPr>
            <w:tcW w:w="3964" w:type="dxa"/>
          </w:tcPr>
          <w:p w14:paraId="1FE5F31A" w14:textId="77777777" w:rsidR="007336D7" w:rsidRPr="003F36B5" w:rsidRDefault="007336D7" w:rsidP="00E551A6">
            <w:pPr>
              <w:pStyle w:val="ListParagraph"/>
              <w:numPr>
                <w:ilvl w:val="0"/>
                <w:numId w:val="2"/>
              </w:numPr>
              <w:spacing w:after="120" w:line="480" w:lineRule="auto"/>
              <w:ind w:left="447"/>
              <w:contextualSpacing w:val="0"/>
              <w:rPr>
                <w:rFonts w:ascii="Times New Roman" w:hAnsi="Times New Roman" w:cs="Times New Roman"/>
                <w:b/>
                <w:bCs/>
                <w:sz w:val="20"/>
                <w:szCs w:val="20"/>
              </w:rPr>
            </w:pPr>
            <w:r w:rsidRPr="003F36B5">
              <w:rPr>
                <w:rFonts w:ascii="Times New Roman" w:hAnsi="Times New Roman" w:cs="Times New Roman"/>
                <w:b/>
                <w:bCs/>
                <w:sz w:val="20"/>
                <w:szCs w:val="20"/>
              </w:rPr>
              <w:t>Monitoring of patients established on treatment and management of adverse events</w:t>
            </w:r>
          </w:p>
          <w:p w14:paraId="6B97354D" w14:textId="77777777" w:rsidR="00286658" w:rsidRPr="003F36B5" w:rsidRDefault="00286658" w:rsidP="00E551A6">
            <w:pPr>
              <w:spacing w:after="120" w:line="480" w:lineRule="auto"/>
              <w:ind w:left="447"/>
              <w:rPr>
                <w:rFonts w:ascii="Times New Roman" w:hAnsi="Times New Roman" w:cs="Times New Roman"/>
                <w:b/>
                <w:bCs/>
                <w:sz w:val="20"/>
                <w:szCs w:val="20"/>
              </w:rPr>
            </w:pPr>
          </w:p>
        </w:tc>
        <w:tc>
          <w:tcPr>
            <w:tcW w:w="9923" w:type="dxa"/>
          </w:tcPr>
          <w:p w14:paraId="722933AF" w14:textId="77777777" w:rsidR="00243F43" w:rsidRPr="003F36B5" w:rsidRDefault="00A43D1B" w:rsidP="00E551A6">
            <w:pPr>
              <w:spacing w:after="120" w:line="480" w:lineRule="auto"/>
              <w:rPr>
                <w:rFonts w:ascii="Times New Roman" w:hAnsi="Times New Roman" w:cs="Times New Roman"/>
                <w:sz w:val="20"/>
                <w:szCs w:val="20"/>
              </w:rPr>
            </w:pPr>
            <w:r w:rsidRPr="003F36B5">
              <w:rPr>
                <w:rFonts w:ascii="Times New Roman" w:hAnsi="Times New Roman" w:cs="Times New Roman"/>
                <w:sz w:val="20"/>
                <w:szCs w:val="20"/>
              </w:rPr>
              <w:t xml:space="preserve">One advantage of apomorphine infusion over other device-aided therapies, such as enteral levodopa infusion, is that it is easy to discontinue if the response is unsatisfactory or if intolerable adverse events occur. </w:t>
            </w:r>
          </w:p>
          <w:p w14:paraId="0690C9F9" w14:textId="49985195" w:rsidR="00A43D1B" w:rsidRPr="003F36B5" w:rsidRDefault="00A43D1B" w:rsidP="00E551A6">
            <w:pPr>
              <w:spacing w:after="120" w:line="480" w:lineRule="auto"/>
              <w:rPr>
                <w:rFonts w:ascii="Times New Roman" w:hAnsi="Times New Roman" w:cs="Times New Roman"/>
                <w:sz w:val="20"/>
                <w:szCs w:val="20"/>
              </w:rPr>
            </w:pPr>
            <w:r w:rsidRPr="003F36B5">
              <w:rPr>
                <w:rFonts w:ascii="Times New Roman" w:hAnsi="Times New Roman" w:cs="Times New Roman"/>
                <w:sz w:val="20"/>
                <w:szCs w:val="20"/>
              </w:rPr>
              <w:t xml:space="preserve">Skin nodules and irritation are relatively straightforward to manage and are rarely a cause for discontinuation. </w:t>
            </w:r>
            <w:r w:rsidR="002D213B" w:rsidRPr="003F36B5">
              <w:rPr>
                <w:rFonts w:ascii="Times New Roman" w:hAnsi="Times New Roman" w:cs="Times New Roman"/>
                <w:sz w:val="20"/>
                <w:szCs w:val="20"/>
              </w:rPr>
              <w:t xml:space="preserve"> </w:t>
            </w:r>
            <w:r w:rsidRPr="003F36B5">
              <w:rPr>
                <w:rFonts w:ascii="Times New Roman" w:hAnsi="Times New Roman" w:cs="Times New Roman"/>
                <w:sz w:val="20"/>
                <w:szCs w:val="20"/>
              </w:rPr>
              <w:t xml:space="preserve"> </w:t>
            </w:r>
            <w:r w:rsidR="002D213B" w:rsidRPr="003F36B5">
              <w:rPr>
                <w:rFonts w:ascii="Times New Roman" w:hAnsi="Times New Roman" w:cs="Times New Roman"/>
                <w:sz w:val="20"/>
                <w:szCs w:val="20"/>
              </w:rPr>
              <w:t xml:space="preserve"> </w:t>
            </w:r>
          </w:p>
          <w:p w14:paraId="7BA0F85F" w14:textId="2FAB79E3" w:rsidR="00A43D1B" w:rsidRPr="003F36B5" w:rsidRDefault="00A43D1B" w:rsidP="00E551A6">
            <w:pPr>
              <w:spacing w:after="120" w:line="480" w:lineRule="auto"/>
              <w:rPr>
                <w:rFonts w:ascii="Times New Roman" w:hAnsi="Times New Roman" w:cs="Times New Roman"/>
                <w:sz w:val="20"/>
                <w:szCs w:val="20"/>
              </w:rPr>
            </w:pPr>
            <w:r w:rsidRPr="003F36B5">
              <w:rPr>
                <w:rFonts w:ascii="Times New Roman" w:hAnsi="Times New Roman" w:cs="Times New Roman"/>
                <w:sz w:val="20"/>
                <w:szCs w:val="20"/>
              </w:rPr>
              <w:t>Orthostatic hypotension (OH) occur</w:t>
            </w:r>
            <w:r w:rsidR="0015174E" w:rsidRPr="003F36B5">
              <w:rPr>
                <w:rFonts w:ascii="Times New Roman" w:hAnsi="Times New Roman" w:cs="Times New Roman"/>
                <w:sz w:val="20"/>
                <w:szCs w:val="20"/>
              </w:rPr>
              <w:t>s</w:t>
            </w:r>
            <w:r w:rsidRPr="003F36B5">
              <w:rPr>
                <w:rFonts w:ascii="Times New Roman" w:hAnsi="Times New Roman" w:cs="Times New Roman"/>
                <w:sz w:val="20"/>
                <w:szCs w:val="20"/>
              </w:rPr>
              <w:t xml:space="preserve"> in ≤1% of patients and is usually mild and transient. Monitoring patients´ fluid intake, particularly in hot climates, may </w:t>
            </w:r>
            <w:r w:rsidR="00E4761B" w:rsidRPr="003F36B5">
              <w:rPr>
                <w:rFonts w:ascii="Times New Roman" w:hAnsi="Times New Roman" w:cs="Times New Roman"/>
                <w:sz w:val="20"/>
                <w:szCs w:val="20"/>
              </w:rPr>
              <w:t>be helpful</w:t>
            </w:r>
            <w:r w:rsidRPr="003F36B5">
              <w:rPr>
                <w:rFonts w:ascii="Times New Roman" w:hAnsi="Times New Roman" w:cs="Times New Roman"/>
                <w:sz w:val="20"/>
                <w:szCs w:val="20"/>
              </w:rPr>
              <w:t>.</w:t>
            </w:r>
          </w:p>
          <w:p w14:paraId="22E4BE24" w14:textId="1050E29E" w:rsidR="00286658" w:rsidRPr="003F36B5" w:rsidRDefault="002006EB" w:rsidP="00E551A6">
            <w:pPr>
              <w:spacing w:after="120" w:line="480" w:lineRule="auto"/>
              <w:rPr>
                <w:rFonts w:ascii="Times New Roman" w:hAnsi="Times New Roman" w:cs="Times New Roman"/>
                <w:sz w:val="20"/>
                <w:szCs w:val="20"/>
              </w:rPr>
            </w:pPr>
            <w:r w:rsidRPr="003F36B5">
              <w:rPr>
                <w:rFonts w:ascii="Times New Roman" w:hAnsi="Times New Roman" w:cs="Times New Roman"/>
                <w:sz w:val="20"/>
                <w:szCs w:val="20"/>
              </w:rPr>
              <w:t>Haemolytic</w:t>
            </w:r>
            <w:r w:rsidR="00A43D1B" w:rsidRPr="003F36B5">
              <w:rPr>
                <w:rFonts w:ascii="Times New Roman" w:hAnsi="Times New Roman" w:cs="Times New Roman"/>
                <w:sz w:val="20"/>
                <w:szCs w:val="20"/>
              </w:rPr>
              <w:t xml:space="preserve"> </w:t>
            </w:r>
            <w:r w:rsidRPr="003F36B5">
              <w:rPr>
                <w:rFonts w:ascii="Times New Roman" w:hAnsi="Times New Roman" w:cs="Times New Roman"/>
                <w:sz w:val="20"/>
                <w:szCs w:val="20"/>
              </w:rPr>
              <w:t>anaemia</w:t>
            </w:r>
            <w:r w:rsidR="00A43D1B" w:rsidRPr="003F36B5">
              <w:rPr>
                <w:rFonts w:ascii="Times New Roman" w:hAnsi="Times New Roman" w:cs="Times New Roman"/>
                <w:sz w:val="20"/>
                <w:szCs w:val="20"/>
              </w:rPr>
              <w:t xml:space="preserve">, indicated by a falling </w:t>
            </w:r>
            <w:r w:rsidRPr="003F36B5">
              <w:rPr>
                <w:rFonts w:ascii="Times New Roman" w:hAnsi="Times New Roman" w:cs="Times New Roman"/>
                <w:sz w:val="20"/>
                <w:szCs w:val="20"/>
              </w:rPr>
              <w:t>haemoglobin</w:t>
            </w:r>
            <w:r w:rsidR="00A43D1B" w:rsidRPr="003F36B5">
              <w:rPr>
                <w:rFonts w:ascii="Times New Roman" w:hAnsi="Times New Roman" w:cs="Times New Roman"/>
                <w:sz w:val="20"/>
                <w:szCs w:val="20"/>
              </w:rPr>
              <w:t xml:space="preserve"> level, a positive Coombs test and other characteristic laboratory changes (such as increased lactate dehydrogenase and decreased haptoglobin), is a rare serious adverse event associated with apomorphine infusion. </w:t>
            </w:r>
            <w:r w:rsidR="00BB57EA" w:rsidRPr="003F36B5">
              <w:rPr>
                <w:rFonts w:ascii="Times New Roman" w:hAnsi="Times New Roman" w:cs="Times New Roman"/>
                <w:sz w:val="20"/>
                <w:szCs w:val="20"/>
              </w:rPr>
              <w:t xml:space="preserve">In clinical practice, in addition to blood checks, clinical signs should be monitored and patients should be educated about symptoms of </w:t>
            </w:r>
            <w:r w:rsidRPr="003F36B5">
              <w:rPr>
                <w:rFonts w:ascii="Times New Roman" w:hAnsi="Times New Roman" w:cs="Times New Roman"/>
                <w:sz w:val="20"/>
                <w:szCs w:val="20"/>
              </w:rPr>
              <w:t>anaemia</w:t>
            </w:r>
            <w:r w:rsidR="002D213B" w:rsidRPr="003F36B5">
              <w:rPr>
                <w:rFonts w:ascii="Times New Roman" w:hAnsi="Times New Roman" w:cs="Times New Roman"/>
                <w:sz w:val="20"/>
                <w:szCs w:val="20"/>
              </w:rPr>
              <w:t>.</w:t>
            </w:r>
            <w:r w:rsidR="00BB57EA" w:rsidRPr="003F36B5">
              <w:rPr>
                <w:rFonts w:ascii="Times New Roman" w:hAnsi="Times New Roman" w:cs="Times New Roman"/>
                <w:sz w:val="20"/>
                <w:szCs w:val="20"/>
              </w:rPr>
              <w:t xml:space="preserve"> </w:t>
            </w:r>
          </w:p>
        </w:tc>
      </w:tr>
      <w:tr w:rsidR="000C16D1" w:rsidRPr="003F36B5" w14:paraId="0C5227E4" w14:textId="77777777" w:rsidTr="00286658">
        <w:tc>
          <w:tcPr>
            <w:tcW w:w="3964" w:type="dxa"/>
          </w:tcPr>
          <w:p w14:paraId="01213E45" w14:textId="2DA93BB6" w:rsidR="000C16D1" w:rsidRPr="003F36B5" w:rsidRDefault="000C16D1" w:rsidP="00E551A6">
            <w:pPr>
              <w:spacing w:after="120" w:line="480" w:lineRule="auto"/>
              <w:rPr>
                <w:rFonts w:ascii="Times New Roman" w:hAnsi="Times New Roman" w:cs="Times New Roman"/>
                <w:b/>
                <w:bCs/>
                <w:sz w:val="20"/>
                <w:szCs w:val="20"/>
              </w:rPr>
            </w:pPr>
            <w:r w:rsidRPr="003F36B5">
              <w:rPr>
                <w:rFonts w:ascii="Times New Roman" w:hAnsi="Times New Roman" w:cs="Times New Roman"/>
                <w:b/>
                <w:bCs/>
                <w:sz w:val="20"/>
                <w:szCs w:val="20"/>
              </w:rPr>
              <w:t>Bolus function</w:t>
            </w:r>
          </w:p>
        </w:tc>
        <w:tc>
          <w:tcPr>
            <w:tcW w:w="9923" w:type="dxa"/>
          </w:tcPr>
          <w:p w14:paraId="735E8646" w14:textId="15D7EB4B" w:rsidR="000C16D1" w:rsidRPr="003F36B5" w:rsidRDefault="00CB3D90" w:rsidP="00E551A6">
            <w:pPr>
              <w:spacing w:after="120" w:line="480" w:lineRule="auto"/>
              <w:rPr>
                <w:rFonts w:ascii="Times New Roman" w:hAnsi="Times New Roman" w:cs="Times New Roman"/>
                <w:sz w:val="20"/>
                <w:szCs w:val="20"/>
              </w:rPr>
            </w:pPr>
            <w:r w:rsidRPr="003F36B5">
              <w:rPr>
                <w:rFonts w:ascii="Times New Roman" w:hAnsi="Times New Roman" w:cs="Times New Roman"/>
                <w:sz w:val="20"/>
                <w:szCs w:val="20"/>
              </w:rPr>
              <w:t xml:space="preserve">Occasional use of the bolus function of the </w:t>
            </w:r>
            <w:r w:rsidR="00D562D2" w:rsidRPr="003F36B5">
              <w:rPr>
                <w:rFonts w:ascii="Times New Roman" w:hAnsi="Times New Roman" w:cs="Times New Roman"/>
                <w:sz w:val="20"/>
                <w:szCs w:val="20"/>
              </w:rPr>
              <w:t>apomorphine</w:t>
            </w:r>
            <w:r w:rsidRPr="003F36B5">
              <w:rPr>
                <w:rFonts w:ascii="Times New Roman" w:hAnsi="Times New Roman" w:cs="Times New Roman"/>
                <w:sz w:val="20"/>
                <w:szCs w:val="20"/>
              </w:rPr>
              <w:t xml:space="preserve"> infusion pump is recommended, if </w:t>
            </w:r>
            <w:proofErr w:type="gramStart"/>
            <w:r w:rsidRPr="003F36B5">
              <w:rPr>
                <w:rFonts w:ascii="Times New Roman" w:hAnsi="Times New Roman" w:cs="Times New Roman"/>
                <w:sz w:val="20"/>
                <w:szCs w:val="20"/>
              </w:rPr>
              <w:t>necessary, since</w:t>
            </w:r>
            <w:proofErr w:type="gramEnd"/>
            <w:r w:rsidRPr="003F36B5">
              <w:rPr>
                <w:rFonts w:ascii="Times New Roman" w:hAnsi="Times New Roman" w:cs="Times New Roman"/>
                <w:sz w:val="20"/>
                <w:szCs w:val="20"/>
              </w:rPr>
              <w:t xml:space="preserve"> it increases the flexibility of treatment and empowers the patient (or carer if they administer this). Patients should be educated on situations where this may be appropriate. Frequent use (&gt;3 times </w:t>
            </w:r>
            <w:r w:rsidR="00B645EA" w:rsidRPr="003F36B5">
              <w:rPr>
                <w:rFonts w:ascii="Times New Roman" w:hAnsi="Times New Roman" w:cs="Times New Roman"/>
                <w:sz w:val="20"/>
                <w:szCs w:val="20"/>
              </w:rPr>
              <w:t>daily</w:t>
            </w:r>
            <w:r w:rsidRPr="003F36B5">
              <w:rPr>
                <w:rFonts w:ascii="Times New Roman" w:hAnsi="Times New Roman" w:cs="Times New Roman"/>
                <w:sz w:val="20"/>
                <w:szCs w:val="20"/>
              </w:rPr>
              <w:t>) suggests the hourly flow rate should be increased</w:t>
            </w:r>
          </w:p>
        </w:tc>
      </w:tr>
    </w:tbl>
    <w:p w14:paraId="1D179288" w14:textId="77777777" w:rsidR="008B4740" w:rsidRPr="003F36B5" w:rsidRDefault="008B4740">
      <w:pPr>
        <w:rPr>
          <w:rFonts w:ascii="Times New Roman" w:hAnsi="Times New Roman" w:cs="Times New Roman"/>
          <w:sz w:val="20"/>
          <w:szCs w:val="20"/>
        </w:rPr>
      </w:pPr>
    </w:p>
    <w:p w14:paraId="51D774C8" w14:textId="7EE85636" w:rsidR="0019149C" w:rsidRPr="003F36B5" w:rsidRDefault="008C76EC" w:rsidP="001D7945">
      <w:pPr>
        <w:pStyle w:val="EndNoteBibliography"/>
        <w:ind w:left="284" w:hanging="284"/>
        <w:rPr>
          <w:rFonts w:ascii="Times New Roman" w:hAnsi="Times New Roman" w:cs="Times New Roman"/>
          <w:noProof w:val="0"/>
          <w:szCs w:val="20"/>
          <w:lang w:val="en-GB"/>
        </w:rPr>
      </w:pPr>
      <w:r w:rsidRPr="003F36B5">
        <w:rPr>
          <w:rFonts w:ascii="Times New Roman" w:hAnsi="Times New Roman" w:cs="Times New Roman"/>
          <w:noProof w:val="0"/>
          <w:szCs w:val="20"/>
          <w:lang w:val="en-GB"/>
        </w:rPr>
        <w:t>1.</w:t>
      </w:r>
      <w:r w:rsidRPr="003F36B5">
        <w:rPr>
          <w:rFonts w:ascii="Times New Roman" w:hAnsi="Times New Roman" w:cs="Times New Roman"/>
          <w:noProof w:val="0"/>
          <w:szCs w:val="20"/>
          <w:lang w:val="en-GB"/>
        </w:rPr>
        <w:tab/>
      </w:r>
      <w:r w:rsidR="002006EB">
        <w:rPr>
          <w:rFonts w:ascii="Times New Roman" w:hAnsi="Times New Roman" w:cs="Times New Roman"/>
          <w:noProof w:val="0"/>
          <w:szCs w:val="20"/>
          <w:lang w:val="en-GB"/>
        </w:rPr>
        <w:t xml:space="preserve">European Medicine Agency (2014) </w:t>
      </w:r>
      <w:r w:rsidRPr="003F36B5">
        <w:rPr>
          <w:rFonts w:ascii="Times New Roman" w:hAnsi="Times New Roman" w:cs="Times New Roman"/>
          <w:noProof w:val="0"/>
          <w:szCs w:val="20"/>
          <w:lang w:val="en-GB"/>
        </w:rPr>
        <w:t xml:space="preserve">PRAC recommends restricting use of domperidone 2014. Available from: </w:t>
      </w:r>
      <w:hyperlink r:id="rId8" w:history="1">
        <w:r w:rsidR="00A11CAD" w:rsidRPr="003F36B5">
          <w:rPr>
            <w:rStyle w:val="Hyperlink"/>
            <w:rFonts w:ascii="Times New Roman" w:hAnsi="Times New Roman" w:cs="Times New Roman"/>
            <w:noProof w:val="0"/>
            <w:szCs w:val="20"/>
            <w:lang w:val="en-GB"/>
          </w:rPr>
          <w:t>http://www.ema.europa.eu/docs/en_GB/document_library/Referrals_document/Domperidone_31/Recommendation_provided_by_Pharmacovigilance_Risk_Assessment_Committee/WC500162559.pdf</w:t>
        </w:r>
      </w:hyperlink>
      <w:r w:rsidR="00A11CAD" w:rsidRPr="003F36B5">
        <w:rPr>
          <w:rFonts w:ascii="Times New Roman" w:hAnsi="Times New Roman" w:cs="Times New Roman"/>
          <w:noProof w:val="0"/>
          <w:szCs w:val="20"/>
          <w:lang w:val="en-GB"/>
        </w:rPr>
        <w:t xml:space="preserve"> </w:t>
      </w:r>
      <w:r w:rsidRPr="003F36B5">
        <w:rPr>
          <w:rFonts w:ascii="Times New Roman" w:hAnsi="Times New Roman" w:cs="Times New Roman"/>
          <w:noProof w:val="0"/>
          <w:szCs w:val="20"/>
          <w:lang w:val="en-GB"/>
        </w:rPr>
        <w:t xml:space="preserve"> </w:t>
      </w:r>
    </w:p>
    <w:sectPr w:rsidR="0019149C" w:rsidRPr="003F36B5" w:rsidSect="0028665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ova">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440CB"/>
    <w:multiLevelType w:val="hybridMultilevel"/>
    <w:tmpl w:val="E628192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446C0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808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98470218">
    <w:abstractNumId w:val="1"/>
  </w:num>
  <w:num w:numId="2" w16cid:durableId="1585803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Arial Nova&lt;/FontName&gt;&lt;FontSize&gt;10&lt;/FontSize&gt;&lt;ReflistTitle&gt;&lt;/ReflistTitle&gt;&lt;StartingRefnum&gt;1&lt;/StartingRefnum&gt;&lt;FirstLineIndent&gt;0&lt;/FirstLineIndent&gt;&lt;HangingIndent&gt;283&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86658"/>
    <w:rsid w:val="00042786"/>
    <w:rsid w:val="000A1DF3"/>
    <w:rsid w:val="000C16D1"/>
    <w:rsid w:val="000E5435"/>
    <w:rsid w:val="0015174E"/>
    <w:rsid w:val="0017281F"/>
    <w:rsid w:val="0019149C"/>
    <w:rsid w:val="001C1256"/>
    <w:rsid w:val="001D7945"/>
    <w:rsid w:val="002006EB"/>
    <w:rsid w:val="00243F43"/>
    <w:rsid w:val="002651A9"/>
    <w:rsid w:val="00286658"/>
    <w:rsid w:val="00293205"/>
    <w:rsid w:val="002D213B"/>
    <w:rsid w:val="003155E5"/>
    <w:rsid w:val="003B7A29"/>
    <w:rsid w:val="003F36B5"/>
    <w:rsid w:val="00423042"/>
    <w:rsid w:val="0047391A"/>
    <w:rsid w:val="00482234"/>
    <w:rsid w:val="00606059"/>
    <w:rsid w:val="00665893"/>
    <w:rsid w:val="006A207A"/>
    <w:rsid w:val="006E33BA"/>
    <w:rsid w:val="007336D7"/>
    <w:rsid w:val="0074103E"/>
    <w:rsid w:val="008B4740"/>
    <w:rsid w:val="008C76EC"/>
    <w:rsid w:val="008F1E70"/>
    <w:rsid w:val="00A11CAD"/>
    <w:rsid w:val="00A14D55"/>
    <w:rsid w:val="00A415AF"/>
    <w:rsid w:val="00A43D1B"/>
    <w:rsid w:val="00B15C66"/>
    <w:rsid w:val="00B645EA"/>
    <w:rsid w:val="00BA69D3"/>
    <w:rsid w:val="00BB57EA"/>
    <w:rsid w:val="00C059F0"/>
    <w:rsid w:val="00CB3D90"/>
    <w:rsid w:val="00CD73D7"/>
    <w:rsid w:val="00D562D2"/>
    <w:rsid w:val="00E4761B"/>
    <w:rsid w:val="00E551A6"/>
    <w:rsid w:val="00E72790"/>
    <w:rsid w:val="00ED1130"/>
    <w:rsid w:val="00EF3B92"/>
    <w:rsid w:val="00F52CA3"/>
    <w:rsid w:val="00F620B1"/>
    <w:rsid w:val="00FC3A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3666C"/>
  <w15:chartTrackingRefBased/>
  <w15:docId w15:val="{32E994E2-36CF-4269-9595-4CFD44170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ova" w:eastAsiaTheme="minorHAnsi" w:hAnsi="Arial Nov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658"/>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6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28665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28665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2866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286658"/>
    <w:rPr>
      <w:sz w:val="16"/>
      <w:szCs w:val="16"/>
    </w:rPr>
  </w:style>
  <w:style w:type="paragraph" w:styleId="CommentText">
    <w:name w:val="annotation text"/>
    <w:basedOn w:val="Normal"/>
    <w:link w:val="CommentTextChar"/>
    <w:uiPriority w:val="99"/>
    <w:unhideWhenUsed/>
    <w:rsid w:val="00286658"/>
    <w:pPr>
      <w:spacing w:line="240" w:lineRule="auto"/>
    </w:pPr>
    <w:rPr>
      <w:sz w:val="20"/>
      <w:szCs w:val="20"/>
    </w:rPr>
  </w:style>
  <w:style w:type="character" w:customStyle="1" w:styleId="CommentTextChar">
    <w:name w:val="Comment Text Char"/>
    <w:basedOn w:val="DefaultParagraphFont"/>
    <w:link w:val="CommentText"/>
    <w:uiPriority w:val="99"/>
    <w:rsid w:val="00286658"/>
    <w:rPr>
      <w:rFonts w:asciiTheme="minorHAnsi" w:hAnsiTheme="minorHAnsi"/>
      <w:sz w:val="20"/>
      <w:szCs w:val="20"/>
    </w:rPr>
  </w:style>
  <w:style w:type="paragraph" w:styleId="ListParagraph">
    <w:name w:val="List Paragraph"/>
    <w:basedOn w:val="Normal"/>
    <w:link w:val="ListParagraphChar"/>
    <w:uiPriority w:val="34"/>
    <w:qFormat/>
    <w:rsid w:val="00286658"/>
    <w:pPr>
      <w:ind w:left="720"/>
      <w:contextualSpacing/>
    </w:pPr>
  </w:style>
  <w:style w:type="character" w:customStyle="1" w:styleId="ListParagraphChar">
    <w:name w:val="List Paragraph Char"/>
    <w:basedOn w:val="DefaultParagraphFont"/>
    <w:link w:val="ListParagraph"/>
    <w:uiPriority w:val="34"/>
    <w:rsid w:val="00286658"/>
    <w:rPr>
      <w:rFonts w:asciiTheme="minorHAnsi" w:hAnsiTheme="minorHAnsi"/>
    </w:rPr>
  </w:style>
  <w:style w:type="paragraph" w:customStyle="1" w:styleId="EndNoteBibliographyTitle">
    <w:name w:val="EndNote Bibliography Title"/>
    <w:basedOn w:val="Normal"/>
    <w:link w:val="EndNoteBibliographyTitleChar"/>
    <w:rsid w:val="008B4740"/>
    <w:pPr>
      <w:spacing w:after="0"/>
      <w:jc w:val="center"/>
    </w:pPr>
    <w:rPr>
      <w:rFonts w:ascii="Arial Nova" w:hAnsi="Arial Nova" w:cs="Calibri"/>
      <w:noProof/>
      <w:sz w:val="20"/>
      <w:lang w:val="en-US"/>
    </w:rPr>
  </w:style>
  <w:style w:type="character" w:customStyle="1" w:styleId="EndNoteBibliographyTitleChar">
    <w:name w:val="EndNote Bibliography Title Char"/>
    <w:basedOn w:val="DefaultParagraphFont"/>
    <w:link w:val="EndNoteBibliographyTitle"/>
    <w:rsid w:val="008B4740"/>
    <w:rPr>
      <w:rFonts w:cs="Calibri"/>
      <w:noProof/>
      <w:sz w:val="20"/>
      <w:lang w:val="en-US"/>
    </w:rPr>
  </w:style>
  <w:style w:type="paragraph" w:customStyle="1" w:styleId="EndNoteBibliography">
    <w:name w:val="EndNote Bibliography"/>
    <w:basedOn w:val="Normal"/>
    <w:link w:val="EndNoteBibliographyChar"/>
    <w:rsid w:val="008B4740"/>
    <w:pPr>
      <w:spacing w:line="240" w:lineRule="auto"/>
    </w:pPr>
    <w:rPr>
      <w:rFonts w:ascii="Arial Nova" w:hAnsi="Arial Nova" w:cs="Calibri"/>
      <w:noProof/>
      <w:sz w:val="20"/>
      <w:lang w:val="en-US"/>
    </w:rPr>
  </w:style>
  <w:style w:type="character" w:customStyle="1" w:styleId="EndNoteBibliographyChar">
    <w:name w:val="EndNote Bibliography Char"/>
    <w:basedOn w:val="DefaultParagraphFont"/>
    <w:link w:val="EndNoteBibliography"/>
    <w:rsid w:val="008B4740"/>
    <w:rPr>
      <w:rFonts w:cs="Calibri"/>
      <w:noProof/>
      <w:sz w:val="20"/>
      <w:lang w:val="en-US"/>
    </w:rPr>
  </w:style>
  <w:style w:type="character" w:styleId="Hyperlink">
    <w:name w:val="Hyperlink"/>
    <w:basedOn w:val="DefaultParagraphFont"/>
    <w:uiPriority w:val="99"/>
    <w:unhideWhenUsed/>
    <w:rsid w:val="00C059F0"/>
    <w:rPr>
      <w:color w:val="0563C1" w:themeColor="hyperlink"/>
      <w:u w:val="single"/>
    </w:rPr>
  </w:style>
  <w:style w:type="character" w:styleId="UnresolvedMention">
    <w:name w:val="Unresolved Mention"/>
    <w:basedOn w:val="DefaultParagraphFont"/>
    <w:uiPriority w:val="99"/>
    <w:semiHidden/>
    <w:unhideWhenUsed/>
    <w:rsid w:val="00C059F0"/>
    <w:rPr>
      <w:color w:val="605E5C"/>
      <w:shd w:val="clear" w:color="auto" w:fill="E1DFDD"/>
    </w:rPr>
  </w:style>
  <w:style w:type="paragraph" w:styleId="Revision">
    <w:name w:val="Revision"/>
    <w:hidden/>
    <w:uiPriority w:val="99"/>
    <w:semiHidden/>
    <w:rsid w:val="0047391A"/>
    <w:pPr>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Referrals_document/Domperidone_31/Recommendation_provided_by_Pharmacovigilance_Risk_Assessment_Committee/WC500162559.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45D278BD72645B91D519F4F5564C7" ma:contentTypeVersion="15" ma:contentTypeDescription="Create a new document." ma:contentTypeScope="" ma:versionID="0fadd096a06eb3790b2c937139d02b30">
  <xsd:schema xmlns:xsd="http://www.w3.org/2001/XMLSchema" xmlns:xs="http://www.w3.org/2001/XMLSchema" xmlns:p="http://schemas.microsoft.com/office/2006/metadata/properties" xmlns:ns2="18bf0e62-cafd-493e-add0-44985514c7f6" xmlns:ns3="72083077-ab1d-44d3-a72c-aeaa285fb4db" targetNamespace="http://schemas.microsoft.com/office/2006/metadata/properties" ma:root="true" ma:fieldsID="bc786c57702f81fca36b0e10cae8d463" ns2:_="" ns3:_="">
    <xsd:import namespace="18bf0e62-cafd-493e-add0-44985514c7f6"/>
    <xsd:import namespace="72083077-ab1d-44d3-a72c-aeaa285fb4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f0e62-cafd-493e-add0-44985514c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fa4468-9b26-4936-9cc8-4fd1b59c4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083077-ab1d-44d3-a72c-aeaa285fb4d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ac074bd-fce4-4171-b87c-cec6893d1e2f}" ma:internalName="TaxCatchAll" ma:showField="CatchAllData" ma:web="72083077-ab1d-44d3-a72c-aeaa285fb4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bf0e62-cafd-493e-add0-44985514c7f6">
      <Terms xmlns="http://schemas.microsoft.com/office/infopath/2007/PartnerControls"/>
    </lcf76f155ced4ddcb4097134ff3c332f>
    <TaxCatchAll xmlns="72083077-ab1d-44d3-a72c-aeaa285fb4db" xsi:nil="true"/>
  </documentManagement>
</p:properties>
</file>

<file path=customXml/itemProps1.xml><?xml version="1.0" encoding="utf-8"?>
<ds:datastoreItem xmlns:ds="http://schemas.openxmlformats.org/officeDocument/2006/customXml" ds:itemID="{902D1F28-B3CE-49B3-ABB9-88CD3A8FD3AA}"/>
</file>

<file path=customXml/itemProps2.xml><?xml version="1.0" encoding="utf-8"?>
<ds:datastoreItem xmlns:ds="http://schemas.openxmlformats.org/officeDocument/2006/customXml" ds:itemID="{EEA30ED9-F81F-422A-9844-14AAB9CB62FC}">
  <ds:schemaRefs>
    <ds:schemaRef ds:uri="http://schemas.microsoft.com/sharepoint/v3/contenttype/forms"/>
  </ds:schemaRefs>
</ds:datastoreItem>
</file>

<file path=customXml/itemProps3.xml><?xml version="1.0" encoding="utf-8"?>
<ds:datastoreItem xmlns:ds="http://schemas.openxmlformats.org/officeDocument/2006/customXml" ds:itemID="{2AF612E4-3E6C-46E4-AEF8-E05A47945E56}">
  <ds:schemaRefs>
    <ds:schemaRef ds:uri="http://schemas.microsoft.com/office/2006/metadata/properties"/>
    <ds:schemaRef ds:uri="http://schemas.microsoft.com/office/infopath/2007/PartnerControls"/>
    <ds:schemaRef ds:uri="18bf0e62-cafd-493e-add0-44985514c7f6"/>
    <ds:schemaRef ds:uri="72083077-ab1d-44d3-a72c-aeaa285fb4d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Wolstencroft</dc:creator>
  <cp:keywords/>
  <dc:description/>
  <cp:lastModifiedBy>Dr Karen Wolstencroft</cp:lastModifiedBy>
  <cp:revision>3</cp:revision>
  <dcterms:created xsi:type="dcterms:W3CDTF">2023-08-13T15:53:00Z</dcterms:created>
  <dcterms:modified xsi:type="dcterms:W3CDTF">2023-08-13T15:54:00Z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0x01010064045D278BD72645B91D519F4F5564C7</vt:lpwstr>
  </property>
  <property fmtid="{D5CDD505-2E9C-101B-9397-08002B2CF9AE}" pid="3" name="MediaServiceImageTags">
    <vt:lpwstr/>
  </property>
</Properties>
</file>