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945" w:rsidRPr="00AE3043" w:rsidRDefault="003A3945" w:rsidP="003A3945">
      <w:pPr>
        <w:pStyle w:val="Heading5"/>
        <w:rPr>
          <w:b/>
          <w:lang w:val="en-GB"/>
        </w:rPr>
      </w:pPr>
      <w:r w:rsidRPr="00AE3043">
        <w:rPr>
          <w:b/>
          <w:lang w:val="en-GB"/>
        </w:rPr>
        <w:t xml:space="preserve">Supplementary Table 1. Early </w:t>
      </w:r>
      <w:proofErr w:type="spellStart"/>
      <w:r w:rsidRPr="00AE3043">
        <w:rPr>
          <w:b/>
          <w:lang w:val="en-GB"/>
        </w:rPr>
        <w:t>behavioral</w:t>
      </w:r>
      <w:proofErr w:type="spellEnd"/>
      <w:r w:rsidRPr="00AE3043">
        <w:rPr>
          <w:b/>
          <w:lang w:val="en-GB"/>
        </w:rPr>
        <w:t xml:space="preserve"> markers of motor delays and probable DCD: sensitivity, specificity</w:t>
      </w:r>
    </w:p>
    <w:p w:rsidR="003A3945" w:rsidRPr="00AE3043" w:rsidRDefault="003A3945" w:rsidP="003A3945">
      <w:pPr>
        <w:rPr>
          <w:sz w:val="18"/>
          <w:szCs w:val="18"/>
          <w:lang w:val="en-GB"/>
        </w:rPr>
      </w:pPr>
      <w:r w:rsidRPr="00AE3043">
        <w:rPr>
          <w:sz w:val="18"/>
          <w:szCs w:val="18"/>
          <w:lang w:val="en-GB"/>
        </w:rPr>
        <w:t xml:space="preserve">This table provides a detailed breakdown of Table 1, listing early </w:t>
      </w:r>
      <w:proofErr w:type="spellStart"/>
      <w:r w:rsidRPr="00AE3043">
        <w:rPr>
          <w:sz w:val="18"/>
          <w:szCs w:val="18"/>
          <w:lang w:val="en-GB"/>
        </w:rPr>
        <w:t>behavioral</w:t>
      </w:r>
      <w:proofErr w:type="spellEnd"/>
      <w:r w:rsidRPr="00AE3043">
        <w:rPr>
          <w:sz w:val="18"/>
          <w:szCs w:val="18"/>
          <w:lang w:val="en-GB"/>
        </w:rPr>
        <w:t xml:space="preserve"> markers for general motor delays (sorted by sensitivity) and for probable DCD (sorted by specificity), along with the earliest assessed age. For each study, sample size</w:t>
      </w:r>
      <w:r>
        <w:rPr>
          <w:sz w:val="18"/>
          <w:szCs w:val="18"/>
          <w:lang w:val="en-GB"/>
        </w:rPr>
        <w:t>s</w:t>
      </w:r>
      <w:r w:rsidRPr="00AE3043">
        <w:rPr>
          <w:sz w:val="18"/>
          <w:szCs w:val="18"/>
          <w:lang w:val="en-GB"/>
        </w:rPr>
        <w:t xml:space="preserve"> is reported. The clinical relevance of each assessment is evaluated across several dimensions: clinical practicability, cost/accessibility (based on current EU/US values), mean duration, required training, and equipment.</w:t>
      </w:r>
    </w:p>
    <w:p w:rsidR="003A3945" w:rsidRPr="00AE3043" w:rsidRDefault="003A3945" w:rsidP="003A3945">
      <w:pPr>
        <w:rPr>
          <w:sz w:val="18"/>
          <w:szCs w:val="18"/>
          <w:lang w:val="en-GB"/>
        </w:rPr>
      </w:pPr>
      <w:r w:rsidRPr="00AE3043">
        <w:rPr>
          <w:sz w:val="18"/>
          <w:szCs w:val="18"/>
          <w:lang w:val="en-GB"/>
        </w:rPr>
        <w:t xml:space="preserve">To define the basis for specificity, DSM-5 diagnostic criteria for DCD were considered in the post-test phase. As most studies did not confirm DCD via a full diagnostic process but relied on MABC-2 scores alone, only “probable DCD” specificity </w:t>
      </w:r>
      <w:r>
        <w:rPr>
          <w:sz w:val="18"/>
          <w:szCs w:val="18"/>
          <w:lang w:val="en-GB"/>
        </w:rPr>
        <w:t xml:space="preserve">measures </w:t>
      </w:r>
      <w:r w:rsidRPr="00AE3043">
        <w:rPr>
          <w:sz w:val="18"/>
          <w:szCs w:val="18"/>
          <w:lang w:val="en-GB"/>
        </w:rPr>
        <w:t>are mentioned. The corresponding DSM-5 criterion is noted for each assessment: Criterion A (motor skills) or Criterion B (impact on daily life).</w:t>
      </w:r>
    </w:p>
    <w:p w:rsidR="003A3945" w:rsidRPr="00AE3043" w:rsidRDefault="003A3945" w:rsidP="003A3945">
      <w:pPr>
        <w:rPr>
          <w:sz w:val="18"/>
          <w:szCs w:val="18"/>
          <w:lang w:val="en-GB"/>
        </w:rPr>
      </w:pPr>
      <w:r w:rsidRPr="00AE3043">
        <w:rPr>
          <w:sz w:val="18"/>
          <w:szCs w:val="18"/>
          <w:lang w:val="en-GB"/>
        </w:rPr>
        <w:t xml:space="preserve">Reported cut-off values are included for each initial assessment. Area </w:t>
      </w:r>
      <w:proofErr w:type="gramStart"/>
      <w:r w:rsidRPr="00AE3043">
        <w:rPr>
          <w:sz w:val="18"/>
          <w:szCs w:val="18"/>
          <w:lang w:val="en-GB"/>
        </w:rPr>
        <w:t>Under</w:t>
      </w:r>
      <w:proofErr w:type="gramEnd"/>
      <w:r w:rsidRPr="00AE3043">
        <w:rPr>
          <w:sz w:val="18"/>
          <w:szCs w:val="18"/>
          <w:lang w:val="en-GB"/>
        </w:rPr>
        <w:t xml:space="preserve"> the Curve (AUC), when provided or calculable, reflects overall diagnostic accuracy (higher = better). Missing values for sensitivity, specificity, or AUC were derived from available data when applicable.</w:t>
      </w:r>
    </w:p>
    <w:p w:rsidR="003A3945" w:rsidRPr="00AE3043" w:rsidRDefault="003A3945" w:rsidP="003A3945">
      <w:pPr>
        <w:rPr>
          <w:sz w:val="18"/>
          <w:szCs w:val="18"/>
        </w:rPr>
      </w:pPr>
      <w:r w:rsidRPr="00AE3043">
        <w:rPr>
          <w:sz w:val="18"/>
          <w:szCs w:val="18"/>
          <w:lang w:val="en-GB"/>
        </w:rPr>
        <w:t>E</w:t>
      </w:r>
      <w:proofErr w:type="spellStart"/>
      <w:r w:rsidRPr="00AE3043">
        <w:rPr>
          <w:sz w:val="18"/>
          <w:szCs w:val="18"/>
        </w:rPr>
        <w:t>arly</w:t>
      </w:r>
      <w:proofErr w:type="spellEnd"/>
      <w:r w:rsidRPr="00AE3043">
        <w:rPr>
          <w:sz w:val="18"/>
          <w:szCs w:val="18"/>
        </w:rPr>
        <w:t xml:space="preserve"> screening tools should prioritize sensitivity (i.e., detecting all children with motor difficulties) and negative predictive value (NPV; i.e., confidently excluding low-risk children). Late screening tools should prioritize specificity (i.e., detect only children with DCD) and positive predictive value (PPV; i.e.</w:t>
      </w:r>
      <w:r>
        <w:rPr>
          <w:sz w:val="18"/>
          <w:szCs w:val="18"/>
        </w:rPr>
        <w:t>,</w:t>
      </w:r>
      <w:r w:rsidRPr="00AE3043">
        <w:rPr>
          <w:sz w:val="18"/>
          <w:szCs w:val="18"/>
        </w:rPr>
        <w:t xml:space="preserve"> confidently include children needing intervention, avoiding over-medicalization). </w:t>
      </w:r>
    </w:p>
    <w:p w:rsidR="003A3945" w:rsidRPr="00AE3043" w:rsidRDefault="003A3945" w:rsidP="003A3945">
      <w:pPr>
        <w:rPr>
          <w:rFonts w:eastAsia="Times New Roman"/>
          <w:sz w:val="18"/>
          <w:szCs w:val="18"/>
          <w:lang w:val="en-GB"/>
        </w:rPr>
      </w:pPr>
      <w:r w:rsidRPr="00AE3043">
        <w:rPr>
          <w:rFonts w:eastAsia="Times New Roman"/>
          <w:sz w:val="18"/>
          <w:szCs w:val="18"/>
          <w:lang w:val="fr-FR"/>
        </w:rPr>
        <w:t>ᵃ</w:t>
      </w:r>
      <w:r w:rsidRPr="00AE3043">
        <w:rPr>
          <w:rFonts w:eastAsia="Times New Roman"/>
          <w:sz w:val="18"/>
          <w:szCs w:val="18"/>
          <w:lang w:val="en-GB"/>
        </w:rPr>
        <w:t xml:space="preserve"> </w:t>
      </w:r>
      <w:r w:rsidRPr="004241B8">
        <w:rPr>
          <w:sz w:val="18"/>
          <w:szCs w:val="18"/>
          <w:lang w:val="en-GB"/>
        </w:rPr>
        <w:t xml:space="preserve">For the LDCD-Q, studies reported varying sensitivity/specificity values across countries: </w:t>
      </w:r>
      <w:bookmarkStart w:id="0" w:name="_Hlk210743964"/>
      <w:r w:rsidRPr="004241B8">
        <w:rPr>
          <w:sz w:val="18"/>
          <w:szCs w:val="18"/>
          <w:lang w:val="en-GB"/>
        </w:rPr>
        <w:t xml:space="preserve">86%/63% (Canada, </w:t>
      </w:r>
      <w:r w:rsidRPr="004241B8">
        <w:rPr>
          <w:sz w:val="18"/>
          <w:szCs w:val="18"/>
          <w:lang w:val="en-GB"/>
        </w:rPr>
        <w:fldChar w:fldCharType="begin"/>
      </w:r>
      <w:r>
        <w:rPr>
          <w:sz w:val="18"/>
          <w:szCs w:val="18"/>
          <w:lang w:val="en-GB"/>
        </w:rPr>
        <w:instrText xml:space="preserve"> ADDIN ZOTERO_ITEM CSL_CITATION {"citationID":"OG8MzuHu","properties":{"formattedCitation":"(Wilson et al., 2015)","plainCitation":"(Wilson et al., 2015)","dontUpdate":true,"noteIndex":0},"citationItems":[{"id":445,"uris":["http://zotero.org/users/12220331/items/BGWAED9W"],"itemData":{"id":445,"type":"article-journal","container-title":"Physical &amp; Occupational Therapy In Pediatrics","DOI":"10.3109/01942638.2014.980928","ISSN":"0194-2638, 1541-3144","issue":"2","journalAbbreviation":"Physical &amp; Occupational Therapy In Pediatrics","language":"en","page":"116-131","source":"DOI.org (Crossref)","title":"Psychometric Properties of the Canadian Little Developmental Coordination Disorder Questionnaire for Preschool Children","volume":"35","author":[{"family":"Wilson","given":"Brenda N."},{"family":"Creighton","given":"Dianne"},{"family":"Crawford","given":"Susan G."},{"family":"Heath","given":"Jennifer A."},{"family":"Semple","given":"Lisa"},{"family":"Tan","given":"Benjamin"},{"family":"Hansen","given":"Shannon"}],"issued":{"date-parts":[["2015",4,3]]}}}],"schema":"https://github.com/citation-style-language/schema/raw/master/csl-citation.json"} </w:instrText>
      </w:r>
      <w:r w:rsidRPr="004241B8">
        <w:rPr>
          <w:sz w:val="18"/>
          <w:szCs w:val="18"/>
          <w:lang w:val="en-GB"/>
        </w:rPr>
        <w:fldChar w:fldCharType="separate"/>
      </w:r>
      <w:r w:rsidRPr="004241B8">
        <w:rPr>
          <w:sz w:val="18"/>
          <w:szCs w:val="18"/>
          <w:lang w:val="en-GB"/>
        </w:rPr>
        <w:t>Wilson et al., 2015)</w:t>
      </w:r>
      <w:r w:rsidRPr="004241B8">
        <w:rPr>
          <w:sz w:val="18"/>
          <w:szCs w:val="18"/>
          <w:lang w:val="en-GB"/>
        </w:rPr>
        <w:fldChar w:fldCharType="end"/>
      </w:r>
      <w:r w:rsidRPr="004241B8">
        <w:rPr>
          <w:sz w:val="18"/>
          <w:szCs w:val="18"/>
          <w:lang w:val="en-GB"/>
        </w:rPr>
        <w:t xml:space="preserve">; 80%/40% </w:t>
      </w:r>
      <w:r w:rsidRPr="004241B8">
        <w:rPr>
          <w:sz w:val="18"/>
          <w:szCs w:val="18"/>
          <w:lang w:val="en-GB"/>
        </w:rPr>
        <w:fldChar w:fldCharType="begin"/>
      </w:r>
      <w:r w:rsidRPr="004241B8">
        <w:rPr>
          <w:sz w:val="18"/>
          <w:szCs w:val="18"/>
          <w:lang w:val="en-GB"/>
        </w:rPr>
        <w:instrText xml:space="preserve"> ADDIN ZOTERO_ITEM CSL_CITATION {"citationID":"9tTcAzS6","properties":{"formattedCitation":"(Cantell et al., 2019)","plainCitation":"(Cantell et al., 2019)","dontUpdate":true,"noteIndex":0},"citationItems":[{"id":446,"uris":["http://zotero.org/users/12220331/items/8LWRB39T"],"itemData":{"id":446,"type":"article-journal","container-title":"Research in Developmental Disabilities","DOI":"10.1016/j.ridd.2018.02.010","ISSN":"08914222","journalAbbreviation":"Research in Developmental Disabilities","language":"en","page":"28-35","source":"DOI.org (Crossref)","title":"Age-related validity and reliability of the Dutch Little Developmental Coordination Disorder Questionnaire (LDCDQ-NL)","volume":"84","author":[{"family":"Cantell","given":"Marja"},{"family":"Houwen","given":"Suzanne"},{"family":"Schoemaker","given":"Marina"}],"issued":{"date-parts":[["2019",1]]}}}],"schema":"https://github.com/citation-style-language/schema/raw/master/csl-citation.json"} </w:instrText>
      </w:r>
      <w:r w:rsidRPr="004241B8">
        <w:rPr>
          <w:sz w:val="18"/>
          <w:szCs w:val="18"/>
          <w:lang w:val="en-GB"/>
        </w:rPr>
        <w:fldChar w:fldCharType="separate"/>
      </w:r>
      <w:r w:rsidRPr="004241B8">
        <w:rPr>
          <w:sz w:val="18"/>
          <w:szCs w:val="18"/>
          <w:lang w:val="en-GB"/>
        </w:rPr>
        <w:t>(Netherland</w:t>
      </w:r>
      <w:r>
        <w:rPr>
          <w:sz w:val="18"/>
          <w:szCs w:val="18"/>
          <w:lang w:val="en-GB"/>
        </w:rPr>
        <w:t>s</w:t>
      </w:r>
      <w:r w:rsidRPr="004241B8">
        <w:rPr>
          <w:sz w:val="18"/>
          <w:szCs w:val="18"/>
          <w:lang w:val="en-GB"/>
        </w:rPr>
        <w:t xml:space="preserve">, </w:t>
      </w:r>
      <w:proofErr w:type="spellStart"/>
      <w:r w:rsidRPr="004241B8">
        <w:rPr>
          <w:sz w:val="18"/>
          <w:szCs w:val="18"/>
          <w:lang w:val="en-GB"/>
        </w:rPr>
        <w:t>Cantell</w:t>
      </w:r>
      <w:proofErr w:type="spellEnd"/>
      <w:r w:rsidRPr="004241B8">
        <w:rPr>
          <w:sz w:val="18"/>
          <w:szCs w:val="18"/>
          <w:lang w:val="en-GB"/>
        </w:rPr>
        <w:t xml:space="preserve"> et al., 2019)</w:t>
      </w:r>
      <w:r w:rsidRPr="004241B8">
        <w:rPr>
          <w:sz w:val="18"/>
          <w:szCs w:val="18"/>
          <w:lang w:val="en-GB"/>
        </w:rPr>
        <w:fldChar w:fldCharType="end"/>
      </w:r>
      <w:r w:rsidRPr="004241B8">
        <w:rPr>
          <w:sz w:val="18"/>
          <w:szCs w:val="18"/>
          <w:lang w:val="en-GB"/>
        </w:rPr>
        <w:t>; 96%/68% (Taiwan,</w:t>
      </w:r>
      <w:r w:rsidRPr="004241B8">
        <w:rPr>
          <w:sz w:val="18"/>
          <w:szCs w:val="18"/>
          <w:lang w:val="en-GB"/>
        </w:rPr>
        <w:fldChar w:fldCharType="begin"/>
      </w:r>
      <w:r w:rsidRPr="004241B8">
        <w:rPr>
          <w:sz w:val="18"/>
          <w:szCs w:val="18"/>
          <w:lang w:val="en-GB"/>
        </w:rPr>
        <w:instrText xml:space="preserve"> ADDIN ZOTERO_ITEM CSL_CITATION {"citationID":"y48zeGB1","properties":{"formattedCitation":"(Fu et al., 2022)","plainCitation":"(Fu et al., 2022)","dontUpdate":true,"noteIndex":0},"citationItems":[{"id":448,"uris":["http://zotero.org/users/12220331/items/GYAHQVHV"],"itemData":{"id":448,"type":"article-journal","abstract":"Abstract\n            Importance: Early identification of young children at risk of developmental coordination disorder (DCD) can support early intervention and prevent secondary sequelae.\n            Objective: To examine the psychometric properties of a translated and cross-culturally adapted version of the Little Developmental Coordination Disorder Questionnaire–Taiwan (LDCDQ–TW).\n            Design: Prospective study.\n            Setting: Kindergartens and preschools in north, central, and south Taiwan.\n            Participants: In Phase 1 the participants were 1,124 parents of typically developing children ages 36–71 mo. Children with confirmed developmental diagnoses were excluded. Participants in Phase 3 were 162 children who had been recruited in Phase 2.\n            Outcomes and Measures: The LDCDQ–TW, a 15-item parent questionnaire for identifying children at risk for DCD, and the Movement Assessment Battery for Children (2nd ed.; MABC–2), were administered.\n            Results: The findings revealed excellent test–retest reliability (intraclass correlation coefficient [ICC] = .97) and poor interrater reliability (ICC = .47). On the basis of MABC–2 scores, the non-DCD group (≥15th percentile) scored significantly higher than the DCD and suspect-DCD groups on the LDCDQ–TW, but the latter two groups did not differ from one another. Using the 15th percentile as a cutoff for both the MABC–2 and the LDCDQ–TW, sensitivity was .96 and specificity was .68.\n            Conclusions and Relevance: Although standardized performance-based assessments are required to confirm a diagnosis of DCD (typically after age 5 yr), the LDCDQ–TW demonstrated sound reliability and validity and can support the early identification of young children at risk of DCD in Taiwan.\n            What This Article Adds: The LDCDQ–TW can facilitate early intervention for DCD and prevent secondary sequelae, improving outcomes for children with DCD.","container-title":"The American Journal of Occupational Therapy","DOI":"10.5014/ajot.2022.047159","ISSN":"0272-9490, 1943-7676","issue":"2","language":"en","page":"7602205050","source":"DOI.org (Crossref)","title":"Psychometric Properties of the Little Developmental Coordination Disorder Questionnaire–Taiwan","volume":"76","author":[{"family":"Fu","given":"Chung-Pei"},{"family":"Tseng","given":"Mei-Hui"},{"family":"Cermak","given":"Sharon"},{"family":"Chung","given":"Tzu-Han"},{"family":"Chen","given":"Yu-Lan"},{"family":"Lu","given":"Lu"},{"family":"Shieh","given":"Jeng-Yi"},{"family":"Rihtman","given":"Tanya"}],"issued":{"date-parts":[["2022",3,1]]}}}],"schema":"https://github.com/citation-style-language/schema/raw/master/csl-citation.json"} </w:instrText>
      </w:r>
      <w:r w:rsidRPr="004241B8">
        <w:rPr>
          <w:sz w:val="18"/>
          <w:szCs w:val="18"/>
          <w:lang w:val="en-GB"/>
        </w:rPr>
        <w:fldChar w:fldCharType="separate"/>
      </w:r>
      <w:r w:rsidRPr="004241B8">
        <w:rPr>
          <w:sz w:val="18"/>
          <w:szCs w:val="18"/>
        </w:rPr>
        <w:t>Fu et al., 2022</w:t>
      </w:r>
      <w:r w:rsidRPr="004241B8">
        <w:rPr>
          <w:sz w:val="18"/>
          <w:szCs w:val="18"/>
          <w:lang w:val="en-GB"/>
        </w:rPr>
        <w:fldChar w:fldCharType="end"/>
      </w:r>
      <w:r w:rsidRPr="004241B8">
        <w:rPr>
          <w:sz w:val="18"/>
          <w:szCs w:val="18"/>
          <w:lang w:val="en-GB"/>
        </w:rPr>
        <w:t>)</w:t>
      </w:r>
      <w:r>
        <w:rPr>
          <w:sz w:val="18"/>
          <w:szCs w:val="18"/>
          <w:lang w:val="en-GB"/>
        </w:rPr>
        <w:t xml:space="preserve">, 79%/65% (Italy, </w:t>
      </w:r>
      <w:proofErr w:type="spellStart"/>
      <w:r>
        <w:rPr>
          <w:sz w:val="18"/>
          <w:szCs w:val="18"/>
          <w:lang w:val="en-GB"/>
        </w:rPr>
        <w:t>Caravale</w:t>
      </w:r>
      <w:proofErr w:type="spellEnd"/>
      <w:r>
        <w:rPr>
          <w:sz w:val="18"/>
          <w:szCs w:val="18"/>
          <w:lang w:val="en-GB"/>
        </w:rPr>
        <w:t xml:space="preserve"> et al; 2025).</w:t>
      </w:r>
      <w:bookmarkEnd w:id="0"/>
    </w:p>
    <w:p w:rsidR="003A3945" w:rsidRPr="00AE3043" w:rsidRDefault="003A3945" w:rsidP="003A3945">
      <w:pPr>
        <w:rPr>
          <w:rFonts w:eastAsia="Times New Roman"/>
          <w:sz w:val="18"/>
          <w:szCs w:val="18"/>
          <w:lang w:val="en-GB"/>
        </w:rPr>
      </w:pPr>
      <w:r w:rsidRPr="00AE3043">
        <w:rPr>
          <w:rFonts w:eastAsia="Times New Roman"/>
          <w:sz w:val="18"/>
          <w:szCs w:val="18"/>
          <w:lang w:val="fr-FR"/>
        </w:rPr>
        <w:t>ᵇ</w:t>
      </w:r>
      <w:r w:rsidRPr="00AE3043">
        <w:rPr>
          <w:rFonts w:eastAsia="Times New Roman"/>
          <w:sz w:val="18"/>
          <w:szCs w:val="18"/>
          <w:lang w:val="en-GB"/>
        </w:rPr>
        <w:t xml:space="preserve"> Standard cut-off defined as −1 SD; no predictive values reported using optimized thresholds.</w:t>
      </w:r>
    </w:p>
    <w:p w:rsidR="003A3945" w:rsidRPr="00AE3043" w:rsidRDefault="003A3945" w:rsidP="003A3945">
      <w:pPr>
        <w:rPr>
          <w:rFonts w:eastAsia="Times New Roman"/>
          <w:sz w:val="18"/>
          <w:szCs w:val="18"/>
          <w:lang w:val="en-GB"/>
        </w:rPr>
      </w:pPr>
      <w:r w:rsidRPr="00AE3043">
        <w:rPr>
          <w:rFonts w:eastAsia="Times New Roman"/>
          <w:sz w:val="18"/>
          <w:szCs w:val="18"/>
          <w:lang w:val="fr-FR"/>
        </w:rPr>
        <w:t>ᶜ</w:t>
      </w:r>
      <w:r w:rsidRPr="00AE3043">
        <w:rPr>
          <w:rFonts w:eastAsia="Times New Roman"/>
          <w:sz w:val="18"/>
          <w:szCs w:val="18"/>
          <w:lang w:val="en-GB"/>
        </w:rPr>
        <w:t xml:space="preserve"> Specificity refers either to general motor delay or to probable DCD depending on post-test outcomes.</w:t>
      </w:r>
    </w:p>
    <w:p w:rsidR="003A3945" w:rsidRPr="00AE3043" w:rsidRDefault="003A3945" w:rsidP="003A3945">
      <w:pPr>
        <w:rPr>
          <w:rFonts w:eastAsia="Times New Roman"/>
          <w:sz w:val="18"/>
          <w:szCs w:val="18"/>
          <w:lang w:val="en-GB"/>
        </w:rPr>
      </w:pPr>
      <w:r w:rsidRPr="00AE3043">
        <w:rPr>
          <w:rFonts w:eastAsia="Times New Roman"/>
          <w:sz w:val="18"/>
          <w:szCs w:val="18"/>
          <w:lang w:val="fr-FR"/>
        </w:rPr>
        <w:t>ᵈ</w:t>
      </w:r>
      <w:r w:rsidRPr="00AE3043">
        <w:rPr>
          <w:rFonts w:eastAsia="Times New Roman"/>
          <w:sz w:val="18"/>
          <w:szCs w:val="18"/>
          <w:lang w:val="en-GB"/>
        </w:rPr>
        <w:t xml:space="preserve"> AUC estimated as (sensitivity + specificity) / 2 when not explicitly reported.</w:t>
      </w:r>
    </w:p>
    <w:p w:rsidR="003A3945" w:rsidRPr="00AE3043" w:rsidRDefault="003A3945" w:rsidP="003A3945">
      <w:pPr>
        <w:rPr>
          <w:rFonts w:eastAsia="Times New Roman"/>
          <w:sz w:val="18"/>
          <w:szCs w:val="18"/>
          <w:lang w:val="en-GB"/>
        </w:rPr>
      </w:pPr>
      <w:r w:rsidRPr="00AE3043">
        <w:rPr>
          <w:rFonts w:eastAsia="Times New Roman"/>
          <w:sz w:val="18"/>
          <w:szCs w:val="18"/>
          <w:lang w:val="fr-FR"/>
        </w:rPr>
        <w:t>ᵉ</w:t>
      </w:r>
      <w:r w:rsidRPr="00AE3043">
        <w:rPr>
          <w:rFonts w:eastAsia="Times New Roman"/>
          <w:sz w:val="18"/>
          <w:szCs w:val="18"/>
          <w:lang w:val="en-GB"/>
        </w:rPr>
        <w:t xml:space="preserve"> Assessment availability: Bayley-III (16 days–42 months;</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{"citationID":"a3YyDtW2","properties":{"formattedCitation":"(Bayley, 2012)","plainCitation":"(Bayley, 2012)","dontUpdate":true,"noteIndex":0},"citationItems":[{"id":450,"uris":["http://zotero.org/users/12220331/items/UBP4IBNC"],"itemData":{"id":450,"type":"dataset","DOI":"10.1037/t14978-000","language":"en","note":"Institution: American Psychological Association","source":"DOI.org (Crossref)","title":"Bayley Scales of Infant and Toddler Development, Third Edition","URL":"https://doi.apa.org/doi/10.1037/t14978-000","author":[{"family":"Bayley","given":"Nancy"}],"accessed":{"date-parts":[["2025",5,27]]},"issued":{"date-parts":[["2012",10,8]]}}}],"schema":"https://github.com/citation-style-language/schema/raw/master/csl-citation.json"} </w:instrText>
      </w:r>
      <w:r w:rsidRPr="00AE3043">
        <w:rPr>
          <w:rFonts w:eastAsia="Times New Roman"/>
          <w:sz w:val="18"/>
          <w:szCs w:val="18"/>
          <w:lang w:val="en-GB"/>
        </w:rPr>
        <w:fldChar w:fldCharType="separate"/>
      </w:r>
      <w:r w:rsidRPr="00AE3043">
        <w:rPr>
          <w:sz w:val="18"/>
          <w:szCs w:val="18"/>
        </w:rPr>
        <w:t>Bayley, 2012</w:t>
      </w:r>
      <w:r w:rsidRPr="00AE3043">
        <w:rPr>
          <w:rFonts w:eastAsia="Times New Roman"/>
          <w:sz w:val="18"/>
          <w:szCs w:val="18"/>
          <w:lang w:val="en-GB"/>
        </w:rPr>
        <w:fldChar w:fldCharType="end"/>
      </w:r>
      <w:r w:rsidRPr="00AE3043">
        <w:rPr>
          <w:rFonts w:eastAsia="Times New Roman"/>
          <w:sz w:val="18"/>
          <w:szCs w:val="18"/>
          <w:lang w:val="en-GB"/>
        </w:rPr>
        <w:t>); AIMS (40 weeks–18 months;</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{"citationID":"erzwHnP7","properties":{"formattedCitation":"(Piper &amp; Darrah, 2021)","plainCitation":"(Piper &amp; Darrah, 2021)","dontUpdate":true,"noteIndex":0},"citationItems":[{"id":451,"uris":["http://zotero.org/users/12220331/items/RU5U7HL2"],"itemData":{"id":451,"type":"book","ISBN":"0-323-79839-X","publisher":"Elsevier Health Sciences","title":"Motor Assessment of the Developing Infant-E-Book: Motor Assessment of the Developing Infant-E-Book","author":[{"family":"Piper","given":"Martha"},{"family":"Darrah","given":"Johanna"}],"issued":{"date-parts":[["2021"]]}}}],"schema":"https://github.com/citation-style-language/schema/raw/master/csl-citation.json"} </w:instrText>
      </w:r>
      <w:r w:rsidRPr="00AE3043">
        <w:rPr>
          <w:rFonts w:eastAsia="Times New Roman"/>
          <w:sz w:val="18"/>
          <w:szCs w:val="18"/>
          <w:lang w:val="en-GB"/>
        </w:rPr>
        <w:fldChar w:fldCharType="separate"/>
      </w:r>
      <w:r w:rsidRPr="00AE3043">
        <w:rPr>
          <w:sz w:val="18"/>
          <w:szCs w:val="18"/>
          <w:lang w:val="en-GB"/>
        </w:rPr>
        <w:t xml:space="preserve"> </w:t>
      </w:r>
      <w:r w:rsidRPr="00AE3043">
        <w:rPr>
          <w:sz w:val="18"/>
          <w:szCs w:val="18"/>
        </w:rPr>
        <w:t xml:space="preserve">Piper &amp; </w:t>
      </w:r>
      <w:proofErr w:type="spellStart"/>
      <w:r w:rsidRPr="00AE3043">
        <w:rPr>
          <w:sz w:val="18"/>
          <w:szCs w:val="18"/>
        </w:rPr>
        <w:t>Darrah</w:t>
      </w:r>
      <w:proofErr w:type="spellEnd"/>
      <w:r w:rsidRPr="00AE3043">
        <w:rPr>
          <w:sz w:val="18"/>
          <w:szCs w:val="18"/>
        </w:rPr>
        <w:t>, 2021)</w:t>
      </w:r>
      <w:r w:rsidRPr="00AE3043">
        <w:rPr>
          <w:rFonts w:eastAsia="Times New Roman"/>
          <w:sz w:val="18"/>
          <w:szCs w:val="18"/>
          <w:lang w:val="en-GB"/>
        </w:rPr>
        <w:fldChar w:fldCharType="end"/>
      </w:r>
      <w:r w:rsidRPr="00AE3043">
        <w:rPr>
          <w:rFonts w:eastAsia="Times New Roman"/>
          <w:sz w:val="18"/>
          <w:szCs w:val="18"/>
          <w:lang w:val="en-GB"/>
        </w:rPr>
        <w:t xml:space="preserve">; DF-MOT (1 day–4 years; </w:t>
      </w:r>
      <w:proofErr w:type="spellStart"/>
      <w:r w:rsidRPr="00AE3043">
        <w:rPr>
          <w:rFonts w:eastAsia="Times New Roman"/>
          <w:sz w:val="18"/>
          <w:szCs w:val="18"/>
          <w:lang w:val="en-GB"/>
        </w:rPr>
        <w:t>Vaivre-Douret</w:t>
      </w:r>
      <w:proofErr w:type="spellEnd"/>
      <w:r w:rsidRPr="00AE3043">
        <w:rPr>
          <w:rFonts w:eastAsia="Times New Roman"/>
          <w:sz w:val="18"/>
          <w:szCs w:val="18"/>
          <w:lang w:val="en-GB"/>
        </w:rPr>
        <w:t>, 1999); SINDA (6 weeks–12 months;</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{"citationID":"zaCCANAT","properties":{"formattedCitation":"(Hadders\\uc0\\u8208{}Algra et al., 2024)","plainCitation":"(Hadders‐Algra et al., 2024)","dontUpdate":true,"noteIndex":0},"citationItems":[{"id":175,"uris":["http://zotero.org/users/12220331/items/PPLZECAX"],"itemData":{"id":175,"type":"article-journal","abstract":"AbstractAimTo compare the predictive values of the General Movements Assessment (GMA) and the Standardized Infant NeuroDevelopmental Assessment (SINDA) neurological scale for atypical neurodevelopmental outcome in 3‐month‐old at‐risk infants.MethodA total of 109 infants (gestational age 30 weeks; range: 24–41; 52 males) attending a non‐academic outpatient clinic were assessed with the GMA and the SINDA at 3 (2–4) months corrected age. The GMA pays attention to the complexity of general movements and presence of fidgety movements. Atypical neurodevelopmental outcome at 24 months corrected age (and older) implied cerebral palsy (CP) or a Bayley Mental Development Index or Bayley Psychomotor Development Index lower than 70.ResultsAt 24 months corrected (and older) age, 16 children had an atypical outcome, including 14 children with CP. Regarding markedly reduced general movement complexity in combination with absent or sporadic fidgety movements, the GMA predicted an atypical outcome with specificity, positive, and negative predictive values greater than 0.900, and sensitivity of 0.687 (95% confidence interval [CI] = 0.460–0.915). SINDA predicted an atypical outcome with sensitivity, specificity, and negative predictive value greater than 0.900 and a positive predictive value of 0.652 (95% CI = 0.457–0.847). Regarding absent fidgety movements only or markedly reduced general movement complexity, the GMA predicted the outcome less well than both general movement criteria.InterpretationThe SINDA and GMA both predict neurodevelopmental outcome well, but SINDA is easier to learn than the GMA; being a non‐video‐based assessment, it allows caregiver feedback during the consultation whereas the GMA usually does not.What this paper addsThe General Movements Assessment (GMA) and Standardized Infant NeuroDevelopmental Assessment (SINDA) neurological scale predict atypical neurodevelopmental outcome equally well.The GMA and SINDA neurological scale predict CP and atypical neurodevelopmental outcome well.The GMA works best to predict neurodevelopmental outcome when based on both general movement complexity and fidgety movements.","container-title":"Developmental Medicine &amp; Child Neurology","DOI":"10.1111/dmcn.15901","ISSN":"0012-1622, 1469-8749","issue":"10","journalAbbreviation":"Develop Med Child Neuro","language":"en","license":"http://creativecommons.org/licenses/by-nc-nd/4.0/","note":"publisher: Wiley","page":"1361-1368","source":"Crossref","title":"Predictive value of the General Movements Assessment and Standardized Infant &lt;span style=\"font-variant:small-caps;\"&gt;NeuroDevelopmental&lt;/span&gt; Assessment in infants at high risk of neurodevelopmental disorders","title-short":"Predictive value of the General Movements Assessment and Standardized Infant &lt;span style=\"font-variant","volume":"66","author":[{"family":"Hadders‐Algra","given":"Mijna"},{"family":"Tacke","given":"Uta"},{"family":"Pietz","given":"Joachim"},{"family":"Rupp","given":"André"},{"family":"Philippi","given":"Heike"}],"issued":{"date-parts":[["2024",10]]}}}],"schema":"https://github.com/citation-style-language/schema/raw/master/csl-citation.json"} </w:instrText>
      </w:r>
      <w:r w:rsidRPr="00AE3043">
        <w:rPr>
          <w:rFonts w:eastAsia="Times New Roman"/>
          <w:sz w:val="18"/>
          <w:szCs w:val="18"/>
          <w:lang w:val="en-GB"/>
        </w:rPr>
        <w:fldChar w:fldCharType="separate"/>
      </w:r>
      <w:r w:rsidRPr="00AE3043">
        <w:rPr>
          <w:sz w:val="18"/>
          <w:szCs w:val="18"/>
        </w:rPr>
        <w:t xml:space="preserve"> </w:t>
      </w:r>
      <w:proofErr w:type="spellStart"/>
      <w:r w:rsidRPr="00AE3043">
        <w:rPr>
          <w:sz w:val="18"/>
          <w:szCs w:val="18"/>
        </w:rPr>
        <w:t>Hadders‐Algra</w:t>
      </w:r>
      <w:proofErr w:type="spellEnd"/>
      <w:r w:rsidRPr="00AE3043">
        <w:rPr>
          <w:sz w:val="18"/>
          <w:szCs w:val="18"/>
        </w:rPr>
        <w:t xml:space="preserve"> et al., 2024)</w:t>
      </w:r>
      <w:r w:rsidRPr="00AE3043">
        <w:rPr>
          <w:rFonts w:eastAsia="Times New Roman"/>
          <w:sz w:val="18"/>
          <w:szCs w:val="18"/>
          <w:lang w:val="en-GB"/>
        </w:rPr>
        <w:fldChar w:fldCharType="end"/>
      </w:r>
      <w:r w:rsidRPr="00AE3043">
        <w:rPr>
          <w:rFonts w:eastAsia="Times New Roman"/>
          <w:sz w:val="18"/>
          <w:szCs w:val="18"/>
          <w:lang w:val="en-GB"/>
        </w:rPr>
        <w:t>; MAI (</w:t>
      </w:r>
      <w:proofErr w:type="spellStart"/>
      <w:r w:rsidRPr="00AE3043">
        <w:rPr>
          <w:rFonts w:eastAsia="Times New Roman"/>
          <w:sz w:val="18"/>
          <w:szCs w:val="18"/>
          <w:lang w:val="en-GB"/>
        </w:rPr>
        <w:t>newborn</w:t>
      </w:r>
      <w:proofErr w:type="spellEnd"/>
      <w:r w:rsidRPr="00AE3043">
        <w:rPr>
          <w:rFonts w:eastAsia="Times New Roman"/>
          <w:sz w:val="18"/>
          <w:szCs w:val="18"/>
          <w:lang w:val="en-GB"/>
        </w:rPr>
        <w:t>–12 months;</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{"citationID":"7KRnBjxQ","properties":{"formattedCitation":"(Chandler et al., 2016)","plainCitation":"(Chandler et al., 2016)","dontUpdate":true,"noteIndex":0},"citationItems":[{"id":128,"uris":["http://zotero.org/users/12220331/items/VHF6FJUW"],"itemData":{"id":128,"type":"article-journal","abstract":"AbstractAimThe purpose of this study was to establish the validity, reliability, stability and sensitivity to change of the family‐centred Movement Assessment of Children (MAC) in typically developing infants/toddlers from 2 months (1 month 16 days) to 2 years (24 months 15 days) of age.BackgroundAssessment of infant/toddler motor development is critical so that infants and toddlers who are at‐risk for developmental delay or whose functional motor development is delayed can be monitored and receive therapy to improve their developmental outcomes. Infants/toddlers are thought to be more responsive during the MAC assessment because parents and siblings participate and elicit responses.MethodsTwo hundred seventy six children and 405 assessments contributed to the establishment of age‐related parameters for typically developing infants and toddlers on the MAC. The MAC assesses three core domains of functional movement (head control, upper extremities and hands, pelvis and lower extremities), and generates a core total score. Four explanatory domains serve to alert examiners to factors that may impact atypical development (general observations, special senses, primitive reflexes/reactions, muscle tone). Construct validity of functional motor development was examined using the relationship between incremental increases in scores and increases in participants' ages. Subsamples were used to establish inter‐rater reliability, test–retest reliability, stability and sensitivity to change.ResultsConstruct validity was established and inter‐rater reliability ICCs for the core items and core total ranged from 0.83 to 0.99. Percent agreement for the explanatory items ranged from 0.72 to 0.96. Stability within age grouping was consistent from baseline to 6 months post‐baseline, and sensitivity to change from baseline to 6 months was significant for all core items and the total score.ConclusionThe MAC has proven to be a well‐constructed assessment of infant and toddler functional motor development. It is a family‐centred and efficient tool that can be used to assess and follow‐up of infants and toddlers from 2 months to 2 years.","container-title":"Child: Care, Health and Development","DOI":"10.1111/cch.12348","ISSN":"0305-1862, 1365-2214","issue":"4","journalAbbreviation":"Child","language":"en","license":"http://onlinelibrary.wiley.com/termsAndConditions#vor","note":"publisher: Wiley","page":"513-520","source":"Crossref","title":"Movement Assessment of Children (MAC): validity, reliability, stability and sensitivity to change in typically developing children","title-short":"Movement Assessment of Children (MAC)","volume":"42","author":[{"family":"Chandler","given":"L. S."},{"family":"Terhorst","given":"L."},{"family":"Rogers","given":"J. C."},{"family":"Holm","given":"M. B."}],"issued":{"date-parts":[["2016",7]]}}}],"schema":"https://github.com/citation-style-language/schema/raw/master/csl-citation.json"} </w:instrText>
      </w:r>
      <w:r w:rsidRPr="00AE3043">
        <w:rPr>
          <w:rFonts w:eastAsia="Times New Roman"/>
          <w:sz w:val="18"/>
          <w:szCs w:val="18"/>
          <w:lang w:val="en-GB"/>
        </w:rPr>
        <w:fldChar w:fldCharType="separate"/>
      </w:r>
      <w:r w:rsidRPr="00AE3043">
        <w:rPr>
          <w:sz w:val="18"/>
          <w:szCs w:val="18"/>
        </w:rPr>
        <w:t xml:space="preserve"> Chandler et al., 2016)</w:t>
      </w:r>
      <w:r w:rsidRPr="00AE3043">
        <w:rPr>
          <w:rFonts w:eastAsia="Times New Roman"/>
          <w:sz w:val="18"/>
          <w:szCs w:val="18"/>
          <w:lang w:val="en-GB"/>
        </w:rPr>
        <w:fldChar w:fldCharType="end"/>
      </w:r>
      <w:r w:rsidRPr="00AE3043">
        <w:rPr>
          <w:rFonts w:eastAsia="Times New Roman"/>
          <w:sz w:val="18"/>
          <w:szCs w:val="18"/>
          <w:lang w:val="en-GB"/>
        </w:rPr>
        <w:t>; Denver-II (birth–6 years;</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{"citationID":"NzacC1Jd","properties":{"formattedCitation":"(Frankenburg et al., 1992)","plainCitation":"(Frankenburg et al., 1992)","dontUpdate":true,"noteIndex":0},"citationItems":[{"id":454,"uris":["http://zotero.org/users/12220331/items/M976PPA2"],"itemData":{"id":454,"type":"article-journal","abstract":"Since the Denver Developmental Screening Test was first published 23 years ago, it has been utilized worldwide and restandardized in more than a dozen countries. Concerns raised through the years by test users about specific items and features of the Denver Developmental Screening Test, coupled with a need for more current norms, have prompted a major revision and restandardization of the test. For the revision, 336 potential items were administered to more than 2000 children. The average number of times each item was administered was 540. Using regression analysis, composite norms for the total sample and norms for subgroups (based on gender, ethnicity, maternal education, and place of residence), were used to determine new age norms. The final selection of the 125 Denver II items was based on the following criteria: ease of administration and scoring, item appeal to child and examiner, item test-retest and inter-rater reliability, minimal \"refusal\" scores, minimal \"no opportunity\" scores, minimal subgroup differences, and a smooth step-like progression of ages at which 90% of children could perform the tasks. The major differences between the Denver II and the Denver Developmental Screening Test are: 1) an 86% increase in language items; 2) two articulation items; 3) a new age scale; 4) a new category of item interpretation to identify milder delays; 6) a behavior rating scale; and 7) new training materials.","container-title":"Pediatrics","DOI":"10.1542/peds.89.1.91","ISSN":"0031-4005, 1098-4275","issue":"1","language":"en","page":"91-97","source":"DOI.org (Crossref)","title":"The Denver II: A Major Revision and Restandardization of the Denver Developmental Screening Test","title-short":"The Denver II","volume":"89","author":[{"family":"Frankenburg","given":"William K."},{"family":"Dodds","given":"Josiah"},{"family":"Archer","given":"Philip"},{"family":"Shapiro","given":"Howard"},{"family":"Bresnick","given":"Beverly"}],"issued":{"date-parts":[["1992",1,1]]}}}],"schema":"https://github.com/citation-style-language/schema/raw/master/csl-citation.json"} </w:instrText>
      </w:r>
      <w:r w:rsidRPr="00AE3043">
        <w:rPr>
          <w:rFonts w:eastAsia="Times New Roman"/>
          <w:sz w:val="18"/>
          <w:szCs w:val="18"/>
          <w:lang w:val="en-GB"/>
        </w:rPr>
        <w:fldChar w:fldCharType="separate"/>
      </w:r>
      <w:r w:rsidRPr="00AE3043">
        <w:rPr>
          <w:sz w:val="18"/>
          <w:szCs w:val="18"/>
        </w:rPr>
        <w:t xml:space="preserve"> </w:t>
      </w:r>
      <w:proofErr w:type="spellStart"/>
      <w:r w:rsidRPr="00AE3043">
        <w:rPr>
          <w:sz w:val="18"/>
          <w:szCs w:val="18"/>
        </w:rPr>
        <w:t>Frankenburg</w:t>
      </w:r>
      <w:proofErr w:type="spellEnd"/>
      <w:r w:rsidRPr="00AE3043">
        <w:rPr>
          <w:sz w:val="18"/>
          <w:szCs w:val="18"/>
        </w:rPr>
        <w:t xml:space="preserve"> et al., 1992)</w:t>
      </w:r>
      <w:r w:rsidRPr="00AE3043">
        <w:rPr>
          <w:rFonts w:eastAsia="Times New Roman"/>
          <w:sz w:val="18"/>
          <w:szCs w:val="18"/>
          <w:lang w:val="en-GB"/>
        </w:rPr>
        <w:fldChar w:fldCharType="end"/>
      </w:r>
      <w:r w:rsidRPr="00AE3043">
        <w:rPr>
          <w:rFonts w:eastAsia="Times New Roman"/>
          <w:sz w:val="18"/>
          <w:szCs w:val="18"/>
          <w:lang w:val="en-GB"/>
        </w:rPr>
        <w:t xml:space="preserve">; MABC-2 (3–16 years; </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{"citationID":"pe3Cf6dd","properties":{"formattedCitation":"(Henderson et al., 2019)","plainCitation":"(Henderson et al., 2019)","dontUpdate":true,"noteIndex":0},"citationItems":[{"id":455,"uris":["http://zotero.org/users/12220331/items/G5U7RXRF"],"itemData":{"id":455,"type":"dataset","DOI":"10.1037/t55281-000","language":"en","note":"Institution: American Psychological Association","source":"DOI.org (Crossref)","title":"Movement Assessment Battery for Children-2","URL":"https://doi.apa.org/doi/10.1037/t55281-000","author":[{"family":"Henderson","given":"S. E"},{"family":"Sugden","given":"D."},{"family":"Barnett","given":"A. L."}],"accessed":{"date-parts":[["2025",5,27]]},"issued":{"date-parts":[["2019",1,14]]}}}],"schema":"https://github.com/citation-style-language/schema/raw/master/csl-citation.json"} </w:instrText>
      </w:r>
      <w:r w:rsidRPr="00AE3043">
        <w:rPr>
          <w:rFonts w:eastAsia="Times New Roman"/>
          <w:sz w:val="18"/>
          <w:szCs w:val="18"/>
          <w:lang w:val="en-GB"/>
        </w:rPr>
        <w:fldChar w:fldCharType="separate"/>
      </w:r>
      <w:r w:rsidRPr="00AE3043">
        <w:rPr>
          <w:sz w:val="18"/>
          <w:szCs w:val="18"/>
        </w:rPr>
        <w:t>Henderson et al., 2019)</w:t>
      </w:r>
      <w:r w:rsidRPr="00AE3043">
        <w:rPr>
          <w:rFonts w:eastAsia="Times New Roman"/>
          <w:sz w:val="18"/>
          <w:szCs w:val="18"/>
          <w:lang w:val="en-GB"/>
        </w:rPr>
        <w:fldChar w:fldCharType="end"/>
      </w:r>
      <w:r w:rsidRPr="00AE3043">
        <w:rPr>
          <w:rFonts w:eastAsia="Times New Roman"/>
          <w:sz w:val="18"/>
          <w:szCs w:val="18"/>
          <w:lang w:val="en-GB"/>
        </w:rPr>
        <w:t xml:space="preserve">; MRI/DTI (prenatal to adulthood); BHK (≥7 years; requires ≥2 years of writing experience ; </w:t>
      </w:r>
      <w:r w:rsidRPr="00AE3043">
        <w:rPr>
          <w:rFonts w:eastAsia="Times New Roman"/>
          <w:sz w:val="18"/>
          <w:szCs w:val="18"/>
          <w:lang w:val="en-GB"/>
        </w:rPr>
        <w:fldChar w:fldCharType="begin"/>
      </w:r>
      <w:r w:rsidRPr="00AE3043">
        <w:rPr>
          <w:rFonts w:eastAsia="Times New Roman"/>
          <w:sz w:val="18"/>
          <w:szCs w:val="18"/>
          <w:lang w:val="en-GB"/>
        </w:rPr>
        <w:instrText xml:space="preserve"> ADDIN ZOTERO_ITEM CSL_CITATION {"citationID":"3qazAEQj","properties":{"formattedCitation":"(Devillaine et al., 2021)","plainCitation":"(Devillaine et al., 2021)","dontUpdate":true,"noteIndex":0},"citationItems":[{"id":405,"uris":["http://zotero.org/users/12220331/items/Z7E3V8Q2"],"itemData":{"id":405,"type":"article-journal","abstract":"Five to ten percent of school-aged children display dysgraphia, a neuro-motor disorder that causes difficulties in handwriting, which becomes a handicap in the daily life of these children. Yet, the diagnosis of dysgraphia remains tedious, subjective and dependent to the language besides stepping in late in the schooling. We propose a pre-diagnosis tool for dysgraphia using drawings called graphomotor tests. These tests are recorded using graphical tablets. We evaluate several machine-learning models and compare them to build this tool. A database comprising 305 children from the region of Grenoble, including 43 children with dysgraphia, has been established and diagnosed by specialists using the BHK test, which is the gold standard for the diagnosis of dysgraphia in France. We performed tests of classification by extracting, correcting and selecting features from the raw data collected with the tablets and achieved a maximum accuracy of 73% with cross-validation for three models. These promising results highlight the relevance of graphomotor tests to diagnose dysgraphia earlier and more broadly.","container-title":"Sensors","DOI":"10.3390/s21217026","ISSN":"1424-8220","issue":"21","journalAbbreviation":"Sensors","language":"en","license":"https://creativecommons.org/licenses/by/4.0/","page":"7026","source":"DOI.org (Crossref)","title":"Analysis of Graphomotor Tests with Machine Learning Algorithms for an Early and Universal Pre-Diagnosis of Dysgraphia","volume":"21","author":[{"family":"Devillaine","given":"Louis"},{"family":"Lambert","given":"Raphaël"},{"family":"Boutet","given":"Jérôme"},{"family":"Aloui","given":"Saifeddine"},{"family":"Brault","given":"Vincent"},{"family":"Jolly","given":"Caroline"},{"family":"Labyt","given":"Etienne"}],"issued":{"date-parts":[["2021",10,23]]}}}],"schema":"https://github.com/citation-style-language/schema/raw/master/csl-citation.json"} </w:instrText>
      </w:r>
      <w:r w:rsidRPr="00AE3043">
        <w:rPr>
          <w:rFonts w:eastAsia="Times New Roman"/>
          <w:sz w:val="18"/>
          <w:szCs w:val="18"/>
          <w:lang w:val="en-GB"/>
        </w:rPr>
        <w:fldChar w:fldCharType="separate"/>
      </w:r>
      <w:proofErr w:type="spellStart"/>
      <w:r w:rsidRPr="00AE3043">
        <w:rPr>
          <w:sz w:val="18"/>
          <w:szCs w:val="18"/>
        </w:rPr>
        <w:t>Devillaine</w:t>
      </w:r>
      <w:proofErr w:type="spellEnd"/>
      <w:r w:rsidRPr="00AE3043">
        <w:rPr>
          <w:sz w:val="18"/>
          <w:szCs w:val="18"/>
        </w:rPr>
        <w:t xml:space="preserve"> et al., 2021)</w:t>
      </w:r>
      <w:r w:rsidRPr="00AE3043">
        <w:rPr>
          <w:rFonts w:eastAsia="Times New Roman"/>
          <w:sz w:val="18"/>
          <w:szCs w:val="18"/>
          <w:lang w:val="en-GB"/>
        </w:rPr>
        <w:fldChar w:fldCharType="end"/>
      </w:r>
      <w:r w:rsidRPr="00AE3043">
        <w:rPr>
          <w:rFonts w:eastAsia="Times New Roman"/>
          <w:sz w:val="18"/>
          <w:szCs w:val="18"/>
          <w:lang w:val="en-GB"/>
        </w:rPr>
        <w:t>.</w:t>
      </w:r>
    </w:p>
    <w:p w:rsidR="003A3945" w:rsidRPr="00A04841" w:rsidRDefault="003A3945" w:rsidP="003A3945">
      <w:pPr>
        <w:rPr>
          <w:i/>
          <w:iCs/>
          <w:sz w:val="20"/>
          <w:szCs w:val="20"/>
        </w:rPr>
      </w:pPr>
      <w:r w:rsidRPr="00AE3043">
        <w:rPr>
          <w:rFonts w:eastAsia="Times New Roman"/>
          <w:sz w:val="18"/>
          <w:szCs w:val="18"/>
          <w:lang w:val="en-GB"/>
        </w:rPr>
        <w:t xml:space="preserve">ᵉ Age of initial assessment: </w:t>
      </w:r>
      <w:r w:rsidRPr="00AE3043">
        <w:rPr>
          <w:sz w:val="18"/>
          <w:szCs w:val="18"/>
        </w:rPr>
        <w:t xml:space="preserve">The earliest age at which </w:t>
      </w:r>
      <w:r w:rsidRPr="00AE3043">
        <w:rPr>
          <w:color w:val="000000" w:themeColor="text1"/>
          <w:sz w:val="18"/>
          <w:szCs w:val="18"/>
        </w:rPr>
        <w:t xml:space="preserve">each assessment was </w:t>
      </w:r>
      <w:r w:rsidRPr="00AE3043">
        <w:rPr>
          <w:rStyle w:val="Emphasis"/>
          <w:color w:val="000000" w:themeColor="text1"/>
          <w:sz w:val="18"/>
          <w:szCs w:val="18"/>
        </w:rPr>
        <w:t>actually tested</w:t>
      </w:r>
      <w:r w:rsidRPr="00AE3043">
        <w:rPr>
          <w:color w:val="000000" w:themeColor="text1"/>
          <w:sz w:val="18"/>
          <w:szCs w:val="18"/>
        </w:rPr>
        <w:t xml:space="preserve"> in the cited studies. These ages are indicated in brackets [ ]. Note that although some tools are available earlier, their predictive validity cannot be assumed before the reported age in brackets. </w:t>
      </w:r>
      <w:r w:rsidRPr="00AE3043">
        <w:rPr>
          <w:rFonts w:ascii="Calibri" w:hAnsi="Calibri" w:cs="Calibri"/>
          <w:color w:val="000000" w:themeColor="text1"/>
          <w:sz w:val="18"/>
          <w:szCs w:val="18"/>
        </w:rPr>
        <w:t>If a behavioral marker was tested at 42 months in the study, it does not mean it cannot be used earlier; it only reflects the design of that specific study. Maybe it can be used earlier as a predictor, however, it was not tested so we cannot confirm th</w:t>
      </w:r>
      <w:r>
        <w:rPr>
          <w:rFonts w:ascii="Calibri" w:hAnsi="Calibri" w:cs="Calibri"/>
          <w:color w:val="000000" w:themeColor="text1"/>
          <w:sz w:val="18"/>
          <w:szCs w:val="18"/>
        </w:rPr>
        <w:t>is</w:t>
      </w:r>
      <w:r w:rsidRPr="00AE3043">
        <w:rPr>
          <w:rFonts w:ascii="Calibri" w:hAnsi="Calibri" w:cs="Calibri"/>
          <w:color w:val="000000" w:themeColor="text1"/>
          <w:sz w:val="18"/>
          <w:szCs w:val="18"/>
        </w:rPr>
        <w:t>. Further investigations are needed.</w:t>
      </w:r>
    </w:p>
    <w:p w:rsidR="003A3945" w:rsidRDefault="003A3945" w:rsidP="003A3945">
      <w:pPr>
        <w:spacing w:before="0" w:line="240" w:lineRule="auto"/>
        <w:rPr>
          <w:sz w:val="20"/>
          <w:szCs w:val="20"/>
          <w:lang w:val="en-GB"/>
        </w:rPr>
      </w:pPr>
    </w:p>
    <w:p w:rsidR="003A3945" w:rsidRDefault="003A3945" w:rsidP="003A3945">
      <w:pPr>
        <w:spacing w:before="0" w:line="240" w:lineRule="auto"/>
        <w:rPr>
          <w:sz w:val="20"/>
          <w:szCs w:val="20"/>
          <w:lang w:val="en-GB"/>
        </w:rPr>
      </w:pPr>
      <w:r w:rsidRPr="003A3945">
        <w:rPr>
          <w:noProof/>
          <w:sz w:val="20"/>
          <w:szCs w:val="20"/>
          <w:lang w:eastAsia="en-US"/>
        </w:rPr>
        <w:lastRenderedPageBreak/>
        <w:drawing>
          <wp:inline distT="0" distB="0" distL="0" distR="0">
            <wp:extent cx="5943600" cy="5122293"/>
            <wp:effectExtent l="0" t="0" r="0" b="2540"/>
            <wp:docPr id="1" name="Picture 1" descr="C:\Users\e501495\Downloads\Supp Table 1 part sensitive V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501495\Downloads\Supp Table 1 part sensitive V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5122293"/>
                    </a:xfrm>
                    <a:prstGeom prst="rect">
                      <a:avLst/>
                    </a:prstGeom>
                    <a:noFill/>
                    <a:ln>
                      <a:noFill/>
                    </a:ln>
                  </pic:spPr>
                </pic:pic>
              </a:graphicData>
            </a:graphic>
          </wp:inline>
        </w:drawing>
      </w:r>
    </w:p>
    <w:p w:rsidR="003A3945" w:rsidRDefault="003A3945" w:rsidP="003A3945">
      <w:pPr>
        <w:spacing w:before="0" w:line="240" w:lineRule="auto"/>
        <w:rPr>
          <w:sz w:val="20"/>
          <w:szCs w:val="20"/>
          <w:lang w:val="en-GB"/>
        </w:rPr>
      </w:pPr>
    </w:p>
    <w:p w:rsidR="003A3945" w:rsidRPr="0046765E" w:rsidRDefault="003A3945" w:rsidP="003A3945">
      <w:pPr>
        <w:spacing w:before="0" w:line="240" w:lineRule="auto"/>
        <w:rPr>
          <w:sz w:val="20"/>
          <w:szCs w:val="20"/>
          <w:lang w:val="en-GB"/>
        </w:rPr>
      </w:pPr>
      <w:bookmarkStart w:id="1" w:name="_GoBack"/>
      <w:r w:rsidRPr="003A3945">
        <w:rPr>
          <w:noProof/>
          <w:sz w:val="20"/>
          <w:szCs w:val="20"/>
          <w:lang w:eastAsia="en-US"/>
        </w:rPr>
        <w:lastRenderedPageBreak/>
        <w:drawing>
          <wp:inline distT="0" distB="0" distL="0" distR="0">
            <wp:extent cx="5943600" cy="2858064"/>
            <wp:effectExtent l="0" t="0" r="0" b="0"/>
            <wp:docPr id="2" name="Picture 2" descr="C:\Users\e501495\Downloads\Supp Table 1 part sprecific V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501495\Downloads\Supp Table 1 part sprecific V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858064"/>
                    </a:xfrm>
                    <a:prstGeom prst="rect">
                      <a:avLst/>
                    </a:prstGeom>
                    <a:noFill/>
                    <a:ln>
                      <a:noFill/>
                    </a:ln>
                  </pic:spPr>
                </pic:pic>
              </a:graphicData>
            </a:graphic>
          </wp:inline>
        </w:drawing>
      </w:r>
      <w:bookmarkEnd w:id="1"/>
    </w:p>
    <w:sectPr w:rsidR="003A3945" w:rsidRPr="0046765E">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067897"/>
      <w:docPartObj>
        <w:docPartGallery w:val="Page Numbers (Bottom of Page)"/>
        <w:docPartUnique/>
      </w:docPartObj>
    </w:sdtPr>
    <w:sdtEndPr/>
    <w:sdtContent>
      <w:p w:rsidR="00FF6502" w:rsidRDefault="003A3945">
        <w:pPr>
          <w:pStyle w:val="Footer"/>
          <w:jc w:val="right"/>
        </w:pPr>
        <w:r>
          <w:fldChar w:fldCharType="begin"/>
        </w:r>
        <w:r>
          <w:instrText>PAGE   \* MERGEFORMAT</w:instrText>
        </w:r>
        <w:r>
          <w:fldChar w:fldCharType="separate"/>
        </w:r>
        <w:r w:rsidRPr="003A3945">
          <w:rPr>
            <w:noProof/>
            <w:lang w:val="fr-FR"/>
          </w:rPr>
          <w:t>3</w:t>
        </w:r>
        <w:r>
          <w:fldChar w:fldCharType="end"/>
        </w:r>
      </w:p>
    </w:sdtContent>
  </w:sdt>
  <w:p w:rsidR="00FF6502" w:rsidRDefault="003A394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502" w:rsidRPr="00637A34" w:rsidRDefault="003A3945" w:rsidP="00637A34">
    <w:pPr>
      <w:pStyle w:val="Header"/>
    </w:pPr>
    <w:r w:rsidRPr="00780FEB">
      <w:t xml:space="preserve">DCD: Early </w:t>
    </w:r>
    <w:r>
      <w:t>Behavioral</w:t>
    </w:r>
    <w:r>
      <w:t xml:space="preserve"> markers</w:t>
    </w:r>
    <w:r>
      <w:t xml:space="preserve"> and</w:t>
    </w:r>
    <w:r w:rsidRPr="00780FEB">
      <w:t xml:space="preserve"> Preventive interventions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45"/>
    <w:rsid w:val="003A3945"/>
    <w:rsid w:val="00EC2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A9159-D091-4674-8699-821544D5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945"/>
    <w:pPr>
      <w:spacing w:before="240" w:after="240" w:line="276" w:lineRule="auto"/>
      <w:jc w:val="both"/>
    </w:pPr>
    <w:rPr>
      <w:rFonts w:asciiTheme="majorHAnsi" w:eastAsia="Arial" w:hAnsiTheme="majorHAnsi" w:cstheme="majorHAnsi"/>
      <w:lang w:eastAsia="fr-FR"/>
    </w:rPr>
  </w:style>
  <w:style w:type="paragraph" w:styleId="Heading5">
    <w:name w:val="heading 5"/>
    <w:basedOn w:val="Normal"/>
    <w:next w:val="Normal"/>
    <w:link w:val="Heading5Char"/>
    <w:uiPriority w:val="9"/>
    <w:unhideWhenUsed/>
    <w:qFormat/>
    <w:rsid w:val="003A3945"/>
    <w:pPr>
      <w:keepNext/>
      <w:keepLines/>
      <w:spacing w:after="80"/>
      <w:outlineLvl w:val="4"/>
    </w:pPr>
    <w:rPr>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A3945"/>
    <w:rPr>
      <w:rFonts w:asciiTheme="majorHAnsi" w:eastAsia="Arial" w:hAnsiTheme="majorHAnsi" w:cstheme="majorHAnsi"/>
      <w:color w:val="666666"/>
      <w:lang w:eastAsia="fr-FR"/>
    </w:rPr>
  </w:style>
  <w:style w:type="paragraph" w:styleId="Header">
    <w:name w:val="header"/>
    <w:basedOn w:val="Normal"/>
    <w:link w:val="HeaderChar"/>
    <w:uiPriority w:val="99"/>
    <w:unhideWhenUsed/>
    <w:rsid w:val="003A3945"/>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3A3945"/>
    <w:rPr>
      <w:rFonts w:asciiTheme="majorHAnsi" w:eastAsia="Arial" w:hAnsiTheme="majorHAnsi" w:cstheme="majorHAnsi"/>
      <w:lang w:eastAsia="fr-FR"/>
    </w:rPr>
  </w:style>
  <w:style w:type="paragraph" w:styleId="Footer">
    <w:name w:val="footer"/>
    <w:basedOn w:val="Normal"/>
    <w:link w:val="FooterChar"/>
    <w:uiPriority w:val="99"/>
    <w:unhideWhenUsed/>
    <w:rsid w:val="003A3945"/>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3A3945"/>
    <w:rPr>
      <w:rFonts w:asciiTheme="majorHAnsi" w:eastAsia="Arial" w:hAnsiTheme="majorHAnsi" w:cstheme="majorHAnsi"/>
      <w:lang w:eastAsia="fr-FR"/>
    </w:rPr>
  </w:style>
  <w:style w:type="character" w:styleId="Emphasis">
    <w:name w:val="Emphasis"/>
    <w:basedOn w:val="DefaultParagraphFont"/>
    <w:uiPriority w:val="20"/>
    <w:qFormat/>
    <w:rsid w:val="003A3945"/>
    <w:rPr>
      <w:i/>
      <w:iCs/>
    </w:rPr>
  </w:style>
  <w:style w:type="character" w:styleId="LineNumber">
    <w:name w:val="line number"/>
    <w:basedOn w:val="DefaultParagraphFont"/>
    <w:uiPriority w:val="99"/>
    <w:semiHidden/>
    <w:unhideWhenUsed/>
    <w:rsid w:val="003A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Jeeva B</dc:creator>
  <cp:keywords/>
  <dc:description/>
  <cp:lastModifiedBy>Jeeva B</cp:lastModifiedBy>
  <cp:revision>1</cp:revision>
  <dcterms:created xsi:type="dcterms:W3CDTF">2026-02-03T12:18:00Z</dcterms:created>
  <dcterms:modified xsi:type="dcterms:W3CDTF">2026-02-03T12:20:00Z</dcterms:modified>
</cp:coreProperties>
</file>