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4CDE3" w14:textId="77777777" w:rsidR="00546C14" w:rsidRPr="007860DE" w:rsidRDefault="00546C14" w:rsidP="00546C14">
      <w:pPr>
        <w:tabs>
          <w:tab w:val="left" w:pos="1560"/>
        </w:tabs>
        <w:snapToGrid w:val="0"/>
        <w:jc w:val="center"/>
        <w:rPr>
          <w:rFonts w:ascii="Arial" w:hAnsi="Arial" w:cs="Arial"/>
          <w:b/>
          <w:bCs/>
          <w:color w:val="000000"/>
        </w:rPr>
      </w:pPr>
      <w:r w:rsidRPr="007860DE">
        <w:rPr>
          <w:rFonts w:ascii="Arial" w:hAnsi="Arial" w:cs="Arial"/>
          <w:b/>
          <w:bCs/>
          <w:color w:val="000000"/>
        </w:rPr>
        <w:t>Insights into goatpox virus and sheeppox virus genomes from pangenome graphs</w:t>
      </w:r>
    </w:p>
    <w:p w14:paraId="70726311" w14:textId="77777777" w:rsidR="00546C14" w:rsidRPr="007860DE" w:rsidRDefault="00546C14" w:rsidP="00FD0AFA">
      <w:pPr>
        <w:snapToGrid w:val="0"/>
        <w:rPr>
          <w:rFonts w:ascii="Arial" w:hAnsi="Arial" w:cs="Arial"/>
          <w:b/>
          <w:bCs/>
          <w:lang w:val="en-IE"/>
        </w:rPr>
      </w:pPr>
    </w:p>
    <w:p w14:paraId="5F9AE968" w14:textId="5DA637AB" w:rsidR="004E6424" w:rsidRPr="007860DE" w:rsidRDefault="004E6424" w:rsidP="00FD0AFA">
      <w:pPr>
        <w:snapToGrid w:val="0"/>
        <w:rPr>
          <w:rFonts w:ascii="Arial" w:hAnsi="Arial" w:cs="Arial"/>
          <w:b/>
          <w:bCs/>
          <w:lang w:val="en-IE"/>
        </w:rPr>
      </w:pPr>
      <w:r w:rsidRPr="007860DE">
        <w:rPr>
          <w:rFonts w:ascii="Arial" w:hAnsi="Arial" w:cs="Arial"/>
          <w:b/>
          <w:bCs/>
          <w:lang w:val="en-IE"/>
        </w:rPr>
        <w:t>Section</w:t>
      </w:r>
      <w:r w:rsidRPr="007860DE">
        <w:rPr>
          <w:rFonts w:ascii="Arial" w:hAnsi="Arial" w:cs="Arial"/>
          <w:b/>
          <w:bCs/>
          <w:lang w:val="en-IE"/>
        </w:rPr>
        <w:tab/>
      </w:r>
      <w:r w:rsidRPr="007860DE">
        <w:rPr>
          <w:rFonts w:ascii="Arial" w:hAnsi="Arial" w:cs="Arial"/>
          <w:b/>
          <w:bCs/>
          <w:lang w:val="en-IE"/>
        </w:rPr>
        <w:tab/>
      </w:r>
      <w:r w:rsidRPr="007860DE">
        <w:rPr>
          <w:rFonts w:ascii="Arial" w:hAnsi="Arial" w:cs="Arial"/>
          <w:b/>
          <w:bCs/>
          <w:lang w:val="en-IE"/>
        </w:rPr>
        <w:tab/>
        <w:t>Page</w:t>
      </w:r>
    </w:p>
    <w:p w14:paraId="6CC13EC8" w14:textId="77777777" w:rsidR="004E6424" w:rsidRPr="007860DE" w:rsidRDefault="004E6424" w:rsidP="00FD0AFA">
      <w:pPr>
        <w:snapToGrid w:val="0"/>
        <w:rPr>
          <w:rFonts w:ascii="Arial" w:hAnsi="Arial" w:cs="Arial"/>
          <w:b/>
          <w:bCs/>
          <w:lang w:val="en-IE"/>
        </w:rPr>
      </w:pPr>
    </w:p>
    <w:p w14:paraId="73DF49FD" w14:textId="3C3382FC" w:rsidR="004E6424" w:rsidRPr="007860DE" w:rsidRDefault="004E6424" w:rsidP="004E6424">
      <w:pPr>
        <w:snapToGrid w:val="0"/>
        <w:rPr>
          <w:rFonts w:ascii="Arial" w:hAnsi="Arial" w:cs="Arial"/>
          <w:lang w:val="en-IE"/>
        </w:rPr>
      </w:pPr>
      <w:r w:rsidRPr="007860DE">
        <w:rPr>
          <w:rFonts w:ascii="Arial" w:hAnsi="Arial" w:cs="Arial"/>
          <w:lang w:val="en-IE"/>
        </w:rPr>
        <w:t>Supplementary Results</w:t>
      </w:r>
      <w:r w:rsidRPr="007860DE">
        <w:rPr>
          <w:rFonts w:ascii="Arial" w:hAnsi="Arial" w:cs="Arial"/>
          <w:lang w:val="en-IE"/>
        </w:rPr>
        <w:tab/>
        <w:t>2</w:t>
      </w:r>
    </w:p>
    <w:p w14:paraId="45B9CADB" w14:textId="5154C4B1" w:rsidR="004E6424" w:rsidRPr="007860DE" w:rsidRDefault="004E6424" w:rsidP="004E6424">
      <w:pPr>
        <w:snapToGrid w:val="0"/>
        <w:rPr>
          <w:rFonts w:ascii="Arial" w:hAnsi="Arial" w:cs="Arial"/>
          <w:lang w:val="en-IE"/>
        </w:rPr>
      </w:pPr>
      <w:r w:rsidRPr="007860DE">
        <w:rPr>
          <w:rFonts w:ascii="Arial" w:hAnsi="Arial" w:cs="Arial"/>
          <w:lang w:val="en-IE"/>
        </w:rPr>
        <w:t>Figure S1</w:t>
      </w:r>
      <w:r w:rsidRPr="007860DE">
        <w:rPr>
          <w:rFonts w:ascii="Arial" w:hAnsi="Arial" w:cs="Arial"/>
          <w:lang w:val="en-IE"/>
        </w:rPr>
        <w:tab/>
      </w:r>
      <w:r w:rsidRPr="007860DE">
        <w:rPr>
          <w:rFonts w:ascii="Arial" w:hAnsi="Arial" w:cs="Arial"/>
          <w:lang w:val="en-IE"/>
        </w:rPr>
        <w:tab/>
      </w:r>
      <w:r w:rsidRPr="007860DE">
        <w:rPr>
          <w:rFonts w:ascii="Arial" w:hAnsi="Arial" w:cs="Arial"/>
          <w:lang w:val="en-IE"/>
        </w:rPr>
        <w:tab/>
      </w:r>
      <w:r w:rsidR="00E34F2B">
        <w:rPr>
          <w:rFonts w:ascii="Arial" w:hAnsi="Arial" w:cs="Arial"/>
          <w:lang w:val="en-IE"/>
        </w:rPr>
        <w:t>5</w:t>
      </w:r>
    </w:p>
    <w:p w14:paraId="15F167B6" w14:textId="7D469638" w:rsidR="004E6424" w:rsidRPr="007860DE" w:rsidRDefault="004E6424" w:rsidP="004E6424">
      <w:pPr>
        <w:snapToGrid w:val="0"/>
        <w:rPr>
          <w:rFonts w:ascii="Arial" w:hAnsi="Arial" w:cs="Arial"/>
          <w:lang w:val="en-IE"/>
        </w:rPr>
      </w:pPr>
      <w:r w:rsidRPr="007860DE">
        <w:rPr>
          <w:rFonts w:ascii="Arial" w:hAnsi="Arial" w:cs="Arial"/>
          <w:lang w:val="en-IE"/>
        </w:rPr>
        <w:t>Figure S2</w:t>
      </w:r>
      <w:r w:rsidRPr="007860DE">
        <w:rPr>
          <w:rFonts w:ascii="Arial" w:hAnsi="Arial" w:cs="Arial"/>
          <w:lang w:val="en-IE"/>
        </w:rPr>
        <w:tab/>
      </w:r>
      <w:r w:rsidRPr="007860DE">
        <w:rPr>
          <w:rFonts w:ascii="Arial" w:hAnsi="Arial" w:cs="Arial"/>
          <w:lang w:val="en-IE"/>
        </w:rPr>
        <w:tab/>
      </w:r>
      <w:r w:rsidRPr="007860DE">
        <w:rPr>
          <w:rFonts w:ascii="Arial" w:hAnsi="Arial" w:cs="Arial"/>
          <w:lang w:val="en-IE"/>
        </w:rPr>
        <w:tab/>
      </w:r>
      <w:r w:rsidR="00E34F2B">
        <w:rPr>
          <w:rFonts w:ascii="Arial" w:hAnsi="Arial" w:cs="Arial"/>
          <w:lang w:val="en-IE"/>
        </w:rPr>
        <w:t>6</w:t>
      </w:r>
    </w:p>
    <w:p w14:paraId="69245DC6" w14:textId="03393767" w:rsidR="004E6424" w:rsidRPr="007860DE" w:rsidRDefault="004E6424" w:rsidP="004E6424">
      <w:pPr>
        <w:snapToGrid w:val="0"/>
        <w:rPr>
          <w:rFonts w:ascii="Arial" w:hAnsi="Arial" w:cs="Arial"/>
          <w:lang w:val="en-IE"/>
        </w:rPr>
      </w:pPr>
      <w:r w:rsidRPr="007860DE">
        <w:rPr>
          <w:rFonts w:ascii="Arial" w:hAnsi="Arial" w:cs="Arial"/>
          <w:lang w:val="en-IE"/>
        </w:rPr>
        <w:t>Figure S3</w:t>
      </w:r>
      <w:r w:rsidRPr="007860DE">
        <w:rPr>
          <w:rFonts w:ascii="Arial" w:hAnsi="Arial" w:cs="Arial"/>
          <w:lang w:val="en-IE"/>
        </w:rPr>
        <w:tab/>
      </w:r>
      <w:r w:rsidRPr="007860DE">
        <w:rPr>
          <w:rFonts w:ascii="Arial" w:hAnsi="Arial" w:cs="Arial"/>
          <w:lang w:val="en-IE"/>
        </w:rPr>
        <w:tab/>
      </w:r>
      <w:r w:rsidRPr="007860DE">
        <w:rPr>
          <w:rFonts w:ascii="Arial" w:hAnsi="Arial" w:cs="Arial"/>
          <w:lang w:val="en-IE"/>
        </w:rPr>
        <w:tab/>
      </w:r>
      <w:r w:rsidR="00E34F2B">
        <w:rPr>
          <w:rFonts w:ascii="Arial" w:hAnsi="Arial" w:cs="Arial"/>
          <w:lang w:val="en-IE"/>
        </w:rPr>
        <w:t>7</w:t>
      </w:r>
    </w:p>
    <w:p w14:paraId="332E58A9" w14:textId="7264B00F" w:rsidR="004E6424" w:rsidRPr="007860DE" w:rsidRDefault="004E6424" w:rsidP="004E6424">
      <w:pPr>
        <w:snapToGrid w:val="0"/>
        <w:rPr>
          <w:rFonts w:ascii="Arial" w:hAnsi="Arial" w:cs="Arial"/>
          <w:lang w:val="en-IE"/>
        </w:rPr>
      </w:pPr>
      <w:r w:rsidRPr="007860DE">
        <w:rPr>
          <w:rFonts w:ascii="Arial" w:hAnsi="Arial" w:cs="Arial"/>
          <w:lang w:val="en-IE"/>
        </w:rPr>
        <w:t>Figure S4</w:t>
      </w:r>
      <w:r w:rsidRPr="007860DE">
        <w:rPr>
          <w:rFonts w:ascii="Arial" w:hAnsi="Arial" w:cs="Arial"/>
          <w:lang w:val="en-IE"/>
        </w:rPr>
        <w:tab/>
      </w:r>
      <w:r w:rsidRPr="007860DE">
        <w:rPr>
          <w:rFonts w:ascii="Arial" w:hAnsi="Arial" w:cs="Arial"/>
          <w:lang w:val="en-IE"/>
        </w:rPr>
        <w:tab/>
      </w:r>
      <w:r w:rsidRPr="007860DE">
        <w:rPr>
          <w:rFonts w:ascii="Arial" w:hAnsi="Arial" w:cs="Arial"/>
          <w:lang w:val="en-IE"/>
        </w:rPr>
        <w:tab/>
      </w:r>
      <w:r w:rsidR="00E34F2B">
        <w:rPr>
          <w:rFonts w:ascii="Arial" w:hAnsi="Arial" w:cs="Arial"/>
          <w:lang w:val="en-IE"/>
        </w:rPr>
        <w:t>8</w:t>
      </w:r>
    </w:p>
    <w:p w14:paraId="140C1C2C" w14:textId="271C8D0B" w:rsidR="004E6424" w:rsidRPr="007860DE" w:rsidRDefault="004E6424" w:rsidP="004E6424">
      <w:pPr>
        <w:snapToGrid w:val="0"/>
        <w:rPr>
          <w:rFonts w:ascii="Arial" w:hAnsi="Arial" w:cs="Arial"/>
          <w:lang w:val="en-IE"/>
        </w:rPr>
      </w:pPr>
      <w:r w:rsidRPr="007860DE">
        <w:rPr>
          <w:rFonts w:ascii="Arial" w:hAnsi="Arial" w:cs="Arial"/>
          <w:lang w:val="en-IE"/>
        </w:rPr>
        <w:t>Figure S5</w:t>
      </w:r>
      <w:r w:rsidRPr="007860DE">
        <w:rPr>
          <w:rFonts w:ascii="Arial" w:hAnsi="Arial" w:cs="Arial"/>
          <w:lang w:val="en-IE"/>
        </w:rPr>
        <w:tab/>
      </w:r>
      <w:r w:rsidRPr="007860DE">
        <w:rPr>
          <w:rFonts w:ascii="Arial" w:hAnsi="Arial" w:cs="Arial"/>
          <w:lang w:val="en-IE"/>
        </w:rPr>
        <w:tab/>
      </w:r>
      <w:r w:rsidRPr="007860DE">
        <w:rPr>
          <w:rFonts w:ascii="Arial" w:hAnsi="Arial" w:cs="Arial"/>
          <w:lang w:val="en-IE"/>
        </w:rPr>
        <w:tab/>
      </w:r>
      <w:r w:rsidR="00E34F2B">
        <w:rPr>
          <w:rFonts w:ascii="Arial" w:hAnsi="Arial" w:cs="Arial"/>
          <w:lang w:val="en-IE"/>
        </w:rPr>
        <w:t>9</w:t>
      </w:r>
    </w:p>
    <w:p w14:paraId="2FA1701E" w14:textId="0B2BFB4E" w:rsidR="004E6424" w:rsidRPr="007860DE" w:rsidRDefault="004E6424" w:rsidP="004E6424">
      <w:pPr>
        <w:snapToGrid w:val="0"/>
        <w:rPr>
          <w:rFonts w:ascii="Arial" w:hAnsi="Arial" w:cs="Arial"/>
          <w:lang w:val="en-IE"/>
        </w:rPr>
      </w:pPr>
      <w:r w:rsidRPr="007860DE">
        <w:rPr>
          <w:rFonts w:ascii="Arial" w:hAnsi="Arial" w:cs="Arial"/>
          <w:lang w:val="en-IE"/>
        </w:rPr>
        <w:t>Figure S6</w:t>
      </w:r>
      <w:r w:rsidRPr="007860DE">
        <w:rPr>
          <w:rFonts w:ascii="Arial" w:hAnsi="Arial" w:cs="Arial"/>
          <w:lang w:val="en-IE"/>
        </w:rPr>
        <w:tab/>
      </w:r>
      <w:r w:rsidRPr="007860DE">
        <w:rPr>
          <w:rFonts w:ascii="Arial" w:hAnsi="Arial" w:cs="Arial"/>
          <w:lang w:val="en-IE"/>
        </w:rPr>
        <w:tab/>
      </w:r>
      <w:r w:rsidRPr="007860DE">
        <w:rPr>
          <w:rFonts w:ascii="Arial" w:hAnsi="Arial" w:cs="Arial"/>
          <w:lang w:val="en-IE"/>
        </w:rPr>
        <w:tab/>
      </w:r>
      <w:r w:rsidR="00E34F2B">
        <w:rPr>
          <w:rFonts w:ascii="Arial" w:hAnsi="Arial" w:cs="Arial"/>
          <w:lang w:val="en-IE"/>
        </w:rPr>
        <w:t>10</w:t>
      </w:r>
    </w:p>
    <w:p w14:paraId="5F570836" w14:textId="15B07A4E" w:rsidR="004E6424" w:rsidRPr="007860DE" w:rsidRDefault="004E6424" w:rsidP="004E6424">
      <w:pPr>
        <w:snapToGrid w:val="0"/>
        <w:rPr>
          <w:rFonts w:ascii="Arial" w:hAnsi="Arial" w:cs="Arial"/>
          <w:lang w:val="en-IE"/>
        </w:rPr>
      </w:pPr>
      <w:r w:rsidRPr="007860DE">
        <w:rPr>
          <w:rFonts w:ascii="Arial" w:hAnsi="Arial" w:cs="Arial"/>
          <w:lang w:val="en-IE"/>
        </w:rPr>
        <w:t>Figure S7</w:t>
      </w:r>
      <w:r w:rsidRPr="007860DE">
        <w:rPr>
          <w:rFonts w:ascii="Arial" w:hAnsi="Arial" w:cs="Arial"/>
          <w:lang w:val="en-IE"/>
        </w:rPr>
        <w:tab/>
      </w:r>
      <w:r w:rsidRPr="007860DE">
        <w:rPr>
          <w:rFonts w:ascii="Arial" w:hAnsi="Arial" w:cs="Arial"/>
          <w:lang w:val="en-IE"/>
        </w:rPr>
        <w:tab/>
      </w:r>
      <w:r w:rsidRPr="007860DE">
        <w:rPr>
          <w:rFonts w:ascii="Arial" w:hAnsi="Arial" w:cs="Arial"/>
          <w:lang w:val="en-IE"/>
        </w:rPr>
        <w:tab/>
      </w:r>
      <w:r w:rsidR="007238A3" w:rsidRPr="007860DE">
        <w:rPr>
          <w:rFonts w:ascii="Arial" w:hAnsi="Arial" w:cs="Arial"/>
          <w:lang w:val="en-IE"/>
        </w:rPr>
        <w:t>1</w:t>
      </w:r>
      <w:r w:rsidR="00E34F2B">
        <w:rPr>
          <w:rFonts w:ascii="Arial" w:hAnsi="Arial" w:cs="Arial"/>
          <w:lang w:val="en-IE"/>
        </w:rPr>
        <w:t>1</w:t>
      </w:r>
    </w:p>
    <w:p w14:paraId="28E2ED3D" w14:textId="6AC5EDF0" w:rsidR="004E6424" w:rsidRPr="007860DE" w:rsidRDefault="004E6424" w:rsidP="004E6424">
      <w:pPr>
        <w:snapToGrid w:val="0"/>
        <w:rPr>
          <w:rFonts w:ascii="Arial" w:hAnsi="Arial" w:cs="Arial"/>
          <w:lang w:val="en-IE"/>
        </w:rPr>
      </w:pPr>
      <w:r w:rsidRPr="007860DE">
        <w:rPr>
          <w:rFonts w:ascii="Arial" w:hAnsi="Arial" w:cs="Arial"/>
          <w:lang w:val="en-IE"/>
        </w:rPr>
        <w:t>Figure S8</w:t>
      </w:r>
      <w:r w:rsidRPr="007860DE">
        <w:rPr>
          <w:rFonts w:ascii="Arial" w:hAnsi="Arial" w:cs="Arial"/>
          <w:lang w:val="en-IE"/>
        </w:rPr>
        <w:tab/>
      </w:r>
      <w:r w:rsidRPr="007860DE">
        <w:rPr>
          <w:rFonts w:ascii="Arial" w:hAnsi="Arial" w:cs="Arial"/>
          <w:lang w:val="en-IE"/>
        </w:rPr>
        <w:tab/>
      </w:r>
      <w:r w:rsidRPr="007860DE">
        <w:rPr>
          <w:rFonts w:ascii="Arial" w:hAnsi="Arial" w:cs="Arial"/>
          <w:lang w:val="en-IE"/>
        </w:rPr>
        <w:tab/>
        <w:t>1</w:t>
      </w:r>
      <w:r w:rsidR="00E34F2B">
        <w:rPr>
          <w:rFonts w:ascii="Arial" w:hAnsi="Arial" w:cs="Arial"/>
          <w:lang w:val="en-IE"/>
        </w:rPr>
        <w:t>2</w:t>
      </w:r>
    </w:p>
    <w:p w14:paraId="24B40D09" w14:textId="05CAC24A" w:rsidR="004E6424" w:rsidRPr="007860DE" w:rsidRDefault="004E6424" w:rsidP="004E6424">
      <w:pPr>
        <w:snapToGrid w:val="0"/>
        <w:rPr>
          <w:rFonts w:ascii="Arial" w:hAnsi="Arial" w:cs="Arial"/>
          <w:lang w:val="en-IE"/>
        </w:rPr>
      </w:pPr>
      <w:r w:rsidRPr="007860DE">
        <w:rPr>
          <w:rFonts w:ascii="Arial" w:hAnsi="Arial" w:cs="Arial"/>
          <w:lang w:val="en-IE"/>
        </w:rPr>
        <w:t>Figure S9</w:t>
      </w:r>
      <w:r w:rsidRPr="007860DE">
        <w:rPr>
          <w:rFonts w:ascii="Arial" w:hAnsi="Arial" w:cs="Arial"/>
          <w:lang w:val="en-IE"/>
        </w:rPr>
        <w:tab/>
      </w:r>
      <w:r w:rsidRPr="007860DE">
        <w:rPr>
          <w:rFonts w:ascii="Arial" w:hAnsi="Arial" w:cs="Arial"/>
          <w:lang w:val="en-IE"/>
        </w:rPr>
        <w:tab/>
      </w:r>
      <w:r w:rsidRPr="007860DE">
        <w:rPr>
          <w:rFonts w:ascii="Arial" w:hAnsi="Arial" w:cs="Arial"/>
          <w:lang w:val="en-IE"/>
        </w:rPr>
        <w:tab/>
        <w:t>1</w:t>
      </w:r>
      <w:r w:rsidR="00E34F2B">
        <w:rPr>
          <w:rFonts w:ascii="Arial" w:hAnsi="Arial" w:cs="Arial"/>
          <w:lang w:val="en-IE"/>
        </w:rPr>
        <w:t>3</w:t>
      </w:r>
    </w:p>
    <w:p w14:paraId="2A64DDE0" w14:textId="77945EAB" w:rsidR="004E6424" w:rsidRPr="007860DE" w:rsidRDefault="004E6424" w:rsidP="004E6424">
      <w:pPr>
        <w:snapToGrid w:val="0"/>
        <w:rPr>
          <w:rFonts w:ascii="Arial" w:hAnsi="Arial" w:cs="Arial"/>
          <w:lang w:val="en-IE"/>
        </w:rPr>
      </w:pPr>
      <w:r w:rsidRPr="007860DE">
        <w:rPr>
          <w:rFonts w:ascii="Arial" w:hAnsi="Arial" w:cs="Arial"/>
          <w:lang w:val="en-IE"/>
        </w:rPr>
        <w:t>Figure S10</w:t>
      </w:r>
      <w:r w:rsidRPr="007860DE">
        <w:rPr>
          <w:rFonts w:ascii="Arial" w:hAnsi="Arial" w:cs="Arial"/>
          <w:lang w:val="en-IE"/>
        </w:rPr>
        <w:tab/>
      </w:r>
      <w:r w:rsidRPr="007860DE">
        <w:rPr>
          <w:rFonts w:ascii="Arial" w:hAnsi="Arial" w:cs="Arial"/>
          <w:lang w:val="en-IE"/>
        </w:rPr>
        <w:tab/>
      </w:r>
      <w:r w:rsidRPr="007860DE">
        <w:rPr>
          <w:rFonts w:ascii="Arial" w:hAnsi="Arial" w:cs="Arial"/>
          <w:lang w:val="en-IE"/>
        </w:rPr>
        <w:tab/>
        <w:t>1</w:t>
      </w:r>
      <w:r w:rsidR="00E34F2B">
        <w:rPr>
          <w:rFonts w:ascii="Arial" w:hAnsi="Arial" w:cs="Arial"/>
          <w:lang w:val="en-IE"/>
        </w:rPr>
        <w:t>4</w:t>
      </w:r>
    </w:p>
    <w:p w14:paraId="7AA0986A" w14:textId="3F023B26" w:rsidR="004E6424" w:rsidRPr="007860DE" w:rsidRDefault="004E6424" w:rsidP="004E6424">
      <w:pPr>
        <w:snapToGrid w:val="0"/>
        <w:rPr>
          <w:rFonts w:ascii="Arial" w:hAnsi="Arial" w:cs="Arial"/>
          <w:lang w:val="en-IE"/>
        </w:rPr>
      </w:pPr>
      <w:r w:rsidRPr="007860DE">
        <w:rPr>
          <w:rFonts w:ascii="Arial" w:hAnsi="Arial" w:cs="Arial"/>
          <w:lang w:val="en-IE"/>
        </w:rPr>
        <w:t>Figure S11</w:t>
      </w:r>
      <w:r w:rsidRPr="007860DE">
        <w:rPr>
          <w:rFonts w:ascii="Arial" w:hAnsi="Arial" w:cs="Arial"/>
          <w:lang w:val="en-IE"/>
        </w:rPr>
        <w:tab/>
      </w:r>
      <w:r w:rsidRPr="007860DE">
        <w:rPr>
          <w:rFonts w:ascii="Arial" w:hAnsi="Arial" w:cs="Arial"/>
          <w:lang w:val="en-IE"/>
        </w:rPr>
        <w:tab/>
      </w:r>
      <w:r w:rsidRPr="007860DE">
        <w:rPr>
          <w:rFonts w:ascii="Arial" w:hAnsi="Arial" w:cs="Arial"/>
          <w:lang w:val="en-IE"/>
        </w:rPr>
        <w:tab/>
        <w:t>1</w:t>
      </w:r>
      <w:r w:rsidR="00E34F2B">
        <w:rPr>
          <w:rFonts w:ascii="Arial" w:hAnsi="Arial" w:cs="Arial"/>
          <w:lang w:val="en-IE"/>
        </w:rPr>
        <w:t>5</w:t>
      </w:r>
    </w:p>
    <w:p w14:paraId="7E0403A1" w14:textId="54ADFF4B" w:rsidR="004E6424" w:rsidRPr="007860DE" w:rsidRDefault="004E6424" w:rsidP="004E6424">
      <w:pPr>
        <w:snapToGrid w:val="0"/>
        <w:rPr>
          <w:rFonts w:ascii="Arial" w:hAnsi="Arial" w:cs="Arial"/>
          <w:lang w:val="en-IE"/>
        </w:rPr>
      </w:pPr>
      <w:r w:rsidRPr="007860DE">
        <w:rPr>
          <w:rFonts w:ascii="Arial" w:hAnsi="Arial" w:cs="Arial"/>
          <w:lang w:val="en-IE"/>
        </w:rPr>
        <w:t>Figure S12</w:t>
      </w:r>
      <w:r w:rsidRPr="007860DE">
        <w:rPr>
          <w:rFonts w:ascii="Arial" w:hAnsi="Arial" w:cs="Arial"/>
          <w:lang w:val="en-IE"/>
        </w:rPr>
        <w:tab/>
      </w:r>
      <w:r w:rsidRPr="007860DE">
        <w:rPr>
          <w:rFonts w:ascii="Arial" w:hAnsi="Arial" w:cs="Arial"/>
          <w:lang w:val="en-IE"/>
        </w:rPr>
        <w:tab/>
      </w:r>
      <w:r w:rsidRPr="007860DE">
        <w:rPr>
          <w:rFonts w:ascii="Arial" w:hAnsi="Arial" w:cs="Arial"/>
          <w:lang w:val="en-IE"/>
        </w:rPr>
        <w:tab/>
        <w:t>1</w:t>
      </w:r>
      <w:r w:rsidR="00E34F2B">
        <w:rPr>
          <w:rFonts w:ascii="Arial" w:hAnsi="Arial" w:cs="Arial"/>
          <w:lang w:val="en-IE"/>
        </w:rPr>
        <w:t>6</w:t>
      </w:r>
    </w:p>
    <w:p w14:paraId="7B0C31B1" w14:textId="3B50F630" w:rsidR="004E6424" w:rsidRPr="007860DE" w:rsidRDefault="004E6424" w:rsidP="004E6424">
      <w:pPr>
        <w:snapToGrid w:val="0"/>
        <w:rPr>
          <w:rFonts w:ascii="Arial" w:hAnsi="Arial" w:cs="Arial"/>
          <w:lang w:val="en-IE"/>
        </w:rPr>
      </w:pPr>
      <w:r w:rsidRPr="007860DE">
        <w:rPr>
          <w:rFonts w:ascii="Arial" w:hAnsi="Arial" w:cs="Arial"/>
          <w:lang w:val="en-IE"/>
        </w:rPr>
        <w:t>Figure S13</w:t>
      </w:r>
      <w:r w:rsidRPr="007860DE">
        <w:rPr>
          <w:rFonts w:ascii="Arial" w:hAnsi="Arial" w:cs="Arial"/>
          <w:lang w:val="en-IE"/>
        </w:rPr>
        <w:tab/>
      </w:r>
      <w:r w:rsidRPr="007860DE">
        <w:rPr>
          <w:rFonts w:ascii="Arial" w:hAnsi="Arial" w:cs="Arial"/>
          <w:lang w:val="en-IE"/>
        </w:rPr>
        <w:tab/>
      </w:r>
      <w:r w:rsidRPr="007860DE">
        <w:rPr>
          <w:rFonts w:ascii="Arial" w:hAnsi="Arial" w:cs="Arial"/>
          <w:lang w:val="en-IE"/>
        </w:rPr>
        <w:tab/>
        <w:t>1</w:t>
      </w:r>
      <w:r w:rsidR="00E34F2B">
        <w:rPr>
          <w:rFonts w:ascii="Arial" w:hAnsi="Arial" w:cs="Arial"/>
          <w:lang w:val="en-IE"/>
        </w:rPr>
        <w:t>7</w:t>
      </w:r>
    </w:p>
    <w:p w14:paraId="1DDB5D65" w14:textId="4C30C5F9" w:rsidR="004E6424" w:rsidRPr="007860DE" w:rsidRDefault="004E6424" w:rsidP="004E6424">
      <w:pPr>
        <w:snapToGrid w:val="0"/>
        <w:rPr>
          <w:rFonts w:ascii="Arial" w:hAnsi="Arial" w:cs="Arial"/>
          <w:lang w:val="en-IE"/>
        </w:rPr>
      </w:pPr>
      <w:r w:rsidRPr="007860DE">
        <w:rPr>
          <w:rFonts w:ascii="Arial" w:hAnsi="Arial" w:cs="Arial"/>
          <w:lang w:val="en-IE"/>
        </w:rPr>
        <w:t>Figure S14</w:t>
      </w:r>
      <w:r w:rsidRPr="007860DE">
        <w:rPr>
          <w:rFonts w:ascii="Arial" w:hAnsi="Arial" w:cs="Arial"/>
          <w:lang w:val="en-IE"/>
        </w:rPr>
        <w:tab/>
      </w:r>
      <w:r w:rsidRPr="007860DE">
        <w:rPr>
          <w:rFonts w:ascii="Arial" w:hAnsi="Arial" w:cs="Arial"/>
          <w:lang w:val="en-IE"/>
        </w:rPr>
        <w:tab/>
      </w:r>
      <w:r w:rsidRPr="007860DE">
        <w:rPr>
          <w:rFonts w:ascii="Arial" w:hAnsi="Arial" w:cs="Arial"/>
          <w:lang w:val="en-IE"/>
        </w:rPr>
        <w:tab/>
        <w:t>1</w:t>
      </w:r>
      <w:r w:rsidR="00E34F2B">
        <w:rPr>
          <w:rFonts w:ascii="Arial" w:hAnsi="Arial" w:cs="Arial"/>
          <w:lang w:val="en-IE"/>
        </w:rPr>
        <w:t>8</w:t>
      </w:r>
    </w:p>
    <w:p w14:paraId="039ABC8B" w14:textId="4070DFF1" w:rsidR="004E6424" w:rsidRPr="007860DE" w:rsidRDefault="004E6424" w:rsidP="004E6424">
      <w:pPr>
        <w:snapToGrid w:val="0"/>
        <w:rPr>
          <w:rFonts w:ascii="Arial" w:hAnsi="Arial" w:cs="Arial"/>
          <w:lang w:val="en-IE"/>
        </w:rPr>
      </w:pPr>
      <w:r w:rsidRPr="007860DE">
        <w:rPr>
          <w:rFonts w:ascii="Arial" w:hAnsi="Arial" w:cs="Arial"/>
          <w:lang w:val="en-IE"/>
        </w:rPr>
        <w:t>Figure S15</w:t>
      </w:r>
      <w:r w:rsidRPr="007860DE">
        <w:rPr>
          <w:rFonts w:ascii="Arial" w:hAnsi="Arial" w:cs="Arial"/>
          <w:lang w:val="en-IE"/>
        </w:rPr>
        <w:tab/>
      </w:r>
      <w:r w:rsidRPr="007860DE">
        <w:rPr>
          <w:rFonts w:ascii="Arial" w:hAnsi="Arial" w:cs="Arial"/>
          <w:lang w:val="en-IE"/>
        </w:rPr>
        <w:tab/>
      </w:r>
      <w:r w:rsidRPr="007860DE">
        <w:rPr>
          <w:rFonts w:ascii="Arial" w:hAnsi="Arial" w:cs="Arial"/>
          <w:lang w:val="en-IE"/>
        </w:rPr>
        <w:tab/>
        <w:t>1</w:t>
      </w:r>
      <w:r w:rsidR="00E34F2B">
        <w:rPr>
          <w:rFonts w:ascii="Arial" w:hAnsi="Arial" w:cs="Arial"/>
          <w:lang w:val="en-IE"/>
        </w:rPr>
        <w:t>9</w:t>
      </w:r>
    </w:p>
    <w:p w14:paraId="4C7F1D0A" w14:textId="4F979B13" w:rsidR="00E06C0E" w:rsidRPr="007860DE" w:rsidRDefault="00E06C0E" w:rsidP="004E6424">
      <w:pPr>
        <w:snapToGrid w:val="0"/>
        <w:rPr>
          <w:rFonts w:ascii="Arial" w:hAnsi="Arial" w:cs="Arial"/>
          <w:lang w:val="en-IE"/>
        </w:rPr>
      </w:pPr>
      <w:r w:rsidRPr="007860DE">
        <w:rPr>
          <w:rFonts w:ascii="Arial" w:hAnsi="Arial" w:cs="Arial"/>
          <w:lang w:val="en-IE"/>
        </w:rPr>
        <w:t>Figure S16</w:t>
      </w:r>
      <w:r w:rsidRPr="007860DE">
        <w:rPr>
          <w:rFonts w:ascii="Arial" w:hAnsi="Arial" w:cs="Arial"/>
          <w:lang w:val="en-IE"/>
        </w:rPr>
        <w:tab/>
      </w:r>
      <w:r w:rsidRPr="007860DE">
        <w:rPr>
          <w:rFonts w:ascii="Arial" w:hAnsi="Arial" w:cs="Arial"/>
          <w:lang w:val="en-IE"/>
        </w:rPr>
        <w:tab/>
      </w:r>
      <w:r w:rsidRPr="007860DE">
        <w:rPr>
          <w:rFonts w:ascii="Arial" w:hAnsi="Arial" w:cs="Arial"/>
          <w:lang w:val="en-IE"/>
        </w:rPr>
        <w:tab/>
      </w:r>
      <w:r w:rsidR="00E34F2B">
        <w:rPr>
          <w:rFonts w:ascii="Arial" w:hAnsi="Arial" w:cs="Arial"/>
          <w:lang w:val="en-IE"/>
        </w:rPr>
        <w:t>20</w:t>
      </w:r>
    </w:p>
    <w:p w14:paraId="2303D386" w14:textId="78F14388" w:rsidR="00FE185C" w:rsidRDefault="00FE185C" w:rsidP="00FE185C">
      <w:pPr>
        <w:snapToGrid w:val="0"/>
        <w:rPr>
          <w:rFonts w:ascii="Arial" w:hAnsi="Arial" w:cs="Arial"/>
          <w:lang w:val="en-IE"/>
        </w:rPr>
      </w:pPr>
      <w:r w:rsidRPr="007860DE">
        <w:rPr>
          <w:rFonts w:ascii="Arial" w:hAnsi="Arial" w:cs="Arial"/>
          <w:lang w:val="en-IE"/>
        </w:rPr>
        <w:t>Figure S1</w:t>
      </w:r>
      <w:r>
        <w:rPr>
          <w:rFonts w:ascii="Arial" w:hAnsi="Arial" w:cs="Arial"/>
          <w:lang w:val="en-IE"/>
        </w:rPr>
        <w:t>7</w:t>
      </w:r>
      <w:r w:rsidRPr="007860DE">
        <w:rPr>
          <w:rFonts w:ascii="Arial" w:hAnsi="Arial" w:cs="Arial"/>
          <w:lang w:val="en-IE"/>
        </w:rPr>
        <w:tab/>
      </w:r>
      <w:r w:rsidRPr="007860DE">
        <w:rPr>
          <w:rFonts w:ascii="Arial" w:hAnsi="Arial" w:cs="Arial"/>
          <w:lang w:val="en-IE"/>
        </w:rPr>
        <w:tab/>
      </w:r>
      <w:r w:rsidRPr="007860DE">
        <w:rPr>
          <w:rFonts w:ascii="Arial" w:hAnsi="Arial" w:cs="Arial"/>
          <w:lang w:val="en-IE"/>
        </w:rPr>
        <w:tab/>
      </w:r>
      <w:r>
        <w:rPr>
          <w:rFonts w:ascii="Arial" w:hAnsi="Arial" w:cs="Arial"/>
          <w:lang w:val="en-IE"/>
        </w:rPr>
        <w:t>21</w:t>
      </w:r>
    </w:p>
    <w:p w14:paraId="7FCABF62" w14:textId="2EE6DCFF" w:rsidR="00FE185C" w:rsidRPr="00FE185C" w:rsidRDefault="00FE185C" w:rsidP="00FE185C">
      <w:pPr>
        <w:snapToGrid w:val="0"/>
        <w:rPr>
          <w:rFonts w:ascii="Arial" w:hAnsi="Arial" w:cs="Arial"/>
          <w:lang w:val="en-IE"/>
        </w:rPr>
      </w:pPr>
      <w:r w:rsidRPr="007860DE">
        <w:rPr>
          <w:rFonts w:ascii="Arial" w:hAnsi="Arial" w:cs="Arial"/>
          <w:lang w:val="en-IE"/>
        </w:rPr>
        <w:t>Figure S1</w:t>
      </w:r>
      <w:r>
        <w:rPr>
          <w:rFonts w:ascii="Arial" w:hAnsi="Arial" w:cs="Arial"/>
          <w:lang w:val="en-IE"/>
        </w:rPr>
        <w:t>8</w:t>
      </w:r>
      <w:r w:rsidRPr="007860DE">
        <w:rPr>
          <w:rFonts w:ascii="Arial" w:hAnsi="Arial" w:cs="Arial"/>
          <w:lang w:val="en-IE"/>
        </w:rPr>
        <w:tab/>
      </w:r>
      <w:r w:rsidRPr="007860DE">
        <w:rPr>
          <w:rFonts w:ascii="Arial" w:hAnsi="Arial" w:cs="Arial"/>
          <w:lang w:val="en-IE"/>
        </w:rPr>
        <w:tab/>
      </w:r>
      <w:r w:rsidRPr="007860DE">
        <w:rPr>
          <w:rFonts w:ascii="Arial" w:hAnsi="Arial" w:cs="Arial"/>
          <w:lang w:val="en-IE"/>
        </w:rPr>
        <w:tab/>
      </w:r>
      <w:r>
        <w:rPr>
          <w:rFonts w:ascii="Arial" w:hAnsi="Arial" w:cs="Arial"/>
          <w:lang w:val="en-IE"/>
        </w:rPr>
        <w:t>22</w:t>
      </w:r>
    </w:p>
    <w:p w14:paraId="148F5F62" w14:textId="77777777" w:rsidR="00FE185C" w:rsidRDefault="00FE185C">
      <w:pPr>
        <w:rPr>
          <w:rFonts w:ascii="Arial" w:hAnsi="Arial" w:cs="Arial"/>
          <w:b/>
          <w:bCs/>
          <w:lang w:val="en-IE"/>
        </w:rPr>
      </w:pPr>
    </w:p>
    <w:p w14:paraId="7959E3B4" w14:textId="64D683E9" w:rsidR="004E6424" w:rsidRPr="007860DE" w:rsidRDefault="004E6424">
      <w:pPr>
        <w:rPr>
          <w:rFonts w:ascii="Arial" w:hAnsi="Arial" w:cs="Arial"/>
          <w:b/>
          <w:bCs/>
          <w:lang w:val="en-IE"/>
        </w:rPr>
      </w:pPr>
      <w:r w:rsidRPr="007860DE">
        <w:rPr>
          <w:rFonts w:ascii="Arial" w:hAnsi="Arial" w:cs="Arial"/>
          <w:b/>
          <w:bCs/>
          <w:lang w:val="en-IE"/>
        </w:rPr>
        <w:br w:type="page"/>
      </w:r>
    </w:p>
    <w:p w14:paraId="006D7315" w14:textId="4CB29062" w:rsidR="00546C14" w:rsidRPr="007860DE" w:rsidRDefault="00546C14" w:rsidP="00FD0AFA">
      <w:pPr>
        <w:snapToGrid w:val="0"/>
        <w:rPr>
          <w:rFonts w:ascii="Arial" w:hAnsi="Arial" w:cs="Arial"/>
          <w:b/>
          <w:bCs/>
          <w:lang w:val="en-IE"/>
        </w:rPr>
      </w:pPr>
      <w:r w:rsidRPr="007860DE">
        <w:rPr>
          <w:rFonts w:ascii="Arial" w:hAnsi="Arial" w:cs="Arial"/>
          <w:b/>
          <w:bCs/>
          <w:lang w:val="en-IE"/>
        </w:rPr>
        <w:lastRenderedPageBreak/>
        <w:t xml:space="preserve">Supplementary </w:t>
      </w:r>
      <w:r w:rsidR="004E6424" w:rsidRPr="007860DE">
        <w:rPr>
          <w:rFonts w:ascii="Arial" w:hAnsi="Arial" w:cs="Arial"/>
          <w:b/>
          <w:bCs/>
          <w:lang w:val="en-IE"/>
        </w:rPr>
        <w:t>Results</w:t>
      </w:r>
    </w:p>
    <w:p w14:paraId="5828154B" w14:textId="77777777" w:rsidR="00546C14" w:rsidRPr="007860DE" w:rsidRDefault="00546C14" w:rsidP="00C76668">
      <w:pPr>
        <w:snapToGrid w:val="0"/>
        <w:rPr>
          <w:rFonts w:ascii="Arial" w:hAnsi="Arial" w:cs="Arial"/>
          <w:b/>
          <w:bCs/>
          <w:lang w:val="en-IE"/>
        </w:rPr>
      </w:pPr>
    </w:p>
    <w:p w14:paraId="2E84A9C1" w14:textId="6F4F8181" w:rsidR="00FD0AFA" w:rsidRPr="007860DE" w:rsidRDefault="00FD0AFA" w:rsidP="00FD0AFA">
      <w:pPr>
        <w:snapToGrid w:val="0"/>
        <w:rPr>
          <w:rFonts w:ascii="Arial" w:hAnsi="Arial" w:cs="Arial"/>
          <w:b/>
          <w:bCs/>
          <w:lang w:val="en-IE"/>
        </w:rPr>
      </w:pPr>
      <w:r w:rsidRPr="007860DE">
        <w:rPr>
          <w:rFonts w:ascii="Arial" w:hAnsi="Arial" w:cs="Arial"/>
          <w:b/>
          <w:bCs/>
          <w:lang w:val="en-IE"/>
        </w:rPr>
        <w:t>Genetic variation at genes associated with attenuated virulence</w:t>
      </w:r>
    </w:p>
    <w:p w14:paraId="32710CFB" w14:textId="77777777" w:rsidR="00FD0AFA" w:rsidRPr="007860DE" w:rsidRDefault="00FD0AFA" w:rsidP="00FD0AFA">
      <w:pPr>
        <w:snapToGrid w:val="0"/>
        <w:rPr>
          <w:rFonts w:ascii="Arial" w:hAnsi="Arial" w:cs="Arial"/>
          <w:lang w:val="en-IE"/>
        </w:rPr>
      </w:pPr>
    </w:p>
    <w:p w14:paraId="360BD80B" w14:textId="355B93C3" w:rsidR="00FD0AFA" w:rsidRPr="007860DE" w:rsidRDefault="00FD0AFA" w:rsidP="00FD0AFA">
      <w:pPr>
        <w:snapToGrid w:val="0"/>
        <w:rPr>
          <w:rFonts w:ascii="Arial" w:hAnsi="Arial" w:cs="Arial"/>
          <w:color w:val="000000"/>
        </w:rPr>
      </w:pPr>
      <w:r w:rsidRPr="007860DE">
        <w:rPr>
          <w:rFonts w:ascii="Arial" w:hAnsi="Arial" w:cs="Arial"/>
          <w:lang w:val="en-IE"/>
        </w:rPr>
        <w:t>Genes associated with attenuated virulence were conserved and retained low or moderate levels of variability. These genes encoded a</w:t>
      </w:r>
      <w:proofErr w:type="spellStart"/>
      <w:r w:rsidRPr="007860DE">
        <w:rPr>
          <w:rFonts w:ascii="Arial" w:hAnsi="Arial" w:cs="Arial"/>
        </w:rPr>
        <w:t>nkyrin</w:t>
      </w:r>
      <w:proofErr w:type="spellEnd"/>
      <w:r w:rsidRPr="007860DE">
        <w:rPr>
          <w:rFonts w:ascii="Arial" w:hAnsi="Arial" w:cs="Arial"/>
        </w:rPr>
        <w:t xml:space="preserve">-repeat proteins (LSVD012, LSVD145, LSVD147, LSVD148); a </w:t>
      </w:r>
      <w:proofErr w:type="spellStart"/>
      <w:r w:rsidRPr="007860DE">
        <w:rPr>
          <w:rFonts w:ascii="Arial" w:hAnsi="Arial" w:cs="Arial"/>
        </w:rPr>
        <w:t>kelch</w:t>
      </w:r>
      <w:proofErr w:type="spellEnd"/>
      <w:r w:rsidRPr="007860DE">
        <w:rPr>
          <w:rFonts w:ascii="Arial" w:hAnsi="Arial" w:cs="Arial"/>
        </w:rPr>
        <w:t xml:space="preserve">-like proteins (LSDV019, LSDV144, LSDV151), a B22R-like protein (LSDV134) and host range factors (LSDV067, LSDV141). </w:t>
      </w:r>
      <w:r w:rsidRPr="007860DE">
        <w:rPr>
          <w:rFonts w:ascii="Arial" w:hAnsi="Arial" w:cs="Arial"/>
          <w:color w:val="000000"/>
        </w:rPr>
        <w:t>LSDV134 is a 6.1 Kb gene encoding a variola virus B22R-like protein similar to mpox protein MPXV197 that inhibits host immune responses via T-cell maturation (</w:t>
      </w:r>
      <w:proofErr w:type="spellStart"/>
      <w:r w:rsidRPr="007860DE">
        <w:rPr>
          <w:rFonts w:ascii="Arial" w:hAnsi="Arial" w:cs="Arial"/>
          <w:color w:val="000000"/>
        </w:rPr>
        <w:t>Alzhanova</w:t>
      </w:r>
      <w:proofErr w:type="spellEnd"/>
      <w:r w:rsidRPr="007860DE">
        <w:rPr>
          <w:rFonts w:ascii="Arial" w:hAnsi="Arial" w:cs="Arial"/>
          <w:color w:val="000000"/>
        </w:rPr>
        <w:t xml:space="preserve"> et al 2024). In Clade 3.1, this was fragmented into putative CDSs of 2.4, 0.2, 0.5, 0.4 and 2.4 Kb, suggesting an absence of a functional B22R protein, which is associated with vaccine-related CaPV (</w:t>
      </w:r>
      <w:proofErr w:type="spellStart"/>
      <w:r w:rsidRPr="007860DE">
        <w:rPr>
          <w:rFonts w:ascii="Arial" w:hAnsi="Arial" w:cs="Arial"/>
          <w:color w:val="000000"/>
        </w:rPr>
        <w:t>Berguido</w:t>
      </w:r>
      <w:proofErr w:type="spellEnd"/>
      <w:r w:rsidRPr="007860DE">
        <w:rPr>
          <w:rFonts w:ascii="Arial" w:hAnsi="Arial" w:cs="Arial"/>
          <w:color w:val="000000"/>
        </w:rPr>
        <w:t xml:space="preserve"> et al 2023) and attenuated virulence (</w:t>
      </w:r>
      <w:proofErr w:type="spellStart"/>
      <w:r w:rsidRPr="007860DE">
        <w:rPr>
          <w:rFonts w:ascii="Arial" w:hAnsi="Arial" w:cs="Arial"/>
          <w:color w:val="000000"/>
        </w:rPr>
        <w:t>Alzhanova</w:t>
      </w:r>
      <w:proofErr w:type="spellEnd"/>
      <w:r w:rsidRPr="007860DE">
        <w:rPr>
          <w:rFonts w:ascii="Arial" w:hAnsi="Arial" w:cs="Arial"/>
          <w:color w:val="000000"/>
        </w:rPr>
        <w:t xml:space="preserve"> et al 2024).</w:t>
      </w:r>
    </w:p>
    <w:p w14:paraId="588A2F06" w14:textId="77777777" w:rsidR="00D43BF8" w:rsidRPr="007860DE" w:rsidRDefault="00D43BF8" w:rsidP="00FD0AFA">
      <w:pPr>
        <w:snapToGrid w:val="0"/>
        <w:rPr>
          <w:rFonts w:ascii="Arial" w:hAnsi="Arial" w:cs="Arial"/>
          <w:color w:val="000000"/>
        </w:rPr>
      </w:pPr>
    </w:p>
    <w:p w14:paraId="4396FBEC" w14:textId="7017515D" w:rsidR="00D43BF8" w:rsidRPr="007860DE" w:rsidRDefault="00D43BF8" w:rsidP="00D43BF8">
      <w:pPr>
        <w:snapToGrid w:val="0"/>
        <w:rPr>
          <w:rFonts w:ascii="Arial" w:hAnsi="Arial" w:cs="Arial"/>
          <w:b/>
          <w:bCs/>
          <w:lang w:val="en-IE"/>
        </w:rPr>
      </w:pPr>
      <w:r w:rsidRPr="007860DE">
        <w:rPr>
          <w:rFonts w:ascii="Arial" w:hAnsi="Arial" w:cs="Arial"/>
          <w:b/>
          <w:bCs/>
          <w:lang w:val="en-IE"/>
        </w:rPr>
        <w:t>Genetic variation at genes associated with CaPV species specificity - LSDV009, LSDV013, LSDV132 &amp; LSDV136</w:t>
      </w:r>
    </w:p>
    <w:p w14:paraId="597B0E25" w14:textId="77777777" w:rsidR="00D43BF8" w:rsidRPr="007860DE" w:rsidRDefault="00D43BF8" w:rsidP="00D43BF8">
      <w:pPr>
        <w:snapToGrid w:val="0"/>
        <w:rPr>
          <w:rFonts w:ascii="Arial" w:hAnsi="Arial" w:cs="Arial"/>
          <w:lang w:val="en-IE"/>
        </w:rPr>
      </w:pPr>
    </w:p>
    <w:p w14:paraId="60DA89AA" w14:textId="46D966C2" w:rsidR="00D43BF8" w:rsidRPr="007860DE" w:rsidRDefault="00D43BF8" w:rsidP="00D43BF8">
      <w:pPr>
        <w:snapToGrid w:val="0"/>
        <w:rPr>
          <w:rFonts w:ascii="Arial" w:hAnsi="Arial" w:cs="Arial"/>
          <w:lang w:val="en-IE"/>
        </w:rPr>
      </w:pPr>
      <w:r w:rsidRPr="007860DE">
        <w:rPr>
          <w:rFonts w:ascii="Arial" w:hAnsi="Arial" w:cs="Arial"/>
          <w:lang w:val="en-IE"/>
        </w:rPr>
        <w:t>LSDV009 encodes putative alpha amanitin-sensitive protein from the A52R-like family in LSDV that has homology with the N2L protein. There were three distinct haplotypes at LSDV009 (at NC_004003.1:5,583-5,899): one (359 bp) unique to Clade 2.3, another (271 bp) in five samples (AY077835.1, AY077836.1, KX576657.1, MN072622.1, NC_004003.1), the third (522 bp) in the other five Clade 2.1 samples, and PV167794.1 had a mix of these haplotypes (Figure S1</w:t>
      </w:r>
      <w:r w:rsidR="007A374E">
        <w:rPr>
          <w:rFonts w:ascii="Arial" w:hAnsi="Arial" w:cs="Arial"/>
          <w:lang w:val="en-IE"/>
        </w:rPr>
        <w:t>4</w:t>
      </w:r>
      <w:r w:rsidRPr="007860DE">
        <w:rPr>
          <w:rFonts w:ascii="Arial" w:hAnsi="Arial" w:cs="Arial"/>
          <w:lang w:val="en-IE"/>
        </w:rPr>
        <w:t xml:space="preserve">). </w:t>
      </w:r>
    </w:p>
    <w:p w14:paraId="3AE03200" w14:textId="77777777" w:rsidR="00D43BF8" w:rsidRPr="007860DE" w:rsidRDefault="00D43BF8" w:rsidP="00D43BF8">
      <w:pPr>
        <w:snapToGrid w:val="0"/>
        <w:rPr>
          <w:rFonts w:ascii="Arial" w:hAnsi="Arial" w:cs="Arial"/>
          <w:lang w:val="en-IE"/>
        </w:rPr>
      </w:pPr>
    </w:p>
    <w:p w14:paraId="45EAEB6A" w14:textId="361A3467" w:rsidR="00D43BF8" w:rsidRPr="007860DE" w:rsidRDefault="00D43BF8" w:rsidP="00D43BF8">
      <w:pPr>
        <w:snapToGrid w:val="0"/>
        <w:rPr>
          <w:rFonts w:ascii="Arial" w:hAnsi="Arial" w:cs="Arial"/>
          <w:lang w:val="en-IE"/>
        </w:rPr>
      </w:pPr>
      <w:r w:rsidRPr="007860DE">
        <w:rPr>
          <w:rFonts w:ascii="Arial" w:hAnsi="Arial" w:cs="Arial"/>
          <w:lang w:val="en-IE"/>
        </w:rPr>
        <w:t>LSDV013 encodes an interleukin-1 receptor (IL-1R) homolog, which can bind and inactivate host IL-1β, but is truncated some LSDV, as well as GTPV and SPPV (REF). In GTPV, the region similar to this gene (at NC_004003.1:8,395-9,465) had a high rate of SNPs with two haplotypes: one 735 bp in Clade 2.3 and the other 721 bp in Clades 2.1 and 2.2 (Figure S1</w:t>
      </w:r>
      <w:r w:rsidR="007A374E">
        <w:rPr>
          <w:rFonts w:ascii="Arial" w:hAnsi="Arial" w:cs="Arial"/>
          <w:lang w:val="en-IE"/>
        </w:rPr>
        <w:t>5</w:t>
      </w:r>
      <w:r w:rsidRPr="007860DE">
        <w:rPr>
          <w:rFonts w:ascii="Arial" w:hAnsi="Arial" w:cs="Arial"/>
          <w:lang w:val="en-IE"/>
        </w:rPr>
        <w:t xml:space="preserve">). Within GTPV and SPPV, LSDV013 had a high rate of nonsynonymous changes, symptomatic of pseudogenisation. </w:t>
      </w:r>
    </w:p>
    <w:p w14:paraId="60560AF0" w14:textId="77777777" w:rsidR="00D43BF8" w:rsidRPr="007860DE" w:rsidRDefault="00D43BF8" w:rsidP="00D43BF8">
      <w:pPr>
        <w:snapToGrid w:val="0"/>
        <w:rPr>
          <w:rFonts w:ascii="Arial" w:hAnsi="Arial" w:cs="Arial"/>
        </w:rPr>
      </w:pPr>
    </w:p>
    <w:p w14:paraId="5FEE7353" w14:textId="4011FE92" w:rsidR="00D43BF8" w:rsidRPr="007860DE" w:rsidRDefault="00D43BF8" w:rsidP="00D43BF8">
      <w:pPr>
        <w:snapToGrid w:val="0"/>
        <w:rPr>
          <w:rFonts w:ascii="Arial" w:hAnsi="Arial" w:cs="Arial"/>
          <w:lang w:val="en-IE"/>
        </w:rPr>
      </w:pPr>
      <w:r w:rsidRPr="007860DE">
        <w:rPr>
          <w:rFonts w:ascii="Arial" w:hAnsi="Arial" w:cs="Arial"/>
          <w:lang w:val="en-IE"/>
        </w:rPr>
        <w:t>The region similar to GTPV LSDV132 had a high rate of nonsynonymous SNPs (PN/PS 3/0) and structural changes with limited clade-related structure (Figure S1</w:t>
      </w:r>
      <w:r w:rsidR="007A374E">
        <w:rPr>
          <w:rFonts w:ascii="Arial" w:hAnsi="Arial" w:cs="Arial"/>
          <w:lang w:val="en-IE"/>
        </w:rPr>
        <w:t>6</w:t>
      </w:r>
      <w:r w:rsidRPr="007860DE">
        <w:rPr>
          <w:rFonts w:ascii="Arial" w:hAnsi="Arial" w:cs="Arial"/>
          <w:lang w:val="en-IE"/>
        </w:rPr>
        <w:t xml:space="preserve">). SPPV LSDV132 had high rate of nonsynonymous SNPs too (PN/PS 16/0), </w:t>
      </w:r>
      <w:r w:rsidRPr="007860DE">
        <w:rPr>
          <w:rFonts w:ascii="Arial" w:hAnsi="Arial" w:cs="Arial"/>
        </w:rPr>
        <w:t xml:space="preserve">as did the ancestral DN/DS rate (17/0). </w:t>
      </w:r>
      <w:r w:rsidRPr="007860DE">
        <w:rPr>
          <w:rFonts w:ascii="Arial" w:hAnsi="Arial" w:cs="Arial"/>
          <w:lang w:val="en-IE"/>
        </w:rPr>
        <w:t xml:space="preserve">This low rate of conservation was consistent with pseudogenisation, </w:t>
      </w:r>
      <w:r w:rsidR="007860DE" w:rsidRPr="007860DE">
        <w:rPr>
          <w:rFonts w:ascii="Arial" w:hAnsi="Arial" w:cs="Arial"/>
          <w:lang w:val="en-IE"/>
        </w:rPr>
        <w:t>like</w:t>
      </w:r>
      <w:r w:rsidRPr="007860DE">
        <w:rPr>
          <w:rFonts w:ascii="Arial" w:hAnsi="Arial" w:cs="Arial"/>
          <w:lang w:val="en-IE"/>
        </w:rPr>
        <w:t xml:space="preserve"> previous work (Xie et al 2024). </w:t>
      </w:r>
      <w:r w:rsidR="00476218" w:rsidRPr="007860DE">
        <w:rPr>
          <w:rFonts w:ascii="Arial" w:hAnsi="Arial" w:cs="Arial"/>
          <w:lang w:val="en-IE"/>
        </w:rPr>
        <w:t xml:space="preserve">In LSDV, LSDV132 supports viral replication by delayed host cell apoptosis (Wang et al 2025). </w:t>
      </w:r>
    </w:p>
    <w:p w14:paraId="59CB24B2" w14:textId="77777777" w:rsidR="00D43BF8" w:rsidRPr="007860DE" w:rsidRDefault="00D43BF8" w:rsidP="00D43BF8">
      <w:pPr>
        <w:snapToGrid w:val="0"/>
        <w:rPr>
          <w:rFonts w:ascii="Arial" w:hAnsi="Arial" w:cs="Arial"/>
          <w:lang w:val="en-IE"/>
        </w:rPr>
      </w:pPr>
    </w:p>
    <w:p w14:paraId="0A87F48D" w14:textId="71278376" w:rsidR="00D43BF8" w:rsidRPr="007860DE" w:rsidRDefault="00D43BF8" w:rsidP="00FD0AFA">
      <w:pPr>
        <w:snapToGrid w:val="0"/>
        <w:rPr>
          <w:rFonts w:ascii="Arial" w:hAnsi="Arial" w:cs="Arial"/>
          <w:lang w:val="en-IE"/>
        </w:rPr>
      </w:pPr>
      <w:r w:rsidRPr="007860DE">
        <w:rPr>
          <w:rFonts w:ascii="Arial" w:hAnsi="Arial" w:cs="Arial"/>
          <w:lang w:val="en-IE"/>
        </w:rPr>
        <w:t>GTPV LSDV136 had a high level of population structure, suggestive of long-term conservation within clades, and was likely had a functional ORF in Clades 2.1 and 2.2 (Figure S1</w:t>
      </w:r>
      <w:r w:rsidR="007A374E">
        <w:rPr>
          <w:rFonts w:ascii="Arial" w:hAnsi="Arial" w:cs="Arial"/>
          <w:lang w:val="en-IE"/>
        </w:rPr>
        <w:t>7</w:t>
      </w:r>
      <w:r w:rsidRPr="007860DE">
        <w:rPr>
          <w:rFonts w:ascii="Arial" w:hAnsi="Arial" w:cs="Arial"/>
          <w:lang w:val="en-IE"/>
        </w:rPr>
        <w:t>). In SPPV, most diversity at LSDV136 was within Clade 3.1 (Figure S1</w:t>
      </w:r>
      <w:r w:rsidR="007A374E">
        <w:rPr>
          <w:rFonts w:ascii="Arial" w:hAnsi="Arial" w:cs="Arial"/>
          <w:lang w:val="en-IE"/>
        </w:rPr>
        <w:t>3</w:t>
      </w:r>
      <w:r w:rsidRPr="007860DE">
        <w:rPr>
          <w:rFonts w:ascii="Arial" w:hAnsi="Arial" w:cs="Arial"/>
          <w:lang w:val="en-IE"/>
        </w:rPr>
        <w:t>). Diversity within LSDV136 was conserved within GTPV (PN/PS 6/6) but not SPPV (PN/PS 11/0), consistent with continued function in GTPV but not in SPPV.</w:t>
      </w:r>
    </w:p>
    <w:p w14:paraId="7F6BF62F" w14:textId="77777777" w:rsidR="00FD0AFA" w:rsidRPr="007860DE" w:rsidRDefault="00FD0AFA" w:rsidP="00FD0AFA">
      <w:pPr>
        <w:snapToGrid w:val="0"/>
        <w:rPr>
          <w:rFonts w:ascii="Arial" w:hAnsi="Arial" w:cs="Arial"/>
        </w:rPr>
      </w:pPr>
    </w:p>
    <w:p w14:paraId="6BD06142" w14:textId="77777777" w:rsidR="00FD0AFA" w:rsidRPr="007860DE" w:rsidRDefault="00FD0AFA" w:rsidP="00FD0AFA">
      <w:pPr>
        <w:snapToGrid w:val="0"/>
        <w:rPr>
          <w:rFonts w:ascii="Arial" w:hAnsi="Arial" w:cs="Arial"/>
          <w:b/>
          <w:bCs/>
          <w:lang w:val="en-IE"/>
        </w:rPr>
      </w:pPr>
      <w:r w:rsidRPr="007860DE">
        <w:rPr>
          <w:rFonts w:ascii="Arial" w:hAnsi="Arial" w:cs="Arial"/>
          <w:b/>
          <w:bCs/>
          <w:lang w:val="en-IE"/>
        </w:rPr>
        <w:t>Genetic variation at genes associated with diagnostics</w:t>
      </w:r>
    </w:p>
    <w:p w14:paraId="3430084E" w14:textId="77777777" w:rsidR="00FD0AFA" w:rsidRPr="007860DE" w:rsidRDefault="00FD0AFA" w:rsidP="00FD0AFA">
      <w:pPr>
        <w:snapToGrid w:val="0"/>
        <w:rPr>
          <w:rFonts w:ascii="Arial" w:hAnsi="Arial" w:cs="Arial"/>
        </w:rPr>
      </w:pPr>
    </w:p>
    <w:p w14:paraId="31BB5E65" w14:textId="20D5F67D" w:rsidR="00FD0AFA" w:rsidRPr="007860DE" w:rsidRDefault="00FD0AFA" w:rsidP="00FD0AFA">
      <w:pPr>
        <w:snapToGrid w:val="0"/>
        <w:rPr>
          <w:rFonts w:ascii="Arial" w:hAnsi="Arial" w:cs="Arial"/>
          <w:lang w:val="en-IE"/>
        </w:rPr>
      </w:pPr>
      <w:r w:rsidRPr="007860DE">
        <w:rPr>
          <w:rFonts w:ascii="Arial" w:hAnsi="Arial" w:cs="Arial"/>
        </w:rPr>
        <w:t>Diversity at three regions associated with diagnostic assay differentiating CaPV were examined</w:t>
      </w:r>
      <w:r w:rsidR="00FD65DA">
        <w:rPr>
          <w:rFonts w:ascii="Arial" w:hAnsi="Arial" w:cs="Arial"/>
        </w:rPr>
        <w:t xml:space="preserve"> (Table S</w:t>
      </w:r>
      <w:r w:rsidR="00BE08ED">
        <w:rPr>
          <w:rFonts w:ascii="Arial" w:hAnsi="Arial" w:cs="Arial"/>
        </w:rPr>
        <w:t>7</w:t>
      </w:r>
      <w:r w:rsidR="00FD65DA">
        <w:rPr>
          <w:rFonts w:ascii="Arial" w:hAnsi="Arial" w:cs="Arial"/>
        </w:rPr>
        <w:t>)</w:t>
      </w:r>
      <w:r w:rsidRPr="007860DE">
        <w:rPr>
          <w:rFonts w:ascii="Arial" w:hAnsi="Arial" w:cs="Arial"/>
        </w:rPr>
        <w:t xml:space="preserve">. The first was LSDV074, a p32 gene encoding an IMV envelope protein that is a </w:t>
      </w:r>
      <w:r w:rsidRPr="007860DE">
        <w:rPr>
          <w:rFonts w:ascii="Arial" w:hAnsi="Arial" w:cs="Arial"/>
          <w:lang w:val="en-IE"/>
        </w:rPr>
        <w:t>VACV H3L homolog. The second was</w:t>
      </w:r>
      <w:r w:rsidRPr="007860DE">
        <w:rPr>
          <w:rFonts w:ascii="Arial" w:hAnsi="Arial" w:cs="Arial"/>
        </w:rPr>
        <w:t xml:space="preserve"> </w:t>
      </w:r>
      <w:r w:rsidRPr="007860DE">
        <w:rPr>
          <w:rFonts w:ascii="Arial" w:hAnsi="Arial" w:cs="Arial"/>
          <w:lang w:val="en-IE"/>
        </w:rPr>
        <w:t>LSDV036, a RPO30 gene encoding an RNA polymerase 30 </w:t>
      </w:r>
      <w:proofErr w:type="spellStart"/>
      <w:r w:rsidRPr="007860DE">
        <w:rPr>
          <w:rFonts w:ascii="Arial" w:hAnsi="Arial" w:cs="Arial"/>
          <w:lang w:val="en-IE"/>
        </w:rPr>
        <w:t>kDa</w:t>
      </w:r>
      <w:proofErr w:type="spellEnd"/>
      <w:r w:rsidRPr="007860DE">
        <w:rPr>
          <w:rFonts w:ascii="Arial" w:hAnsi="Arial" w:cs="Arial"/>
          <w:lang w:val="en-IE"/>
        </w:rPr>
        <w:t xml:space="preserve"> subunit that is a VACV E4L homolog with a 21 bp deletion unique to SPPV (Lamien et al 2011). The third was LSDV146, a G-protein-coupled chemokine receptor aka GPCR gene encoding a phospholipase-D-like protein. </w:t>
      </w:r>
    </w:p>
    <w:p w14:paraId="7C211C28" w14:textId="77777777" w:rsidR="00FD0AFA" w:rsidRPr="007860DE" w:rsidRDefault="00FD0AFA" w:rsidP="00FD0AFA">
      <w:pPr>
        <w:snapToGrid w:val="0"/>
        <w:rPr>
          <w:rFonts w:ascii="Arial" w:hAnsi="Arial" w:cs="Arial"/>
          <w:lang w:val="en-IE"/>
        </w:rPr>
      </w:pPr>
    </w:p>
    <w:p w14:paraId="1D423813" w14:textId="68FCECF6" w:rsidR="00FD0AFA" w:rsidRPr="007860DE" w:rsidRDefault="00FD0AFA" w:rsidP="00FD0AFA">
      <w:pPr>
        <w:snapToGrid w:val="0"/>
        <w:rPr>
          <w:rFonts w:ascii="Arial" w:hAnsi="Arial" w:cs="Arial"/>
          <w:lang w:val="en-IE"/>
        </w:rPr>
      </w:pPr>
      <w:r w:rsidRPr="007860DE">
        <w:rPr>
          <w:rFonts w:ascii="Arial" w:hAnsi="Arial" w:cs="Arial"/>
          <w:lang w:val="en-IE"/>
        </w:rPr>
        <w:lastRenderedPageBreak/>
        <w:t xml:space="preserve">In addition, diversity at regions specific to either SPPV (LSDV045 encoding a DNA-binding phosphoprotein similar to VACV I3L), GTPV (LSDV099 encoding an intermediate transcription factor VITF-3), the WT LSDV Clade 1.2 (LSDV126 encoding an EEV glycoprotein similar to VACV A36R; and LSDV133 encoding a DNA ligase-like protein similar to VACV B22R), and vaccine-linked LSDV Clade 1.1 (LSDV144 encoding a </w:t>
      </w:r>
      <w:proofErr w:type="spellStart"/>
      <w:r w:rsidRPr="007860DE">
        <w:rPr>
          <w:rFonts w:ascii="Arial" w:hAnsi="Arial" w:cs="Arial"/>
          <w:lang w:val="en-IE"/>
        </w:rPr>
        <w:t>kelch</w:t>
      </w:r>
      <w:proofErr w:type="spellEnd"/>
      <w:r w:rsidRPr="007860DE">
        <w:rPr>
          <w:rFonts w:ascii="Arial" w:hAnsi="Arial" w:cs="Arial"/>
          <w:lang w:val="en-IE"/>
        </w:rPr>
        <w:t xml:space="preserve">-like protein) were explored. </w:t>
      </w:r>
      <w:r w:rsidR="00FD65DA">
        <w:rPr>
          <w:rFonts w:ascii="Arial" w:hAnsi="Arial" w:cs="Arial"/>
          <w:lang w:val="en-IE"/>
        </w:rPr>
        <w:t>Known gene synonyms are in Table S</w:t>
      </w:r>
      <w:r w:rsidR="00BE08ED">
        <w:rPr>
          <w:rFonts w:ascii="Arial" w:hAnsi="Arial" w:cs="Arial"/>
          <w:lang w:val="en-IE"/>
        </w:rPr>
        <w:t>8</w:t>
      </w:r>
      <w:r w:rsidR="00FD65DA">
        <w:rPr>
          <w:rFonts w:ascii="Arial" w:hAnsi="Arial" w:cs="Arial"/>
          <w:lang w:val="en-IE"/>
        </w:rPr>
        <w:t>.</w:t>
      </w:r>
    </w:p>
    <w:p w14:paraId="7329B91F" w14:textId="77777777" w:rsidR="00F20D6E" w:rsidRPr="007860DE" w:rsidRDefault="00F20D6E" w:rsidP="00FD0AFA">
      <w:pPr>
        <w:snapToGrid w:val="0"/>
        <w:rPr>
          <w:rFonts w:ascii="Arial" w:hAnsi="Arial" w:cs="Arial"/>
          <w:lang w:val="en-IE"/>
        </w:rPr>
      </w:pPr>
    </w:p>
    <w:p w14:paraId="500C3103" w14:textId="482F578A" w:rsidR="00F20D6E" w:rsidRPr="007860DE" w:rsidRDefault="00F20D6E" w:rsidP="00FD0AFA">
      <w:pPr>
        <w:snapToGrid w:val="0"/>
        <w:rPr>
          <w:rFonts w:ascii="Arial" w:hAnsi="Arial" w:cs="Arial"/>
          <w:b/>
          <w:bCs/>
          <w:lang w:val="en-IE"/>
        </w:rPr>
      </w:pPr>
      <w:r w:rsidRPr="007860DE">
        <w:rPr>
          <w:rFonts w:ascii="Arial" w:hAnsi="Arial" w:cs="Arial"/>
          <w:b/>
          <w:bCs/>
          <w:lang w:val="en-IE"/>
        </w:rPr>
        <w:t>Gene-specific patterns of selection</w:t>
      </w:r>
    </w:p>
    <w:p w14:paraId="7B1B0D41" w14:textId="77777777" w:rsidR="00F20D6E" w:rsidRPr="007860DE" w:rsidRDefault="00F20D6E" w:rsidP="00FD0AFA">
      <w:pPr>
        <w:snapToGrid w:val="0"/>
        <w:rPr>
          <w:rFonts w:ascii="Arial" w:hAnsi="Arial" w:cs="Arial"/>
          <w:b/>
          <w:bCs/>
          <w:lang w:val="en-IE"/>
        </w:rPr>
      </w:pPr>
    </w:p>
    <w:p w14:paraId="4C01CA6B" w14:textId="6CC9BF9F" w:rsidR="00F20D6E" w:rsidRPr="007860DE" w:rsidRDefault="00F20D6E" w:rsidP="00F20D6E">
      <w:pPr>
        <w:snapToGrid w:val="0"/>
        <w:rPr>
          <w:rFonts w:ascii="Arial" w:hAnsi="Arial" w:cs="Arial"/>
          <w:lang w:val="en-IE"/>
        </w:rPr>
      </w:pPr>
      <w:r w:rsidRPr="007860DE">
        <w:rPr>
          <w:rFonts w:ascii="Arial" w:hAnsi="Arial" w:cs="Arial"/>
          <w:lang w:val="en-IE"/>
        </w:rPr>
        <w:t xml:space="preserve">Five genes were under ancestral positive selection that were conserved in GTPV but not SPPV: LSDV069 encoding a RNA polymerase subunit essential for viral replication (Chen et al 2025); LSDV070 encoding another IMV membrane protein potentially involved in cell entry; LSDV074 encoding an intracellular mature virion (IMV) envelope protein essential for virus morphogenesis; LSDV088 encoding a </w:t>
      </w:r>
      <w:proofErr w:type="spellStart"/>
      <w:r w:rsidRPr="007860DE">
        <w:rPr>
          <w:rFonts w:ascii="Arial" w:hAnsi="Arial" w:cs="Arial"/>
          <w:lang w:val="en-IE"/>
        </w:rPr>
        <w:t>NTPase</w:t>
      </w:r>
      <w:proofErr w:type="spellEnd"/>
      <w:r w:rsidRPr="007860DE">
        <w:rPr>
          <w:rFonts w:ascii="Arial" w:hAnsi="Arial" w:cs="Arial"/>
          <w:lang w:val="en-IE"/>
        </w:rPr>
        <w:t>/ATPase (NPH-I) essential for virus survival; LSDV136 encoding a protein in the A52R</w:t>
      </w:r>
      <w:r w:rsidRPr="007860DE">
        <w:rPr>
          <w:rFonts w:ascii="Arial" w:hAnsi="Arial" w:cs="Arial"/>
        </w:rPr>
        <w:t xml:space="preserve"> family</w:t>
      </w:r>
      <w:r w:rsidRPr="007860DE">
        <w:rPr>
          <w:rFonts w:ascii="Arial" w:hAnsi="Arial" w:cs="Arial"/>
          <w:lang w:val="en-IE"/>
        </w:rPr>
        <w:t xml:space="preserve"> that may </w:t>
      </w:r>
      <w:r w:rsidRPr="007860DE">
        <w:rPr>
          <w:rFonts w:ascii="Arial" w:hAnsi="Arial" w:cs="Arial"/>
        </w:rPr>
        <w:t>inhibit apoptosis or pro-inflammatory transcription factor activation</w:t>
      </w:r>
      <w:r w:rsidRPr="007860DE">
        <w:rPr>
          <w:rFonts w:ascii="Arial" w:hAnsi="Arial" w:cs="Arial"/>
          <w:lang w:val="en-IE"/>
        </w:rPr>
        <w:t xml:space="preserve"> (Tulman et al 2002).</w:t>
      </w:r>
    </w:p>
    <w:p w14:paraId="7BBF3FC3" w14:textId="77777777" w:rsidR="00F20D6E" w:rsidRPr="007860DE" w:rsidRDefault="00F20D6E" w:rsidP="00F20D6E">
      <w:pPr>
        <w:snapToGrid w:val="0"/>
        <w:rPr>
          <w:rFonts w:ascii="Arial" w:hAnsi="Arial" w:cs="Arial"/>
          <w:lang w:val="en-IE"/>
        </w:rPr>
      </w:pPr>
    </w:p>
    <w:p w14:paraId="72FE1452" w14:textId="73657E28" w:rsidR="00F20D6E" w:rsidRPr="007860DE" w:rsidRDefault="00F20D6E" w:rsidP="00F20D6E">
      <w:pPr>
        <w:snapToGrid w:val="0"/>
        <w:rPr>
          <w:rFonts w:ascii="Arial" w:hAnsi="Arial" w:cs="Arial"/>
          <w:lang w:val="en-IE"/>
        </w:rPr>
      </w:pPr>
      <w:r w:rsidRPr="007860DE">
        <w:rPr>
          <w:rFonts w:ascii="Arial" w:hAnsi="Arial" w:cs="Arial"/>
          <w:lang w:val="en-IE"/>
        </w:rPr>
        <w:t xml:space="preserve">Twelve genes had signals of ancestral adaptive evolution that were conserved in SPPV but not GTPV: LSDV005 encoding an IL-10-like protein that </w:t>
      </w:r>
      <w:r w:rsidR="007860DE" w:rsidRPr="007860DE">
        <w:rPr>
          <w:rFonts w:ascii="Arial" w:hAnsi="Arial" w:cs="Arial"/>
          <w:lang w:val="en-IE"/>
        </w:rPr>
        <w:t>mimics</w:t>
      </w:r>
      <w:r w:rsidRPr="007860DE">
        <w:rPr>
          <w:rFonts w:ascii="Arial" w:hAnsi="Arial" w:cs="Arial"/>
          <w:lang w:val="en-IE"/>
        </w:rPr>
        <w:t xml:space="preserve"> IL-10 to downregulate host immune responses; LSDV056 encoding a VACV M51R homolog; LSDV064 encoding a membrane protein required for cell entry; nearby LSDV067 encoding a host range protein that moderates host immune responses; LSDV087 encoding a </w:t>
      </w:r>
      <w:proofErr w:type="spellStart"/>
      <w:r w:rsidRPr="007860DE">
        <w:rPr>
          <w:rFonts w:ascii="Arial" w:hAnsi="Arial" w:cs="Arial"/>
          <w:lang w:val="en-IE"/>
        </w:rPr>
        <w:t>mutT</w:t>
      </w:r>
      <w:proofErr w:type="spellEnd"/>
      <w:r w:rsidRPr="007860DE">
        <w:rPr>
          <w:rFonts w:ascii="Arial" w:hAnsi="Arial" w:cs="Arial"/>
          <w:lang w:val="en-IE"/>
        </w:rPr>
        <w:t xml:space="preserve"> motif protein that </w:t>
      </w:r>
      <w:proofErr w:type="spellStart"/>
      <w:r w:rsidRPr="007860DE">
        <w:rPr>
          <w:rFonts w:ascii="Arial" w:hAnsi="Arial" w:cs="Arial"/>
          <w:lang w:val="en-IE"/>
        </w:rPr>
        <w:t>decaps</w:t>
      </w:r>
      <w:proofErr w:type="spellEnd"/>
      <w:r w:rsidRPr="007860DE">
        <w:rPr>
          <w:rFonts w:ascii="Arial" w:hAnsi="Arial" w:cs="Arial"/>
          <w:lang w:val="en-IE"/>
        </w:rPr>
        <w:t xml:space="preserve"> mRNA; LSDV095 encoding a virion core protein essential for virus morphogenesis; LSDV104 encoding another IMV envelope protein; LSDV112 encoding a DNA polymerase processivity factor involved in DNA replication; LSDV128 encoding a CD47-like protein that likely mimics host CD47 to moderate associated immune responses (Tulman 2002); LSDV130 encoding a hypothetical protein that may be a calcium-binding regulatory protein; LSDV141 encoding an extracellular enveloped virion (EEV) membrane protein that may have a role in virus formation and spread; and LSDV142 encoding a protein with a Bcl-2 domain that inhibits type 1 INFB by binding IRF3.</w:t>
      </w:r>
    </w:p>
    <w:p w14:paraId="450024B9" w14:textId="77777777" w:rsidR="007860DE" w:rsidRPr="007860DE" w:rsidRDefault="007860DE" w:rsidP="007860DE">
      <w:pPr>
        <w:snapToGrid w:val="0"/>
        <w:rPr>
          <w:rFonts w:ascii="Arial" w:hAnsi="Arial" w:cs="Arial"/>
          <w:lang w:val="en-IE"/>
        </w:rPr>
      </w:pPr>
    </w:p>
    <w:p w14:paraId="318D961D" w14:textId="1FC4A643" w:rsidR="007860DE" w:rsidRPr="007860DE" w:rsidRDefault="007860DE" w:rsidP="007860DE">
      <w:pPr>
        <w:snapToGrid w:val="0"/>
        <w:rPr>
          <w:rFonts w:ascii="Arial" w:hAnsi="Arial" w:cs="Arial"/>
          <w:lang w:val="en-IE"/>
        </w:rPr>
      </w:pPr>
      <w:r w:rsidRPr="007860DE">
        <w:rPr>
          <w:rFonts w:ascii="Arial" w:hAnsi="Arial" w:cs="Arial"/>
          <w:lang w:val="en-IE"/>
        </w:rPr>
        <w:t xml:space="preserve">LSDV039 encodes a high-fidelity DNA polymerase, which is essential for replication and recombination (Moss 2024). This gene had one of the highest rates of nonsynonymous changes in GTPV, LSDV and SPPV, and yet was conserved within GTPV (PN/PS 69/122) and SPPV (PN/PS 25/26) and on the ancestral lineage (20/54) (Figure S16). At this gene, GTPV was the most ancient and had the most diversity. </w:t>
      </w:r>
    </w:p>
    <w:p w14:paraId="40B1621A" w14:textId="77777777" w:rsidR="007860DE" w:rsidRPr="007860DE" w:rsidRDefault="007860DE" w:rsidP="007860DE">
      <w:pPr>
        <w:snapToGrid w:val="0"/>
        <w:rPr>
          <w:rFonts w:ascii="Arial" w:hAnsi="Arial" w:cs="Arial"/>
          <w:lang w:val="en-IE"/>
        </w:rPr>
      </w:pPr>
    </w:p>
    <w:p w14:paraId="700D5A41" w14:textId="16BC07DA" w:rsidR="007860DE" w:rsidRPr="007860DE" w:rsidRDefault="007860DE" w:rsidP="007860DE">
      <w:pPr>
        <w:snapToGrid w:val="0"/>
        <w:rPr>
          <w:rFonts w:ascii="Arial" w:hAnsi="Arial" w:cs="Arial"/>
          <w:b/>
          <w:bCs/>
          <w:lang w:val="en-IE"/>
        </w:rPr>
      </w:pPr>
      <w:r w:rsidRPr="007860DE">
        <w:rPr>
          <w:rFonts w:ascii="Arial" w:hAnsi="Arial" w:cs="Arial"/>
          <w:b/>
          <w:bCs/>
          <w:lang w:val="en-IE"/>
        </w:rPr>
        <w:t xml:space="preserve">Gene-specific patterns of </w:t>
      </w:r>
      <w:r>
        <w:rPr>
          <w:rFonts w:ascii="Arial" w:hAnsi="Arial" w:cs="Arial"/>
          <w:b/>
          <w:bCs/>
          <w:lang w:val="en-IE"/>
        </w:rPr>
        <w:t>adaptation in LSDV067 (C7L)</w:t>
      </w:r>
    </w:p>
    <w:p w14:paraId="4DF81102" w14:textId="77777777" w:rsidR="007860DE" w:rsidRPr="007860DE" w:rsidRDefault="007860DE" w:rsidP="00F20D6E">
      <w:pPr>
        <w:snapToGrid w:val="0"/>
        <w:rPr>
          <w:rFonts w:ascii="Arial" w:hAnsi="Arial" w:cs="Arial"/>
          <w:lang w:val="en-IE"/>
        </w:rPr>
      </w:pPr>
    </w:p>
    <w:p w14:paraId="7EED15D8" w14:textId="4BDBB1E2" w:rsidR="00F20D6E" w:rsidRDefault="00F20D6E" w:rsidP="00F20D6E">
      <w:pPr>
        <w:snapToGrid w:val="0"/>
        <w:rPr>
          <w:rFonts w:ascii="Arial" w:hAnsi="Arial" w:cs="Arial"/>
          <w:lang w:val="en-IE"/>
        </w:rPr>
      </w:pPr>
      <w:r w:rsidRPr="007860DE">
        <w:rPr>
          <w:rFonts w:ascii="Arial" w:hAnsi="Arial" w:cs="Arial"/>
          <w:lang w:val="en-IE"/>
        </w:rPr>
        <w:t xml:space="preserve">SPPV had </w:t>
      </w:r>
      <w:r w:rsidR="007860DE" w:rsidRPr="007860DE">
        <w:rPr>
          <w:rFonts w:ascii="Arial" w:hAnsi="Arial" w:cs="Arial"/>
          <w:lang w:val="en-IE"/>
        </w:rPr>
        <w:t xml:space="preserve">LSDV067 </w:t>
      </w:r>
      <w:r w:rsidR="007860DE">
        <w:rPr>
          <w:rFonts w:ascii="Arial" w:hAnsi="Arial" w:cs="Arial"/>
          <w:lang w:val="en-IE"/>
        </w:rPr>
        <w:t xml:space="preserve">(C7L) </w:t>
      </w:r>
      <w:r w:rsidRPr="007860DE">
        <w:rPr>
          <w:rFonts w:ascii="Arial" w:hAnsi="Arial" w:cs="Arial"/>
          <w:lang w:val="en-IE"/>
        </w:rPr>
        <w:t>changes that were likely to have limited functional effects: S23 (TCC) compared to A23 (GCC) in GTPV (and LSDV), along with I27 (ATT) instead of V27 (GTT) in GTPV (and LSDV). In GTPV compared to SPPV (and LSDV), it has N134 (AAC) versus D134 (GAC), V181 (GTG) versus A181 (GCG), and V192 (GTG) versus C192 (TGC). V192 potentially has a substantial effect. GTPV and SPPV share A210 (GCC) compared to T210 (ACC) in LSDV, along with lacking a glycine-rich expansion at LSDV amino acids 285+ that may have a large effect.</w:t>
      </w:r>
    </w:p>
    <w:p w14:paraId="5BD6882D" w14:textId="77777777" w:rsidR="00524FBE" w:rsidRDefault="00524FBE" w:rsidP="00F20D6E">
      <w:pPr>
        <w:snapToGrid w:val="0"/>
        <w:rPr>
          <w:rFonts w:ascii="Arial" w:hAnsi="Arial" w:cs="Arial"/>
          <w:lang w:val="en-IE"/>
        </w:rPr>
      </w:pPr>
    </w:p>
    <w:p w14:paraId="522A7CA0" w14:textId="2A2FB52E" w:rsidR="00524FBE" w:rsidRPr="00524FBE" w:rsidRDefault="00524FBE" w:rsidP="00F20D6E">
      <w:pPr>
        <w:snapToGrid w:val="0"/>
        <w:rPr>
          <w:rFonts w:ascii="Arial" w:hAnsi="Arial" w:cs="Arial"/>
          <w:b/>
          <w:bCs/>
          <w:lang w:val="en-IE"/>
        </w:rPr>
      </w:pPr>
      <w:r w:rsidRPr="00524FBE">
        <w:rPr>
          <w:rFonts w:ascii="Arial" w:hAnsi="Arial" w:cs="Arial"/>
          <w:b/>
          <w:bCs/>
          <w:lang w:val="en-IE"/>
        </w:rPr>
        <w:t>Supplementary References</w:t>
      </w:r>
    </w:p>
    <w:p w14:paraId="40872DB1" w14:textId="77777777" w:rsidR="00524FBE" w:rsidRDefault="00524FBE" w:rsidP="00F20D6E">
      <w:pPr>
        <w:snapToGrid w:val="0"/>
        <w:rPr>
          <w:rFonts w:ascii="Arial" w:hAnsi="Arial" w:cs="Arial"/>
          <w:lang w:val="en-IE"/>
        </w:rPr>
      </w:pPr>
    </w:p>
    <w:p w14:paraId="008A253B" w14:textId="63538D01" w:rsidR="00524FBE" w:rsidRDefault="00524FBE" w:rsidP="00524FBE">
      <w:pPr>
        <w:snapToGrid w:val="0"/>
        <w:ind w:left="709" w:hanging="709"/>
        <w:rPr>
          <w:rFonts w:ascii="Arial" w:hAnsi="Arial" w:cs="Arial"/>
          <w:color w:val="000000"/>
        </w:rPr>
      </w:pPr>
      <w:proofErr w:type="spellStart"/>
      <w:r w:rsidRPr="005B4BC0">
        <w:rPr>
          <w:rFonts w:ascii="Arial" w:hAnsi="Arial" w:cs="Arial"/>
          <w:color w:val="000000"/>
        </w:rPr>
        <w:t>Alzhanova</w:t>
      </w:r>
      <w:proofErr w:type="spellEnd"/>
      <w:r w:rsidRPr="005B4BC0">
        <w:rPr>
          <w:rFonts w:ascii="Arial" w:hAnsi="Arial" w:cs="Arial"/>
          <w:color w:val="000000"/>
        </w:rPr>
        <w:t xml:space="preserve"> D, Hammarlund E, Reed J, </w:t>
      </w:r>
      <w:proofErr w:type="spellStart"/>
      <w:r w:rsidRPr="005B4BC0">
        <w:rPr>
          <w:rFonts w:ascii="Arial" w:hAnsi="Arial" w:cs="Arial"/>
          <w:color w:val="000000"/>
        </w:rPr>
        <w:t>Meermeier</w:t>
      </w:r>
      <w:proofErr w:type="spellEnd"/>
      <w:r w:rsidRPr="005B4BC0">
        <w:rPr>
          <w:rFonts w:ascii="Arial" w:hAnsi="Arial" w:cs="Arial"/>
          <w:color w:val="000000"/>
        </w:rPr>
        <w:t xml:space="preserve"> E, Rawlings S, Ray CA, Edwards DM, Bimber B, Legasse A, Planer S, Sprague J, Axthelm MK, Pickup DJ, </w:t>
      </w:r>
      <w:proofErr w:type="spellStart"/>
      <w:r w:rsidRPr="005B4BC0">
        <w:rPr>
          <w:rFonts w:ascii="Arial" w:hAnsi="Arial" w:cs="Arial"/>
          <w:color w:val="000000"/>
        </w:rPr>
        <w:t>Lewinsohn</w:t>
      </w:r>
      <w:proofErr w:type="spellEnd"/>
      <w:r w:rsidRPr="005B4BC0">
        <w:rPr>
          <w:rFonts w:ascii="Arial" w:hAnsi="Arial" w:cs="Arial"/>
          <w:color w:val="000000"/>
        </w:rPr>
        <w:t xml:space="preserve"> DM, Gold MC, Wong SW, Sacha JB, Slifka MK, </w:t>
      </w:r>
      <w:proofErr w:type="spellStart"/>
      <w:r w:rsidRPr="005B4BC0">
        <w:rPr>
          <w:rFonts w:ascii="Arial" w:hAnsi="Arial" w:cs="Arial"/>
          <w:color w:val="000000"/>
        </w:rPr>
        <w:t>Früh</w:t>
      </w:r>
      <w:proofErr w:type="spellEnd"/>
      <w:r w:rsidRPr="005B4BC0">
        <w:rPr>
          <w:rFonts w:ascii="Arial" w:hAnsi="Arial" w:cs="Arial"/>
          <w:color w:val="000000"/>
        </w:rPr>
        <w:t xml:space="preserve"> K. T cell inactivation by poxviral B22 </w:t>
      </w:r>
      <w:r w:rsidRPr="005B4BC0">
        <w:rPr>
          <w:rFonts w:ascii="Arial" w:hAnsi="Arial" w:cs="Arial"/>
          <w:color w:val="000000"/>
        </w:rPr>
        <w:lastRenderedPageBreak/>
        <w:t xml:space="preserve">family proteins increases viral virulence. </w:t>
      </w:r>
      <w:proofErr w:type="spellStart"/>
      <w:r w:rsidRPr="005B4BC0">
        <w:rPr>
          <w:rFonts w:ascii="Arial" w:hAnsi="Arial" w:cs="Arial"/>
          <w:color w:val="000000"/>
        </w:rPr>
        <w:t>PLoS</w:t>
      </w:r>
      <w:proofErr w:type="spellEnd"/>
      <w:r w:rsidRPr="005B4BC0">
        <w:rPr>
          <w:rFonts w:ascii="Arial" w:hAnsi="Arial" w:cs="Arial"/>
          <w:color w:val="000000"/>
        </w:rPr>
        <w:t xml:space="preserve"> </w:t>
      </w:r>
      <w:proofErr w:type="spellStart"/>
      <w:r w:rsidRPr="005B4BC0">
        <w:rPr>
          <w:rFonts w:ascii="Arial" w:hAnsi="Arial" w:cs="Arial"/>
          <w:color w:val="000000"/>
        </w:rPr>
        <w:t>Pathog</w:t>
      </w:r>
      <w:proofErr w:type="spellEnd"/>
      <w:r w:rsidRPr="005B4BC0">
        <w:rPr>
          <w:rFonts w:ascii="Arial" w:hAnsi="Arial" w:cs="Arial"/>
          <w:color w:val="000000"/>
        </w:rPr>
        <w:t xml:space="preserve">. 2014 10(5):e1004123. </w:t>
      </w:r>
      <w:proofErr w:type="spellStart"/>
      <w:r w:rsidRPr="005B4BC0">
        <w:rPr>
          <w:rFonts w:ascii="Arial" w:hAnsi="Arial" w:cs="Arial"/>
          <w:color w:val="000000"/>
        </w:rPr>
        <w:t>doi</w:t>
      </w:r>
      <w:proofErr w:type="spellEnd"/>
      <w:r w:rsidRPr="005B4BC0">
        <w:rPr>
          <w:rFonts w:ascii="Arial" w:hAnsi="Arial" w:cs="Arial"/>
          <w:color w:val="000000"/>
        </w:rPr>
        <w:t>: 10.1371/journal.ppat.1004123</w:t>
      </w:r>
    </w:p>
    <w:p w14:paraId="06C8D6B8" w14:textId="77777777" w:rsidR="00524FBE" w:rsidRDefault="00524FBE" w:rsidP="00524FBE">
      <w:pPr>
        <w:snapToGrid w:val="0"/>
        <w:ind w:left="709" w:hanging="709"/>
        <w:rPr>
          <w:rFonts w:ascii="Arial" w:hAnsi="Arial" w:cs="Arial"/>
          <w:color w:val="000000"/>
        </w:rPr>
      </w:pPr>
      <w:proofErr w:type="spellStart"/>
      <w:r w:rsidRPr="005B4BC0">
        <w:rPr>
          <w:rFonts w:ascii="Arial" w:hAnsi="Arial" w:cs="Arial"/>
          <w:color w:val="000000"/>
        </w:rPr>
        <w:t>Berguido</w:t>
      </w:r>
      <w:proofErr w:type="spellEnd"/>
      <w:r w:rsidRPr="005B4BC0">
        <w:rPr>
          <w:rFonts w:ascii="Arial" w:hAnsi="Arial" w:cs="Arial"/>
          <w:color w:val="000000"/>
        </w:rPr>
        <w:t xml:space="preserve"> FJ, </w:t>
      </w:r>
      <w:proofErr w:type="spellStart"/>
      <w:r w:rsidRPr="005B4BC0">
        <w:rPr>
          <w:rFonts w:ascii="Arial" w:hAnsi="Arial" w:cs="Arial"/>
          <w:color w:val="000000"/>
        </w:rPr>
        <w:t>Chibssa</w:t>
      </w:r>
      <w:proofErr w:type="spellEnd"/>
      <w:r w:rsidRPr="005B4BC0">
        <w:rPr>
          <w:rFonts w:ascii="Arial" w:hAnsi="Arial" w:cs="Arial"/>
          <w:color w:val="000000"/>
        </w:rPr>
        <w:t xml:space="preserve"> TR, </w:t>
      </w:r>
      <w:proofErr w:type="spellStart"/>
      <w:r w:rsidRPr="005B4BC0">
        <w:rPr>
          <w:rFonts w:ascii="Arial" w:hAnsi="Arial" w:cs="Arial"/>
          <w:color w:val="000000"/>
        </w:rPr>
        <w:t>Loitsch</w:t>
      </w:r>
      <w:proofErr w:type="spellEnd"/>
      <w:r w:rsidRPr="005B4BC0">
        <w:rPr>
          <w:rFonts w:ascii="Arial" w:hAnsi="Arial" w:cs="Arial"/>
          <w:color w:val="000000"/>
        </w:rPr>
        <w:t xml:space="preserve"> A, Liu Y, Krstevski K, </w:t>
      </w:r>
      <w:proofErr w:type="spellStart"/>
      <w:r w:rsidRPr="005B4BC0">
        <w:rPr>
          <w:rFonts w:ascii="Arial" w:hAnsi="Arial" w:cs="Arial"/>
          <w:color w:val="000000"/>
        </w:rPr>
        <w:t>Djadjovski</w:t>
      </w:r>
      <w:proofErr w:type="spellEnd"/>
      <w:r w:rsidRPr="005B4BC0">
        <w:rPr>
          <w:rFonts w:ascii="Arial" w:hAnsi="Arial" w:cs="Arial"/>
          <w:color w:val="000000"/>
        </w:rPr>
        <w:t xml:space="preserve"> I, Tuppurainen E, Petrović T, </w:t>
      </w:r>
      <w:proofErr w:type="spellStart"/>
      <w:r w:rsidRPr="005B4BC0">
        <w:rPr>
          <w:rFonts w:ascii="Arial" w:hAnsi="Arial" w:cs="Arial"/>
          <w:color w:val="000000"/>
        </w:rPr>
        <w:t>Vidanović</w:t>
      </w:r>
      <w:proofErr w:type="spellEnd"/>
      <w:r w:rsidRPr="005B4BC0">
        <w:rPr>
          <w:rFonts w:ascii="Arial" w:hAnsi="Arial" w:cs="Arial"/>
          <w:color w:val="000000"/>
        </w:rPr>
        <w:t xml:space="preserve"> D, </w:t>
      </w:r>
      <w:proofErr w:type="spellStart"/>
      <w:r w:rsidRPr="005B4BC0">
        <w:rPr>
          <w:rFonts w:ascii="Arial" w:hAnsi="Arial" w:cs="Arial"/>
          <w:color w:val="000000"/>
        </w:rPr>
        <w:t>Caufour</w:t>
      </w:r>
      <w:proofErr w:type="spellEnd"/>
      <w:r w:rsidRPr="005B4BC0">
        <w:rPr>
          <w:rFonts w:ascii="Arial" w:hAnsi="Arial" w:cs="Arial"/>
          <w:color w:val="000000"/>
        </w:rPr>
        <w:t xml:space="preserve"> P, </w:t>
      </w:r>
      <w:proofErr w:type="spellStart"/>
      <w:r w:rsidRPr="005B4BC0">
        <w:rPr>
          <w:rFonts w:ascii="Arial" w:hAnsi="Arial" w:cs="Arial"/>
          <w:color w:val="000000"/>
        </w:rPr>
        <w:t>Settypalli</w:t>
      </w:r>
      <w:proofErr w:type="spellEnd"/>
      <w:r w:rsidRPr="005B4BC0">
        <w:rPr>
          <w:rFonts w:ascii="Arial" w:hAnsi="Arial" w:cs="Arial"/>
          <w:color w:val="000000"/>
        </w:rPr>
        <w:t xml:space="preserve"> TBK, Grünwald-Gruber C, </w:t>
      </w:r>
      <w:proofErr w:type="spellStart"/>
      <w:r w:rsidRPr="005B4BC0">
        <w:rPr>
          <w:rFonts w:ascii="Arial" w:hAnsi="Arial" w:cs="Arial"/>
          <w:color w:val="000000"/>
        </w:rPr>
        <w:t>Grabherr</w:t>
      </w:r>
      <w:proofErr w:type="spellEnd"/>
      <w:r w:rsidRPr="005B4BC0">
        <w:rPr>
          <w:rFonts w:ascii="Arial" w:hAnsi="Arial" w:cs="Arial"/>
          <w:color w:val="000000"/>
        </w:rPr>
        <w:t xml:space="preserve"> R, Diallo A, </w:t>
      </w:r>
      <w:proofErr w:type="spellStart"/>
      <w:r w:rsidRPr="005B4BC0">
        <w:rPr>
          <w:rFonts w:ascii="Arial" w:hAnsi="Arial" w:cs="Arial"/>
          <w:color w:val="000000"/>
        </w:rPr>
        <w:t>Cattoli</w:t>
      </w:r>
      <w:proofErr w:type="spellEnd"/>
      <w:r w:rsidRPr="005B4BC0">
        <w:rPr>
          <w:rFonts w:ascii="Arial" w:hAnsi="Arial" w:cs="Arial"/>
          <w:color w:val="000000"/>
        </w:rPr>
        <w:t xml:space="preserve"> G, Lamien CE. Harnessing Attenuation-Related Mutations of Viral Genomes: Development of a Serological Assay to Differentiate between Capripoxvirus-Infected and -Vaccinated Animals. Viruses. 2023 15(12):2318. </w:t>
      </w:r>
      <w:proofErr w:type="spellStart"/>
      <w:r w:rsidRPr="005B4BC0">
        <w:rPr>
          <w:rFonts w:ascii="Arial" w:hAnsi="Arial" w:cs="Arial"/>
          <w:color w:val="000000"/>
        </w:rPr>
        <w:t>doi</w:t>
      </w:r>
      <w:proofErr w:type="spellEnd"/>
      <w:r w:rsidRPr="005B4BC0">
        <w:rPr>
          <w:rFonts w:ascii="Arial" w:hAnsi="Arial" w:cs="Arial"/>
          <w:color w:val="000000"/>
        </w:rPr>
        <w:t>: 10.3390/v15122318</w:t>
      </w:r>
    </w:p>
    <w:p w14:paraId="17168152" w14:textId="3589E953" w:rsidR="00524FBE" w:rsidRDefault="00524FBE" w:rsidP="00524FBE">
      <w:pPr>
        <w:snapToGrid w:val="0"/>
        <w:ind w:left="709" w:hanging="709"/>
        <w:rPr>
          <w:rFonts w:ascii="Arial" w:hAnsi="Arial" w:cs="Arial"/>
          <w:lang w:val="en-IE"/>
        </w:rPr>
      </w:pPr>
      <w:r w:rsidRPr="005B4BC0">
        <w:rPr>
          <w:rFonts w:ascii="Arial" w:hAnsi="Arial" w:cs="Arial"/>
          <w:lang w:val="en-IE"/>
        </w:rPr>
        <w:t xml:space="preserve">Lamien CE, Le Goff C, Silber R, Wallace DB, </w:t>
      </w:r>
      <w:proofErr w:type="spellStart"/>
      <w:r w:rsidRPr="005B4BC0">
        <w:rPr>
          <w:rFonts w:ascii="Arial" w:hAnsi="Arial" w:cs="Arial"/>
          <w:lang w:val="en-IE"/>
        </w:rPr>
        <w:t>Gulyaz</w:t>
      </w:r>
      <w:proofErr w:type="spellEnd"/>
      <w:r w:rsidRPr="005B4BC0">
        <w:rPr>
          <w:rFonts w:ascii="Arial" w:hAnsi="Arial" w:cs="Arial"/>
          <w:lang w:val="en-IE"/>
        </w:rPr>
        <w:t xml:space="preserve"> V, Tuppurainen E, Madani H, </w:t>
      </w:r>
      <w:proofErr w:type="spellStart"/>
      <w:r w:rsidRPr="005B4BC0">
        <w:rPr>
          <w:rFonts w:ascii="Arial" w:hAnsi="Arial" w:cs="Arial"/>
          <w:lang w:val="en-IE"/>
        </w:rPr>
        <w:t>Caufour</w:t>
      </w:r>
      <w:proofErr w:type="spellEnd"/>
      <w:r w:rsidRPr="005B4BC0">
        <w:rPr>
          <w:rFonts w:ascii="Arial" w:hAnsi="Arial" w:cs="Arial"/>
          <w:lang w:val="en-IE"/>
        </w:rPr>
        <w:t xml:space="preserve"> P, Adam T, El Harrak M, </w:t>
      </w:r>
      <w:proofErr w:type="spellStart"/>
      <w:r w:rsidRPr="005B4BC0">
        <w:rPr>
          <w:rFonts w:ascii="Arial" w:hAnsi="Arial" w:cs="Arial"/>
          <w:lang w:val="en-IE"/>
        </w:rPr>
        <w:t>Luckins</w:t>
      </w:r>
      <w:proofErr w:type="spellEnd"/>
      <w:r w:rsidRPr="005B4BC0">
        <w:rPr>
          <w:rFonts w:ascii="Arial" w:hAnsi="Arial" w:cs="Arial"/>
          <w:lang w:val="en-IE"/>
        </w:rPr>
        <w:t xml:space="preserve"> AG, Albina E, Diallo A. Use of the Capripoxvirus homologue of Vaccinia virus 30 </w:t>
      </w:r>
      <w:proofErr w:type="spellStart"/>
      <w:r w:rsidRPr="005B4BC0">
        <w:rPr>
          <w:rFonts w:ascii="Arial" w:hAnsi="Arial" w:cs="Arial"/>
          <w:lang w:val="en-IE"/>
        </w:rPr>
        <w:t>kDa</w:t>
      </w:r>
      <w:proofErr w:type="spellEnd"/>
      <w:r w:rsidRPr="005B4BC0">
        <w:rPr>
          <w:rFonts w:ascii="Arial" w:hAnsi="Arial" w:cs="Arial"/>
          <w:lang w:val="en-IE"/>
        </w:rPr>
        <w:t xml:space="preserve"> RNA polymerase subunit (RPO30) gene as a novel diagnostic and genotyping target: development of a classical PCR method to differentiate Goat poxvirus from Sheep poxvirus. Vet </w:t>
      </w:r>
      <w:proofErr w:type="spellStart"/>
      <w:r w:rsidRPr="005B4BC0">
        <w:rPr>
          <w:rFonts w:ascii="Arial" w:hAnsi="Arial" w:cs="Arial"/>
          <w:lang w:val="en-IE"/>
        </w:rPr>
        <w:t>Microbiol</w:t>
      </w:r>
      <w:proofErr w:type="spellEnd"/>
      <w:r w:rsidRPr="005B4BC0">
        <w:rPr>
          <w:rFonts w:ascii="Arial" w:hAnsi="Arial" w:cs="Arial"/>
          <w:lang w:val="en-IE"/>
        </w:rPr>
        <w:t xml:space="preserve">. 2011 149(1-2):30-9. </w:t>
      </w:r>
      <w:proofErr w:type="spellStart"/>
      <w:r w:rsidRPr="005B4BC0">
        <w:rPr>
          <w:rFonts w:ascii="Arial" w:hAnsi="Arial" w:cs="Arial"/>
          <w:lang w:val="en-IE"/>
        </w:rPr>
        <w:t>doi</w:t>
      </w:r>
      <w:proofErr w:type="spellEnd"/>
      <w:r w:rsidRPr="005B4BC0">
        <w:rPr>
          <w:rFonts w:ascii="Arial" w:hAnsi="Arial" w:cs="Arial"/>
          <w:lang w:val="en-IE"/>
        </w:rPr>
        <w:t>: 10.1016/j.vetmic.2010.09.038</w:t>
      </w:r>
    </w:p>
    <w:p w14:paraId="2994D4DE" w14:textId="77777777" w:rsidR="00524FBE" w:rsidRDefault="00524FBE" w:rsidP="00524FBE">
      <w:pPr>
        <w:snapToGrid w:val="0"/>
        <w:ind w:left="709" w:hanging="709"/>
        <w:rPr>
          <w:rFonts w:ascii="Arial" w:hAnsi="Arial" w:cs="Arial"/>
        </w:rPr>
      </w:pPr>
      <w:r w:rsidRPr="005B4BC0">
        <w:rPr>
          <w:rFonts w:ascii="Arial" w:hAnsi="Arial" w:cs="Arial"/>
        </w:rPr>
        <w:t xml:space="preserve">Moss B. Understanding the biology of monkeypox virus to prevent future outbreaks. Nat </w:t>
      </w:r>
      <w:proofErr w:type="spellStart"/>
      <w:r w:rsidRPr="005B4BC0">
        <w:rPr>
          <w:rFonts w:ascii="Arial" w:hAnsi="Arial" w:cs="Arial"/>
        </w:rPr>
        <w:t>Microbiol</w:t>
      </w:r>
      <w:proofErr w:type="spellEnd"/>
      <w:r w:rsidRPr="005B4BC0">
        <w:rPr>
          <w:rFonts w:ascii="Arial" w:hAnsi="Arial" w:cs="Arial"/>
        </w:rPr>
        <w:t xml:space="preserve">. 2024 9(6):1408-1416. </w:t>
      </w:r>
      <w:proofErr w:type="spellStart"/>
      <w:r w:rsidRPr="005B4BC0">
        <w:rPr>
          <w:rFonts w:ascii="Arial" w:hAnsi="Arial" w:cs="Arial"/>
        </w:rPr>
        <w:t>doi</w:t>
      </w:r>
      <w:proofErr w:type="spellEnd"/>
      <w:r w:rsidRPr="005B4BC0">
        <w:rPr>
          <w:rFonts w:ascii="Arial" w:hAnsi="Arial" w:cs="Arial"/>
        </w:rPr>
        <w:t>: 10.1038/s41564-024-01690-1</w:t>
      </w:r>
    </w:p>
    <w:p w14:paraId="366DB3BB" w14:textId="77777777" w:rsidR="00524FBE" w:rsidRPr="00524FBE" w:rsidRDefault="00524FBE" w:rsidP="00524FBE">
      <w:pPr>
        <w:snapToGrid w:val="0"/>
        <w:rPr>
          <w:rFonts w:ascii="Arial" w:hAnsi="Arial" w:cs="Arial"/>
          <w:color w:val="000000"/>
        </w:rPr>
      </w:pPr>
    </w:p>
    <w:p w14:paraId="5891530C" w14:textId="77777777" w:rsidR="00524FBE" w:rsidRPr="007860DE" w:rsidRDefault="00524FBE" w:rsidP="00F20D6E">
      <w:pPr>
        <w:snapToGrid w:val="0"/>
        <w:rPr>
          <w:rFonts w:ascii="Arial" w:hAnsi="Arial" w:cs="Arial"/>
          <w:lang w:val="en-IE"/>
        </w:rPr>
      </w:pPr>
    </w:p>
    <w:p w14:paraId="68C99CAF" w14:textId="78DCF74E" w:rsidR="00C76668" w:rsidRPr="007860DE" w:rsidRDefault="00C76668" w:rsidP="007A374E">
      <w:pPr>
        <w:rPr>
          <w:rFonts w:ascii="Arial" w:hAnsi="Arial" w:cs="Arial"/>
        </w:rPr>
      </w:pPr>
      <w:r w:rsidRPr="007860DE">
        <w:rPr>
          <w:rFonts w:ascii="Arial" w:hAnsi="Arial" w:cs="Arial"/>
        </w:rPr>
        <w:br w:type="page"/>
      </w:r>
    </w:p>
    <w:p w14:paraId="6D065A28" w14:textId="239A5116" w:rsidR="007A374E" w:rsidRDefault="00F02B7F" w:rsidP="007A374E">
      <w:pPr>
        <w:rPr>
          <w:rFonts w:ascii="Arial" w:hAnsi="Arial" w:cs="Arial"/>
          <w:b/>
          <w:bCs/>
        </w:rPr>
      </w:pPr>
      <w:r w:rsidRPr="00F02B7F">
        <w:rPr>
          <w:rFonts w:ascii="Arial" w:hAnsi="Arial" w:cs="Arial"/>
          <w:b/>
          <w:bCs/>
          <w:noProof/>
        </w:rPr>
        <w:lastRenderedPageBreak/>
        <w:drawing>
          <wp:anchor distT="0" distB="0" distL="114300" distR="114300" simplePos="0" relativeHeight="251706368" behindDoc="0" locked="0" layoutInCell="1" allowOverlap="1" wp14:anchorId="2E2F5F37" wp14:editId="20843F6D">
            <wp:simplePos x="0" y="0"/>
            <wp:positionH relativeFrom="column">
              <wp:posOffset>-31750</wp:posOffset>
            </wp:positionH>
            <wp:positionV relativeFrom="paragraph">
              <wp:posOffset>16510</wp:posOffset>
            </wp:positionV>
            <wp:extent cx="6272530" cy="6885305"/>
            <wp:effectExtent l="0" t="0" r="1270" b="0"/>
            <wp:wrapSquare wrapText="bothSides"/>
            <wp:docPr id="114856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6911" name=""/>
                    <pic:cNvPicPr/>
                  </pic:nvPicPr>
                  <pic:blipFill rotWithShape="1">
                    <a:blip r:embed="rId6"/>
                    <a:srcRect l="2816" t="1884"/>
                    <a:stretch>
                      <a:fillRect/>
                    </a:stretch>
                  </pic:blipFill>
                  <pic:spPr bwMode="auto">
                    <a:xfrm>
                      <a:off x="0" y="0"/>
                      <a:ext cx="6272530" cy="6885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A51BB2" w14:textId="008B37D5" w:rsidR="007A374E" w:rsidRDefault="007A374E" w:rsidP="007A374E">
      <w:pPr>
        <w:rPr>
          <w:rFonts w:ascii="Arial" w:hAnsi="Arial" w:cs="Arial"/>
        </w:rPr>
      </w:pPr>
      <w:r w:rsidRPr="00EC4ED1">
        <w:rPr>
          <w:rFonts w:ascii="Arial" w:hAnsi="Arial" w:cs="Arial"/>
          <w:b/>
          <w:bCs/>
        </w:rPr>
        <w:t>Figure S</w:t>
      </w:r>
      <w:r>
        <w:rPr>
          <w:rFonts w:ascii="Arial" w:hAnsi="Arial" w:cs="Arial"/>
          <w:b/>
          <w:bCs/>
        </w:rPr>
        <w:t>1</w:t>
      </w:r>
      <w:r w:rsidRPr="00EC4ED1">
        <w:rPr>
          <w:rFonts w:ascii="Arial" w:hAnsi="Arial" w:cs="Arial"/>
          <w:b/>
          <w:bCs/>
        </w:rPr>
        <w:t>.</w:t>
      </w:r>
      <w:r w:rsidRPr="00EC4ED1">
        <w:rPr>
          <w:rFonts w:ascii="Arial" w:hAnsi="Arial" w:cs="Arial"/>
        </w:rPr>
        <w:t xml:space="preserve"> </w:t>
      </w:r>
      <w:r>
        <w:rPr>
          <w:rFonts w:ascii="Arial" w:hAnsi="Arial" w:cs="Arial"/>
        </w:rPr>
        <w:t>M</w:t>
      </w:r>
      <w:r w:rsidRPr="00EC4ED1">
        <w:rPr>
          <w:rFonts w:ascii="Arial" w:hAnsi="Arial" w:cs="Arial"/>
        </w:rPr>
        <w:t>idpoint-rooted phylogen</w:t>
      </w:r>
      <w:r>
        <w:rPr>
          <w:rFonts w:ascii="Arial" w:hAnsi="Arial" w:cs="Arial"/>
        </w:rPr>
        <w:t>ies</w:t>
      </w:r>
      <w:r w:rsidRPr="00EC4ED1">
        <w:rPr>
          <w:rFonts w:ascii="Arial" w:hAnsi="Arial" w:cs="Arial"/>
        </w:rPr>
        <w:t xml:space="preserve"> (left) of the GTPV </w:t>
      </w:r>
      <w:r>
        <w:rPr>
          <w:rFonts w:ascii="Arial" w:hAnsi="Arial" w:cs="Arial"/>
        </w:rPr>
        <w:t xml:space="preserve">(A) </w:t>
      </w:r>
      <w:r w:rsidRPr="00EC4ED1">
        <w:rPr>
          <w:rFonts w:ascii="Arial" w:hAnsi="Arial" w:cs="Arial"/>
        </w:rPr>
        <w:t>core genome</w:t>
      </w:r>
      <w:r w:rsidR="00940F7C">
        <w:rPr>
          <w:rFonts w:ascii="Arial" w:hAnsi="Arial" w:cs="Arial"/>
        </w:rPr>
        <w:t xml:space="preserve"> (365 SNPs)</w:t>
      </w:r>
      <w:r>
        <w:rPr>
          <w:rFonts w:ascii="Arial" w:hAnsi="Arial" w:cs="Arial"/>
        </w:rPr>
        <w:t>, (B) 5’ end</w:t>
      </w:r>
      <w:r w:rsidR="00940F7C">
        <w:rPr>
          <w:rFonts w:ascii="Arial" w:hAnsi="Arial" w:cs="Arial"/>
        </w:rPr>
        <w:t xml:space="preserve"> (262 SNPs)</w:t>
      </w:r>
      <w:r>
        <w:rPr>
          <w:rFonts w:ascii="Arial" w:hAnsi="Arial" w:cs="Arial"/>
        </w:rPr>
        <w:t xml:space="preserve"> and (C) 3’ end</w:t>
      </w:r>
      <w:r w:rsidRPr="00EC4ED1">
        <w:rPr>
          <w:rFonts w:ascii="Arial" w:hAnsi="Arial" w:cs="Arial"/>
        </w:rPr>
        <w:t xml:space="preserve"> </w:t>
      </w:r>
      <w:r w:rsidR="00FC2794">
        <w:rPr>
          <w:rFonts w:ascii="Arial" w:hAnsi="Arial" w:cs="Arial"/>
        </w:rPr>
        <w:t xml:space="preserve">(392 SNPs) </w:t>
      </w:r>
      <w:r w:rsidRPr="00EC4ED1">
        <w:rPr>
          <w:rFonts w:ascii="Arial" w:hAnsi="Arial" w:cs="Arial"/>
        </w:rPr>
        <w:t>showing three clades: 32.1 (grey, n=6), 2.2 (purple, n=5) and 2.3 (orange, n=3). The scale bar shows the numbers of substitutions per site</w:t>
      </w:r>
      <w:r>
        <w:rPr>
          <w:rFonts w:ascii="Arial" w:hAnsi="Arial" w:cs="Arial"/>
        </w:rPr>
        <w:t>. Right:</w:t>
      </w:r>
      <w:r w:rsidRPr="00EC4ED1">
        <w:rPr>
          <w:rFonts w:ascii="Arial" w:hAnsi="Arial" w:cs="Arial"/>
        </w:rPr>
        <w:t xml:space="preserve"> a PCA</w:t>
      </w:r>
      <w:r>
        <w:rPr>
          <w:rFonts w:ascii="Arial" w:hAnsi="Arial" w:cs="Arial"/>
        </w:rPr>
        <w:t>s</w:t>
      </w:r>
      <w:r w:rsidRPr="00EC4ED1">
        <w:rPr>
          <w:rFonts w:ascii="Arial" w:hAnsi="Arial" w:cs="Arial"/>
        </w:rPr>
        <w:t xml:space="preserve"> (right) where PC1 had </w:t>
      </w:r>
      <w:r w:rsidR="00F02B7F">
        <w:rPr>
          <w:rFonts w:ascii="Arial" w:hAnsi="Arial" w:cs="Arial"/>
        </w:rPr>
        <w:t>56</w:t>
      </w:r>
      <w:r>
        <w:rPr>
          <w:rFonts w:ascii="Arial" w:hAnsi="Arial" w:cs="Arial"/>
        </w:rPr>
        <w:t>-</w:t>
      </w:r>
      <w:r w:rsidR="00F02B7F">
        <w:rPr>
          <w:rFonts w:ascii="Arial" w:hAnsi="Arial" w:cs="Arial"/>
        </w:rPr>
        <w:t>58</w:t>
      </w:r>
      <w:r w:rsidRPr="00EC4ED1">
        <w:rPr>
          <w:rFonts w:ascii="Arial" w:hAnsi="Arial" w:cs="Arial"/>
        </w:rPr>
        <w:t xml:space="preserve">% of variation, and PC2 had </w:t>
      </w:r>
      <w:r w:rsidR="00F02B7F">
        <w:rPr>
          <w:rFonts w:ascii="Arial" w:hAnsi="Arial" w:cs="Arial"/>
        </w:rPr>
        <w:t>29</w:t>
      </w:r>
      <w:r>
        <w:rPr>
          <w:rFonts w:ascii="Arial" w:hAnsi="Arial" w:cs="Arial"/>
        </w:rPr>
        <w:t>-</w:t>
      </w:r>
      <w:r w:rsidR="00F02B7F">
        <w:rPr>
          <w:rFonts w:ascii="Arial" w:hAnsi="Arial" w:cs="Arial"/>
        </w:rPr>
        <w:t>32</w:t>
      </w:r>
      <w:r w:rsidRPr="00EC4ED1">
        <w:rPr>
          <w:rFonts w:ascii="Arial" w:hAnsi="Arial" w:cs="Arial"/>
        </w:rPr>
        <w:t xml:space="preserve">% of it.  </w:t>
      </w:r>
    </w:p>
    <w:p w14:paraId="05BEC10C" w14:textId="3368827C" w:rsidR="007A374E" w:rsidRPr="007860DE" w:rsidRDefault="002E0E63" w:rsidP="007A374E">
      <w:pPr>
        <w:rPr>
          <w:rFonts w:ascii="Arial" w:hAnsi="Arial" w:cs="Arial"/>
        </w:rPr>
      </w:pPr>
      <w:r>
        <w:rPr>
          <w:rFonts w:ascii="Arial" w:hAnsi="Arial" w:cs="Arial"/>
        </w:rPr>
        <w:br w:type="page"/>
      </w:r>
    </w:p>
    <w:p w14:paraId="6A2DD692" w14:textId="4B62AC68" w:rsidR="0093298F" w:rsidRDefault="0093298F">
      <w:pPr>
        <w:rPr>
          <w:rFonts w:ascii="Arial" w:hAnsi="Arial" w:cs="Arial"/>
        </w:rPr>
      </w:pPr>
    </w:p>
    <w:p w14:paraId="6D964D28" w14:textId="4256E1E0" w:rsidR="0093298F" w:rsidRDefault="0093298F">
      <w:pPr>
        <w:rPr>
          <w:rFonts w:ascii="Arial" w:hAnsi="Arial" w:cs="Arial"/>
        </w:rPr>
      </w:pPr>
      <w:r w:rsidRPr="0093298F">
        <w:rPr>
          <w:rFonts w:ascii="Arial" w:hAnsi="Arial" w:cs="Arial"/>
          <w:noProof/>
        </w:rPr>
        <w:drawing>
          <wp:anchor distT="0" distB="0" distL="114300" distR="114300" simplePos="0" relativeHeight="251701248" behindDoc="0" locked="0" layoutInCell="1" allowOverlap="1" wp14:anchorId="124563F5" wp14:editId="070F8480">
            <wp:simplePos x="0" y="0"/>
            <wp:positionH relativeFrom="column">
              <wp:posOffset>-23495</wp:posOffset>
            </wp:positionH>
            <wp:positionV relativeFrom="paragraph">
              <wp:posOffset>182</wp:posOffset>
            </wp:positionV>
            <wp:extent cx="6183630" cy="6858000"/>
            <wp:effectExtent l="0" t="0" r="1270" b="0"/>
            <wp:wrapSquare wrapText="bothSides"/>
            <wp:docPr id="1273560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560553" name=""/>
                    <pic:cNvPicPr/>
                  </pic:nvPicPr>
                  <pic:blipFill rotWithShape="1">
                    <a:blip r:embed="rId7"/>
                    <a:srcRect l="2629" t="1597"/>
                    <a:stretch>
                      <a:fillRect/>
                    </a:stretch>
                  </pic:blipFill>
                  <pic:spPr bwMode="auto">
                    <a:xfrm>
                      <a:off x="0" y="0"/>
                      <a:ext cx="6183630" cy="68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B99196" w14:textId="2524BD65" w:rsidR="00EC4ED1" w:rsidRPr="00EC4ED1" w:rsidRDefault="0093298F" w:rsidP="00EC4ED1">
      <w:pPr>
        <w:rPr>
          <w:rFonts w:ascii="Arial" w:hAnsi="Arial" w:cs="Arial"/>
        </w:rPr>
      </w:pPr>
      <w:r w:rsidRPr="00EC4ED1">
        <w:rPr>
          <w:rFonts w:ascii="Arial" w:hAnsi="Arial" w:cs="Arial"/>
          <w:b/>
          <w:bCs/>
        </w:rPr>
        <w:t>Figure S</w:t>
      </w:r>
      <w:r w:rsidR="007A374E">
        <w:rPr>
          <w:rFonts w:ascii="Arial" w:hAnsi="Arial" w:cs="Arial"/>
          <w:b/>
          <w:bCs/>
        </w:rPr>
        <w:t>2</w:t>
      </w:r>
      <w:r w:rsidRPr="00EC4ED1">
        <w:rPr>
          <w:rFonts w:ascii="Arial" w:hAnsi="Arial" w:cs="Arial"/>
          <w:b/>
          <w:bCs/>
        </w:rPr>
        <w:t>.</w:t>
      </w:r>
      <w:r w:rsidR="00EC4ED1">
        <w:rPr>
          <w:rFonts w:ascii="Arial" w:hAnsi="Arial" w:cs="Arial"/>
        </w:rPr>
        <w:t xml:space="preserve"> M</w:t>
      </w:r>
      <w:r w:rsidR="00EC4ED1" w:rsidRPr="00EC4ED1">
        <w:rPr>
          <w:rFonts w:ascii="Arial" w:hAnsi="Arial" w:cs="Arial"/>
        </w:rPr>
        <w:t>idpoint-rooted phylogen</w:t>
      </w:r>
      <w:r w:rsidR="00EC4ED1">
        <w:rPr>
          <w:rFonts w:ascii="Arial" w:hAnsi="Arial" w:cs="Arial"/>
        </w:rPr>
        <w:t>ies</w:t>
      </w:r>
      <w:r w:rsidR="00EC4ED1" w:rsidRPr="00EC4ED1">
        <w:rPr>
          <w:rFonts w:ascii="Arial" w:hAnsi="Arial" w:cs="Arial"/>
        </w:rPr>
        <w:t xml:space="preserve"> (left) of the SPPV </w:t>
      </w:r>
      <w:r w:rsidR="00EC4ED1">
        <w:rPr>
          <w:rFonts w:ascii="Arial" w:hAnsi="Arial" w:cs="Arial"/>
        </w:rPr>
        <w:t xml:space="preserve">(A) </w:t>
      </w:r>
      <w:r w:rsidR="00EC4ED1" w:rsidRPr="00EC4ED1">
        <w:rPr>
          <w:rFonts w:ascii="Arial" w:hAnsi="Arial" w:cs="Arial"/>
        </w:rPr>
        <w:t>core genome</w:t>
      </w:r>
      <w:r w:rsidR="00925671">
        <w:rPr>
          <w:rFonts w:ascii="Arial" w:hAnsi="Arial" w:cs="Arial"/>
        </w:rPr>
        <w:t xml:space="preserve"> (720 SNPs)</w:t>
      </w:r>
      <w:r w:rsidR="00EC4ED1">
        <w:rPr>
          <w:rFonts w:ascii="Arial" w:hAnsi="Arial" w:cs="Arial"/>
        </w:rPr>
        <w:t xml:space="preserve">, (B) 5’ end </w:t>
      </w:r>
      <w:r w:rsidR="00925671">
        <w:rPr>
          <w:rFonts w:ascii="Arial" w:hAnsi="Arial" w:cs="Arial"/>
        </w:rPr>
        <w:t>(</w:t>
      </w:r>
      <w:r w:rsidR="00FA1DD2">
        <w:rPr>
          <w:rFonts w:ascii="Arial" w:hAnsi="Arial" w:cs="Arial"/>
        </w:rPr>
        <w:t>254 SNPs</w:t>
      </w:r>
      <w:r w:rsidR="00925671">
        <w:rPr>
          <w:rFonts w:ascii="Arial" w:hAnsi="Arial" w:cs="Arial"/>
        </w:rPr>
        <w:t xml:space="preserve">) </w:t>
      </w:r>
      <w:r w:rsidR="00EC4ED1">
        <w:rPr>
          <w:rFonts w:ascii="Arial" w:hAnsi="Arial" w:cs="Arial"/>
        </w:rPr>
        <w:t>and (C) 3’ end</w:t>
      </w:r>
      <w:r w:rsidR="00EC4ED1" w:rsidRPr="00EC4ED1">
        <w:rPr>
          <w:rFonts w:ascii="Arial" w:hAnsi="Arial" w:cs="Arial"/>
        </w:rPr>
        <w:t xml:space="preserve"> </w:t>
      </w:r>
      <w:r w:rsidR="00925671">
        <w:rPr>
          <w:rFonts w:ascii="Arial" w:hAnsi="Arial" w:cs="Arial"/>
        </w:rPr>
        <w:t xml:space="preserve">(341 SNPs) </w:t>
      </w:r>
      <w:r w:rsidR="00EC4ED1" w:rsidRPr="00EC4ED1">
        <w:rPr>
          <w:rFonts w:ascii="Arial" w:hAnsi="Arial" w:cs="Arial"/>
        </w:rPr>
        <w:t>showing three clades: 3.1 (green, n=2), 3.2 (blue, n=9), 3.3 (red, n=18), and MN072628.1 (grey). The scale bar shows the numbers of substitutions per site</w:t>
      </w:r>
      <w:r w:rsidR="00EC4ED1">
        <w:rPr>
          <w:rFonts w:ascii="Arial" w:hAnsi="Arial" w:cs="Arial"/>
        </w:rPr>
        <w:t>. Right:</w:t>
      </w:r>
      <w:r w:rsidR="00EC4ED1" w:rsidRPr="00EC4ED1">
        <w:rPr>
          <w:rFonts w:ascii="Arial" w:hAnsi="Arial" w:cs="Arial"/>
        </w:rPr>
        <w:t xml:space="preserve"> a PCA</w:t>
      </w:r>
      <w:r w:rsidR="00EC4ED1">
        <w:rPr>
          <w:rFonts w:ascii="Arial" w:hAnsi="Arial" w:cs="Arial"/>
        </w:rPr>
        <w:t>s</w:t>
      </w:r>
      <w:r w:rsidR="00EC4ED1" w:rsidRPr="00EC4ED1">
        <w:rPr>
          <w:rFonts w:ascii="Arial" w:hAnsi="Arial" w:cs="Arial"/>
        </w:rPr>
        <w:t xml:space="preserve"> (right) where PC1 had </w:t>
      </w:r>
      <w:r w:rsidR="00EC4ED1">
        <w:rPr>
          <w:rFonts w:ascii="Arial" w:hAnsi="Arial" w:cs="Arial"/>
        </w:rPr>
        <w:t>36-</w:t>
      </w:r>
      <w:r w:rsidR="00EC4ED1" w:rsidRPr="00EC4ED1">
        <w:rPr>
          <w:rFonts w:ascii="Arial" w:hAnsi="Arial" w:cs="Arial"/>
        </w:rPr>
        <w:t>4</w:t>
      </w:r>
      <w:r w:rsidR="00EC4ED1">
        <w:rPr>
          <w:rFonts w:ascii="Arial" w:hAnsi="Arial" w:cs="Arial"/>
        </w:rPr>
        <w:t>2</w:t>
      </w:r>
      <w:r w:rsidR="00EC4ED1" w:rsidRPr="00EC4ED1">
        <w:rPr>
          <w:rFonts w:ascii="Arial" w:hAnsi="Arial" w:cs="Arial"/>
        </w:rPr>
        <w:t>% of variation, and PC2 had 15</w:t>
      </w:r>
      <w:r w:rsidR="00EC4ED1">
        <w:rPr>
          <w:rFonts w:ascii="Arial" w:hAnsi="Arial" w:cs="Arial"/>
        </w:rPr>
        <w:t>-23</w:t>
      </w:r>
      <w:r w:rsidR="00EC4ED1" w:rsidRPr="00EC4ED1">
        <w:rPr>
          <w:rFonts w:ascii="Arial" w:hAnsi="Arial" w:cs="Arial"/>
        </w:rPr>
        <w:t xml:space="preserve">% of it.  </w:t>
      </w:r>
    </w:p>
    <w:p w14:paraId="072537C1" w14:textId="688B4805" w:rsidR="00C76668" w:rsidRDefault="00C76668">
      <w:pPr>
        <w:rPr>
          <w:rFonts w:ascii="Arial" w:hAnsi="Arial" w:cs="Arial"/>
        </w:rPr>
      </w:pPr>
      <w:r w:rsidRPr="007860DE">
        <w:rPr>
          <w:rFonts w:ascii="Arial" w:hAnsi="Arial" w:cs="Arial"/>
        </w:rPr>
        <w:br w:type="page"/>
      </w:r>
    </w:p>
    <w:p w14:paraId="53C94BC2" w14:textId="77777777" w:rsidR="007A374E" w:rsidRPr="007860DE" w:rsidRDefault="007A374E" w:rsidP="007A374E">
      <w:pPr>
        <w:rPr>
          <w:rFonts w:ascii="Arial" w:hAnsi="Arial" w:cs="Arial"/>
        </w:rPr>
      </w:pPr>
    </w:p>
    <w:p w14:paraId="6C6C3DBF" w14:textId="77777777" w:rsidR="007A374E" w:rsidRPr="007860DE" w:rsidRDefault="007A374E" w:rsidP="007A374E">
      <w:pPr>
        <w:rPr>
          <w:rFonts w:ascii="Arial" w:hAnsi="Arial" w:cs="Arial"/>
        </w:rPr>
      </w:pPr>
      <w:r w:rsidRPr="007860DE">
        <w:rPr>
          <w:rFonts w:ascii="Arial" w:hAnsi="Arial" w:cs="Arial"/>
          <w:noProof/>
        </w:rPr>
        <w:drawing>
          <wp:anchor distT="0" distB="0" distL="114300" distR="114300" simplePos="0" relativeHeight="251703296" behindDoc="0" locked="0" layoutInCell="1" allowOverlap="1" wp14:anchorId="3340379A" wp14:editId="41A1D5FA">
            <wp:simplePos x="0" y="0"/>
            <wp:positionH relativeFrom="column">
              <wp:posOffset>0</wp:posOffset>
            </wp:positionH>
            <wp:positionV relativeFrom="paragraph">
              <wp:posOffset>17145</wp:posOffset>
            </wp:positionV>
            <wp:extent cx="6177915" cy="3064510"/>
            <wp:effectExtent l="0" t="0" r="0" b="0"/>
            <wp:wrapSquare wrapText="bothSides"/>
            <wp:docPr id="3" name="Picture 2">
              <a:extLst xmlns:a="http://schemas.openxmlformats.org/drawingml/2006/main">
                <a:ext uri="{FF2B5EF4-FFF2-40B4-BE49-F238E27FC236}">
                  <a16:creationId xmlns:a16="http://schemas.microsoft.com/office/drawing/2014/main" id="{8BB5DDD0-FAB0-1B86-5AA1-EF696D43BC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BB5DDD0-FAB0-1B86-5AA1-EF696D43BC40}"/>
                        </a:ext>
                      </a:extLst>
                    </pic:cNvPr>
                    <pic:cNvPicPr>
                      <a:picLocks noChangeAspect="1"/>
                    </pic:cNvPicPr>
                  </pic:nvPicPr>
                  <pic:blipFill>
                    <a:blip r:embed="rId8"/>
                    <a:srcRect b="15114"/>
                    <a:stretch>
                      <a:fillRect/>
                    </a:stretch>
                  </pic:blipFill>
                  <pic:spPr>
                    <a:xfrm>
                      <a:off x="0" y="0"/>
                      <a:ext cx="6177915" cy="3064510"/>
                    </a:xfrm>
                    <a:prstGeom prst="rect">
                      <a:avLst/>
                    </a:prstGeom>
                  </pic:spPr>
                </pic:pic>
              </a:graphicData>
            </a:graphic>
            <wp14:sizeRelH relativeFrom="margin">
              <wp14:pctWidth>0</wp14:pctWidth>
            </wp14:sizeRelH>
            <wp14:sizeRelV relativeFrom="margin">
              <wp14:pctHeight>0</wp14:pctHeight>
            </wp14:sizeRelV>
          </wp:anchor>
        </w:drawing>
      </w:r>
    </w:p>
    <w:p w14:paraId="0F89B449" w14:textId="77777777" w:rsidR="007A374E" w:rsidRDefault="007A374E" w:rsidP="007A374E">
      <w:pPr>
        <w:rPr>
          <w:rFonts w:ascii="Arial" w:hAnsi="Arial" w:cs="Arial"/>
          <w:b/>
          <w:bCs/>
        </w:rPr>
      </w:pPr>
      <w:r w:rsidRPr="001E0245">
        <w:rPr>
          <w:rFonts w:ascii="Arial" w:hAnsi="Arial" w:cs="Arial"/>
          <w:b/>
          <w:bCs/>
          <w:noProof/>
        </w:rPr>
        <w:drawing>
          <wp:anchor distT="0" distB="0" distL="114300" distR="114300" simplePos="0" relativeHeight="251704320" behindDoc="0" locked="0" layoutInCell="1" allowOverlap="1" wp14:anchorId="789AB926" wp14:editId="62BDE522">
            <wp:simplePos x="0" y="0"/>
            <wp:positionH relativeFrom="column">
              <wp:posOffset>-1905</wp:posOffset>
            </wp:positionH>
            <wp:positionV relativeFrom="paragraph">
              <wp:posOffset>238669</wp:posOffset>
            </wp:positionV>
            <wp:extent cx="6106795" cy="2492375"/>
            <wp:effectExtent l="0" t="0" r="1905" b="0"/>
            <wp:wrapSquare wrapText="bothSides"/>
            <wp:docPr id="1713650770" name="Picture 1" descr="A graph with red and grey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650770" name="Picture 1" descr="A graph with red and grey lines&#10;&#10;AI-generated content may be incorrect."/>
                    <pic:cNvPicPr/>
                  </pic:nvPicPr>
                  <pic:blipFill rotWithShape="1">
                    <a:blip r:embed="rId9"/>
                    <a:srcRect t="4089" r="1685" b="2250"/>
                    <a:stretch>
                      <a:fillRect/>
                    </a:stretch>
                  </pic:blipFill>
                  <pic:spPr bwMode="auto">
                    <a:xfrm>
                      <a:off x="0" y="0"/>
                      <a:ext cx="6106795" cy="2492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D61D93" w14:textId="77777777" w:rsidR="007A374E" w:rsidRDefault="007A374E" w:rsidP="007A374E">
      <w:pPr>
        <w:rPr>
          <w:rFonts w:ascii="Arial" w:hAnsi="Arial" w:cs="Arial"/>
          <w:b/>
          <w:bCs/>
        </w:rPr>
      </w:pPr>
    </w:p>
    <w:p w14:paraId="21396E11" w14:textId="77777777" w:rsidR="007A374E" w:rsidRPr="007860DE" w:rsidRDefault="007A374E" w:rsidP="007A374E">
      <w:pPr>
        <w:rPr>
          <w:rFonts w:ascii="Arial" w:hAnsi="Arial" w:cs="Arial"/>
        </w:rPr>
      </w:pPr>
      <w:r w:rsidRPr="007860DE">
        <w:rPr>
          <w:rFonts w:ascii="Arial" w:hAnsi="Arial" w:cs="Arial"/>
          <w:b/>
          <w:bCs/>
        </w:rPr>
        <w:t>Figure S</w:t>
      </w:r>
      <w:r>
        <w:rPr>
          <w:rFonts w:ascii="Arial" w:hAnsi="Arial" w:cs="Arial"/>
          <w:b/>
          <w:bCs/>
        </w:rPr>
        <w:t>3</w:t>
      </w:r>
      <w:r w:rsidRPr="007860DE">
        <w:rPr>
          <w:rFonts w:ascii="Arial" w:hAnsi="Arial" w:cs="Arial"/>
        </w:rPr>
        <w:t xml:space="preserve">. </w:t>
      </w:r>
      <w:r>
        <w:rPr>
          <w:rFonts w:ascii="Arial" w:hAnsi="Arial" w:cs="Arial"/>
        </w:rPr>
        <w:t xml:space="preserve">Top: </w:t>
      </w:r>
      <w:r w:rsidRPr="007860DE">
        <w:rPr>
          <w:rFonts w:ascii="Arial" w:hAnsi="Arial" w:cs="Arial"/>
        </w:rPr>
        <w:t xml:space="preserve">PCA of PC3 vs PC4 based on genome-wide SNPs in SPPV (n=30 samples), where PC3 had 10% of variation, and PC2 had 6% of it. The 3 clades were 3.3 (red, n=18), 3.2 (blue, n=9) and 3.1 (green, n=2). </w:t>
      </w:r>
      <w:r>
        <w:rPr>
          <w:rFonts w:ascii="Arial" w:hAnsi="Arial" w:cs="Arial"/>
        </w:rPr>
        <w:t xml:space="preserve">Bottom: </w:t>
      </w:r>
      <w:r w:rsidRPr="00E33662">
        <w:rPr>
          <w:rFonts w:ascii="Arial" w:hAnsi="Arial" w:cs="Arial"/>
        </w:rPr>
        <w:t>The relative genome-wide divergences of MN072628 (grey) and PQ014465 (red) compared to NC_004002.</w:t>
      </w:r>
    </w:p>
    <w:p w14:paraId="6B3B0F5D" w14:textId="77777777" w:rsidR="007A374E" w:rsidRDefault="007A374E">
      <w:pPr>
        <w:rPr>
          <w:rFonts w:ascii="Arial" w:hAnsi="Arial" w:cs="Arial"/>
        </w:rPr>
      </w:pPr>
    </w:p>
    <w:p w14:paraId="301ECFEC" w14:textId="77777777" w:rsidR="007A374E" w:rsidRPr="007860DE" w:rsidRDefault="007A374E">
      <w:pPr>
        <w:rPr>
          <w:rFonts w:ascii="Arial" w:hAnsi="Arial" w:cs="Arial"/>
        </w:rPr>
      </w:pPr>
    </w:p>
    <w:p w14:paraId="6B3FBDF1" w14:textId="37B0774F" w:rsidR="006A66EE" w:rsidRPr="007860DE" w:rsidRDefault="006A66EE" w:rsidP="006A66EE">
      <w:pPr>
        <w:rPr>
          <w:rFonts w:ascii="Arial" w:hAnsi="Arial" w:cs="Arial"/>
          <w:b/>
          <w:bCs/>
        </w:rPr>
      </w:pPr>
      <w:r w:rsidRPr="007860DE">
        <w:rPr>
          <w:rFonts w:ascii="Arial" w:hAnsi="Arial" w:cs="Arial"/>
          <w:b/>
          <w:bCs/>
          <w:noProof/>
        </w:rPr>
        <w:lastRenderedPageBreak/>
        <w:drawing>
          <wp:anchor distT="0" distB="0" distL="114300" distR="114300" simplePos="0" relativeHeight="251661312" behindDoc="0" locked="0" layoutInCell="1" allowOverlap="1" wp14:anchorId="48187F49" wp14:editId="4F6CB70F">
            <wp:simplePos x="0" y="0"/>
            <wp:positionH relativeFrom="column">
              <wp:posOffset>-58420</wp:posOffset>
            </wp:positionH>
            <wp:positionV relativeFrom="paragraph">
              <wp:posOffset>0</wp:posOffset>
            </wp:positionV>
            <wp:extent cx="6211570" cy="3796665"/>
            <wp:effectExtent l="0" t="0" r="0" b="635"/>
            <wp:wrapSquare wrapText="bothSides"/>
            <wp:docPr id="6" name="Picture 5">
              <a:extLst xmlns:a="http://schemas.openxmlformats.org/drawingml/2006/main">
                <a:ext uri="{FF2B5EF4-FFF2-40B4-BE49-F238E27FC236}">
                  <a16:creationId xmlns:a16="http://schemas.microsoft.com/office/drawing/2014/main" id="{F4E879B0-396D-D2A9-E545-6891F5AA1C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F4E879B0-396D-D2A9-E545-6891F5AA1CE5}"/>
                        </a:ext>
                      </a:extLst>
                    </pic:cNvPr>
                    <pic:cNvPicPr>
                      <a:picLocks noChangeAspect="1"/>
                    </pic:cNvPicPr>
                  </pic:nvPicPr>
                  <pic:blipFill rotWithShape="1">
                    <a:blip r:embed="rId10"/>
                    <a:srcRect l="5093" t="962" r="2946" b="5357"/>
                    <a:stretch/>
                  </pic:blipFill>
                  <pic:spPr>
                    <a:xfrm>
                      <a:off x="0" y="0"/>
                      <a:ext cx="6211570" cy="3796665"/>
                    </a:xfrm>
                    <a:prstGeom prst="rect">
                      <a:avLst/>
                    </a:prstGeom>
                  </pic:spPr>
                </pic:pic>
              </a:graphicData>
            </a:graphic>
          </wp:anchor>
        </w:drawing>
      </w:r>
    </w:p>
    <w:p w14:paraId="174CFAAC" w14:textId="05EFEEBD" w:rsidR="006A66EE" w:rsidRPr="007860DE" w:rsidRDefault="006A66EE" w:rsidP="006A66EE">
      <w:pPr>
        <w:rPr>
          <w:rFonts w:ascii="Arial" w:hAnsi="Arial" w:cs="Arial"/>
        </w:rPr>
      </w:pPr>
      <w:r w:rsidRPr="007860DE">
        <w:rPr>
          <w:rFonts w:ascii="Arial" w:hAnsi="Arial" w:cs="Arial"/>
          <w:b/>
          <w:bCs/>
        </w:rPr>
        <w:t>Figure S</w:t>
      </w:r>
      <w:r w:rsidR="002E0E63">
        <w:rPr>
          <w:rFonts w:ascii="Arial" w:hAnsi="Arial" w:cs="Arial"/>
          <w:b/>
          <w:bCs/>
        </w:rPr>
        <w:t>4</w:t>
      </w:r>
      <w:r w:rsidRPr="007860DE">
        <w:rPr>
          <w:rFonts w:ascii="Arial" w:hAnsi="Arial" w:cs="Arial"/>
        </w:rPr>
        <w:t>. A phylogeny based on genome-wide SNPs of valid SPPV (n=25, red) and GTPV (n=13, blue). GTPV was marginally more closely related to LSDV represented by one sample (OQ555660.1). The scale bar shows the numbers of substitutions per site.</w:t>
      </w:r>
    </w:p>
    <w:p w14:paraId="43DAD99C" w14:textId="38A04962" w:rsidR="00C76668" w:rsidRPr="007860DE" w:rsidRDefault="00C76668">
      <w:pPr>
        <w:rPr>
          <w:rFonts w:ascii="Arial" w:hAnsi="Arial" w:cs="Arial"/>
        </w:rPr>
      </w:pPr>
      <w:r w:rsidRPr="007860DE">
        <w:rPr>
          <w:rFonts w:ascii="Arial" w:hAnsi="Arial" w:cs="Arial"/>
        </w:rPr>
        <w:br w:type="page"/>
      </w:r>
    </w:p>
    <w:p w14:paraId="761CD5DD" w14:textId="637A7125" w:rsidR="006A66EE" w:rsidRDefault="008E49B8" w:rsidP="006A66EE">
      <w:pPr>
        <w:rPr>
          <w:rFonts w:ascii="Arial" w:hAnsi="Arial" w:cs="Arial"/>
          <w:b/>
          <w:bCs/>
        </w:rPr>
      </w:pPr>
      <w:r w:rsidRPr="008E49B8">
        <w:rPr>
          <w:rFonts w:ascii="Arial" w:hAnsi="Arial" w:cs="Arial"/>
          <w:b/>
          <w:bCs/>
          <w:noProof/>
        </w:rPr>
        <w:lastRenderedPageBreak/>
        <w:drawing>
          <wp:anchor distT="0" distB="0" distL="114300" distR="114300" simplePos="0" relativeHeight="251699200" behindDoc="0" locked="0" layoutInCell="1" allowOverlap="1" wp14:anchorId="102E4E9D" wp14:editId="432019C2">
            <wp:simplePos x="0" y="0"/>
            <wp:positionH relativeFrom="column">
              <wp:posOffset>0</wp:posOffset>
            </wp:positionH>
            <wp:positionV relativeFrom="paragraph">
              <wp:posOffset>105264</wp:posOffset>
            </wp:positionV>
            <wp:extent cx="6211570" cy="6282055"/>
            <wp:effectExtent l="0" t="0" r="0" b="4445"/>
            <wp:wrapSquare wrapText="bothSides"/>
            <wp:docPr id="2109206692" name="Picture 1" descr="A diagram of a number of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06692" name="Picture 1" descr="A diagram of a number of trees&#10;&#10;AI-generated content may be incorrect."/>
                    <pic:cNvPicPr/>
                  </pic:nvPicPr>
                  <pic:blipFill>
                    <a:blip r:embed="rId11"/>
                    <a:stretch>
                      <a:fillRect/>
                    </a:stretch>
                  </pic:blipFill>
                  <pic:spPr>
                    <a:xfrm>
                      <a:off x="0" y="0"/>
                      <a:ext cx="6211570" cy="6282055"/>
                    </a:xfrm>
                    <a:prstGeom prst="rect">
                      <a:avLst/>
                    </a:prstGeom>
                  </pic:spPr>
                </pic:pic>
              </a:graphicData>
            </a:graphic>
          </wp:anchor>
        </w:drawing>
      </w:r>
    </w:p>
    <w:p w14:paraId="4106A4BA" w14:textId="0BA21132" w:rsidR="008E49B8" w:rsidRPr="007860DE" w:rsidRDefault="008E49B8" w:rsidP="006A66EE">
      <w:pPr>
        <w:rPr>
          <w:rFonts w:ascii="Arial" w:hAnsi="Arial" w:cs="Arial"/>
          <w:b/>
          <w:bCs/>
        </w:rPr>
      </w:pPr>
    </w:p>
    <w:p w14:paraId="109BFC5C" w14:textId="4A2B04A5" w:rsidR="006A66EE" w:rsidRPr="007860DE" w:rsidRDefault="006A66EE" w:rsidP="006A66EE">
      <w:pPr>
        <w:rPr>
          <w:rFonts w:ascii="Arial" w:hAnsi="Arial" w:cs="Arial"/>
        </w:rPr>
      </w:pPr>
      <w:r w:rsidRPr="007860DE">
        <w:rPr>
          <w:rFonts w:ascii="Arial" w:hAnsi="Arial" w:cs="Arial"/>
          <w:b/>
          <w:bCs/>
        </w:rPr>
        <w:t>Figure S</w:t>
      </w:r>
      <w:r w:rsidR="002E0E63">
        <w:rPr>
          <w:rFonts w:ascii="Arial" w:hAnsi="Arial" w:cs="Arial"/>
          <w:b/>
          <w:bCs/>
        </w:rPr>
        <w:t>5</w:t>
      </w:r>
      <w:r w:rsidRPr="007860DE">
        <w:rPr>
          <w:rFonts w:ascii="Arial" w:hAnsi="Arial" w:cs="Arial"/>
        </w:rPr>
        <w:t>. A phylogeny based on genome-wide SNPs of n=154 CPPV samples. GTPV (n=13, cyan) was marginally more closely related to LSDV than SPPV (n=25, brown). LSDV is divided into three clades: 1.2 (grey), 1.1 (blue) and 2 (gold). The scale bar shows the numbers of substitutions per site.</w:t>
      </w:r>
    </w:p>
    <w:p w14:paraId="68907412" w14:textId="4FF4C446" w:rsidR="006A66EE" w:rsidRPr="007860DE" w:rsidRDefault="006A66EE">
      <w:pPr>
        <w:rPr>
          <w:rFonts w:ascii="Arial" w:hAnsi="Arial" w:cs="Arial"/>
        </w:rPr>
      </w:pPr>
    </w:p>
    <w:p w14:paraId="150C2780" w14:textId="78331975" w:rsidR="00C76668" w:rsidRPr="007860DE" w:rsidRDefault="00C76668">
      <w:pPr>
        <w:rPr>
          <w:rFonts w:ascii="Arial" w:hAnsi="Arial" w:cs="Arial"/>
        </w:rPr>
      </w:pPr>
      <w:r w:rsidRPr="007860DE">
        <w:rPr>
          <w:rFonts w:ascii="Arial" w:hAnsi="Arial" w:cs="Arial"/>
        </w:rPr>
        <w:br w:type="page"/>
      </w:r>
    </w:p>
    <w:p w14:paraId="67912632" w14:textId="1C4B6EAD" w:rsidR="006A66EE" w:rsidRPr="007860DE" w:rsidRDefault="006A66EE" w:rsidP="006A66EE">
      <w:pPr>
        <w:rPr>
          <w:rFonts w:ascii="Arial" w:hAnsi="Arial" w:cs="Arial"/>
          <w:b/>
          <w:bCs/>
        </w:rPr>
      </w:pPr>
      <w:r w:rsidRPr="007860DE">
        <w:rPr>
          <w:rFonts w:ascii="Arial" w:hAnsi="Arial" w:cs="Arial"/>
          <w:b/>
          <w:bCs/>
          <w:noProof/>
        </w:rPr>
        <w:lastRenderedPageBreak/>
        <w:drawing>
          <wp:anchor distT="0" distB="0" distL="114300" distR="114300" simplePos="0" relativeHeight="251665408" behindDoc="0" locked="0" layoutInCell="1" allowOverlap="1" wp14:anchorId="674059E1" wp14:editId="1F124E1D">
            <wp:simplePos x="0" y="0"/>
            <wp:positionH relativeFrom="column">
              <wp:posOffset>0</wp:posOffset>
            </wp:positionH>
            <wp:positionV relativeFrom="paragraph">
              <wp:posOffset>58420</wp:posOffset>
            </wp:positionV>
            <wp:extent cx="6211570" cy="2361565"/>
            <wp:effectExtent l="0" t="0" r="0" b="635"/>
            <wp:wrapSquare wrapText="bothSides"/>
            <wp:docPr id="2033635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635278" name=""/>
                    <pic:cNvPicPr/>
                  </pic:nvPicPr>
                  <pic:blipFill>
                    <a:blip r:embed="rId12"/>
                    <a:stretch>
                      <a:fillRect/>
                    </a:stretch>
                  </pic:blipFill>
                  <pic:spPr>
                    <a:xfrm>
                      <a:off x="0" y="0"/>
                      <a:ext cx="6211570" cy="2361565"/>
                    </a:xfrm>
                    <a:prstGeom prst="rect">
                      <a:avLst/>
                    </a:prstGeom>
                  </pic:spPr>
                </pic:pic>
              </a:graphicData>
            </a:graphic>
          </wp:anchor>
        </w:drawing>
      </w:r>
    </w:p>
    <w:p w14:paraId="3D143826" w14:textId="751A1EAA" w:rsidR="006A66EE" w:rsidRPr="007860DE" w:rsidRDefault="006A66EE" w:rsidP="006A66EE">
      <w:pPr>
        <w:rPr>
          <w:rFonts w:ascii="Arial" w:hAnsi="Arial" w:cs="Arial"/>
        </w:rPr>
      </w:pPr>
      <w:r w:rsidRPr="007860DE">
        <w:rPr>
          <w:rFonts w:ascii="Arial" w:hAnsi="Arial" w:cs="Arial"/>
          <w:b/>
          <w:bCs/>
        </w:rPr>
        <w:t>Figure S</w:t>
      </w:r>
      <w:r w:rsidR="002E0E63">
        <w:rPr>
          <w:rFonts w:ascii="Arial" w:hAnsi="Arial" w:cs="Arial"/>
          <w:b/>
          <w:bCs/>
        </w:rPr>
        <w:t>6</w:t>
      </w:r>
      <w:r w:rsidRPr="007860DE">
        <w:rPr>
          <w:rFonts w:ascii="Arial" w:hAnsi="Arial" w:cs="Arial"/>
        </w:rPr>
        <w:t>. The relationship between the average number of samples in the PVG (x-axis) and the number of bases in the corresponding set of paths (y-axis) for GTPV (left) and SPPV (right) using ODGI heaps. The shared PVG (paths found in all samples) was 142,411 bp for GTPV and 144,593 bp for SPPV. The median PVG length was 147,684 bp for GPTV and 148,183 bp for SPPV. The complete PVG (paths found in any sample) was 160,732 bp for GTPV and 161,135 bp for SPPV. The y-axes ranges for these plots differ.</w:t>
      </w:r>
    </w:p>
    <w:p w14:paraId="68255385" w14:textId="41EFE260" w:rsidR="006A66EE" w:rsidRPr="007860DE" w:rsidRDefault="006A66EE">
      <w:pPr>
        <w:rPr>
          <w:rFonts w:ascii="Arial" w:hAnsi="Arial" w:cs="Arial"/>
        </w:rPr>
      </w:pPr>
    </w:p>
    <w:p w14:paraId="4CEF5D0C" w14:textId="5FE3DF7F" w:rsidR="00C76668" w:rsidRPr="007860DE" w:rsidRDefault="00C76668">
      <w:pPr>
        <w:rPr>
          <w:rFonts w:ascii="Arial" w:hAnsi="Arial" w:cs="Arial"/>
        </w:rPr>
      </w:pPr>
      <w:r w:rsidRPr="007860DE">
        <w:rPr>
          <w:rFonts w:ascii="Arial" w:hAnsi="Arial" w:cs="Arial"/>
        </w:rPr>
        <w:br w:type="page"/>
      </w:r>
    </w:p>
    <w:p w14:paraId="30199FC1" w14:textId="5AA7DAC9" w:rsidR="006A66EE" w:rsidRPr="007860DE" w:rsidRDefault="006A66EE">
      <w:pPr>
        <w:rPr>
          <w:rFonts w:ascii="Arial" w:hAnsi="Arial" w:cs="Arial"/>
        </w:rPr>
      </w:pPr>
      <w:r w:rsidRPr="007860DE">
        <w:rPr>
          <w:rFonts w:ascii="Arial" w:hAnsi="Arial" w:cs="Arial"/>
          <w:noProof/>
        </w:rPr>
        <w:lastRenderedPageBreak/>
        <w:drawing>
          <wp:anchor distT="0" distB="0" distL="114300" distR="114300" simplePos="0" relativeHeight="251667456" behindDoc="0" locked="0" layoutInCell="1" allowOverlap="1" wp14:anchorId="65FABC92" wp14:editId="4E9F7EA1">
            <wp:simplePos x="0" y="0"/>
            <wp:positionH relativeFrom="column">
              <wp:posOffset>-7620</wp:posOffset>
            </wp:positionH>
            <wp:positionV relativeFrom="paragraph">
              <wp:posOffset>0</wp:posOffset>
            </wp:positionV>
            <wp:extent cx="6216015" cy="5381625"/>
            <wp:effectExtent l="0" t="0" r="0" b="3175"/>
            <wp:wrapSquare wrapText="bothSides"/>
            <wp:docPr id="1520751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751380" name=""/>
                    <pic:cNvPicPr/>
                  </pic:nvPicPr>
                  <pic:blipFill rotWithShape="1">
                    <a:blip r:embed="rId13"/>
                    <a:srcRect l="2795"/>
                    <a:stretch>
                      <a:fillRect/>
                    </a:stretch>
                  </pic:blipFill>
                  <pic:spPr bwMode="auto">
                    <a:xfrm>
                      <a:off x="0" y="0"/>
                      <a:ext cx="6216015" cy="5381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8C954A" w14:textId="07667D3E" w:rsidR="006A66EE" w:rsidRPr="007860DE" w:rsidRDefault="006A66EE" w:rsidP="006A66EE">
      <w:pPr>
        <w:rPr>
          <w:rFonts w:ascii="Arial" w:hAnsi="Arial" w:cs="Arial"/>
        </w:rPr>
      </w:pPr>
      <w:r w:rsidRPr="007860DE">
        <w:rPr>
          <w:rFonts w:ascii="Arial" w:hAnsi="Arial" w:cs="Arial"/>
          <w:b/>
          <w:bCs/>
        </w:rPr>
        <w:t>Figure S</w:t>
      </w:r>
      <w:r w:rsidR="002E0E63">
        <w:rPr>
          <w:rFonts w:ascii="Arial" w:hAnsi="Arial" w:cs="Arial"/>
          <w:b/>
          <w:bCs/>
        </w:rPr>
        <w:t>7</w:t>
      </w:r>
      <w:r w:rsidRPr="007860DE">
        <w:rPr>
          <w:rFonts w:ascii="Arial" w:hAnsi="Arial" w:cs="Arial"/>
        </w:rPr>
        <w:t xml:space="preserve">. PVG growth in terms of the effect of adding more samples (x-axes) on the numbers of new k-mers in the PVG (y-axes) using </w:t>
      </w:r>
      <w:r w:rsidRPr="007860DE">
        <w:rPr>
          <w:rFonts w:ascii="Arial" w:hAnsi="Arial" w:cs="Arial"/>
          <w:lang w:val="en-IE"/>
        </w:rPr>
        <w:t xml:space="preserve">Pangrowth for (A) GTPV and (B) SPPV.  A new k-mer represents a new mutation. This found evidence of a closed PVG for GTPV: gamma=0.09 and alpha=1.76, and an open PVG for SPPV: gamma=0.03 and alpha=0.69 for SPPV.  </w:t>
      </w:r>
    </w:p>
    <w:p w14:paraId="785CB581" w14:textId="02C4BA46" w:rsidR="006A66EE" w:rsidRPr="007860DE" w:rsidRDefault="006A66EE">
      <w:pPr>
        <w:rPr>
          <w:rFonts w:ascii="Arial" w:hAnsi="Arial" w:cs="Arial"/>
        </w:rPr>
      </w:pPr>
    </w:p>
    <w:p w14:paraId="1FEE5A54" w14:textId="3A3692BB" w:rsidR="00C76668" w:rsidRPr="007860DE" w:rsidRDefault="00C76668">
      <w:pPr>
        <w:rPr>
          <w:rFonts w:ascii="Arial" w:hAnsi="Arial" w:cs="Arial"/>
        </w:rPr>
      </w:pPr>
      <w:r w:rsidRPr="007860DE">
        <w:rPr>
          <w:rFonts w:ascii="Arial" w:hAnsi="Arial" w:cs="Arial"/>
        </w:rPr>
        <w:br w:type="page"/>
      </w:r>
    </w:p>
    <w:p w14:paraId="574E9BE3" w14:textId="620A6E5D" w:rsidR="006A66EE" w:rsidRPr="007860DE" w:rsidRDefault="006A66EE">
      <w:pPr>
        <w:rPr>
          <w:rFonts w:ascii="Arial" w:hAnsi="Arial" w:cs="Arial"/>
        </w:rPr>
      </w:pPr>
      <w:r w:rsidRPr="007860DE">
        <w:rPr>
          <w:rFonts w:ascii="Arial" w:hAnsi="Arial" w:cs="Arial"/>
          <w:noProof/>
        </w:rPr>
        <w:lastRenderedPageBreak/>
        <w:drawing>
          <wp:anchor distT="0" distB="0" distL="114300" distR="114300" simplePos="0" relativeHeight="251669504" behindDoc="0" locked="0" layoutInCell="1" allowOverlap="1" wp14:anchorId="54434577" wp14:editId="7E083EF6">
            <wp:simplePos x="0" y="0"/>
            <wp:positionH relativeFrom="column">
              <wp:posOffset>3810</wp:posOffset>
            </wp:positionH>
            <wp:positionV relativeFrom="paragraph">
              <wp:posOffset>0</wp:posOffset>
            </wp:positionV>
            <wp:extent cx="6210935" cy="3580130"/>
            <wp:effectExtent l="0" t="0" r="0" b="1270"/>
            <wp:wrapSquare wrapText="bothSides"/>
            <wp:docPr id="539097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097913" name=""/>
                    <pic:cNvPicPr/>
                  </pic:nvPicPr>
                  <pic:blipFill rotWithShape="1">
                    <a:blip r:embed="rId14"/>
                    <a:srcRect l="1863"/>
                    <a:stretch>
                      <a:fillRect/>
                    </a:stretch>
                  </pic:blipFill>
                  <pic:spPr bwMode="auto">
                    <a:xfrm>
                      <a:off x="0" y="0"/>
                      <a:ext cx="6210935" cy="35801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7FCE31" w14:textId="0A8131B3" w:rsidR="006A66EE" w:rsidRPr="007860DE" w:rsidRDefault="006A66EE" w:rsidP="006A66EE">
      <w:pPr>
        <w:rPr>
          <w:rFonts w:ascii="Arial" w:hAnsi="Arial" w:cs="Arial"/>
        </w:rPr>
      </w:pPr>
      <w:r w:rsidRPr="007860DE">
        <w:rPr>
          <w:rFonts w:ascii="Arial" w:hAnsi="Arial" w:cs="Arial"/>
          <w:b/>
          <w:bCs/>
        </w:rPr>
        <w:t>Figure S</w:t>
      </w:r>
      <w:r w:rsidR="002E0E63">
        <w:rPr>
          <w:rFonts w:ascii="Arial" w:hAnsi="Arial" w:cs="Arial"/>
          <w:b/>
          <w:bCs/>
        </w:rPr>
        <w:t>8</w:t>
      </w:r>
      <w:r w:rsidRPr="007860DE">
        <w:rPr>
          <w:rFonts w:ascii="Arial" w:hAnsi="Arial" w:cs="Arial"/>
        </w:rPr>
        <w:t xml:space="preserve">. PVG growth in terms of the effect of adding more samples (x-axes) on the numbers of (A) total and (B) new nodes in the PVGs for (A) GTPV and (B) SPPV using </w:t>
      </w:r>
      <w:r w:rsidRPr="007860DE">
        <w:rPr>
          <w:rFonts w:ascii="Arial" w:hAnsi="Arial" w:cs="Arial"/>
          <w:lang w:val="en-IE"/>
        </w:rPr>
        <w:t>Panacus. This found evidence of a closed PVG for GTPV (gamma=0.15 and alpha=1.63). This suggested the rate of gain of new mutations was zero when a substantial number of genomes were collected. For SPPV, the PVG was between closed and open (gamma=0.13 and alpha=1.01), suggesting it may depend on the lineage sampled to determine the rate of mutation gain as the number of samples increases.</w:t>
      </w:r>
    </w:p>
    <w:p w14:paraId="70407B11" w14:textId="6D72A3FF" w:rsidR="006A66EE" w:rsidRPr="007860DE" w:rsidRDefault="006A66EE">
      <w:pPr>
        <w:rPr>
          <w:rFonts w:ascii="Arial" w:hAnsi="Arial" w:cs="Arial"/>
        </w:rPr>
      </w:pPr>
    </w:p>
    <w:p w14:paraId="687546EA" w14:textId="7A8DF646" w:rsidR="00C76668" w:rsidRPr="007860DE" w:rsidRDefault="00C76668">
      <w:pPr>
        <w:rPr>
          <w:rFonts w:ascii="Arial" w:hAnsi="Arial" w:cs="Arial"/>
        </w:rPr>
      </w:pPr>
      <w:r w:rsidRPr="007860DE">
        <w:rPr>
          <w:rFonts w:ascii="Arial" w:hAnsi="Arial" w:cs="Arial"/>
        </w:rPr>
        <w:br w:type="page"/>
      </w:r>
    </w:p>
    <w:p w14:paraId="2D782AA9" w14:textId="3540CC39" w:rsidR="006A66EE" w:rsidRPr="007860DE" w:rsidRDefault="006A66EE">
      <w:pPr>
        <w:rPr>
          <w:rFonts w:ascii="Arial" w:hAnsi="Arial" w:cs="Arial"/>
        </w:rPr>
      </w:pPr>
      <w:r w:rsidRPr="007860DE">
        <w:rPr>
          <w:rFonts w:ascii="Arial" w:hAnsi="Arial" w:cs="Arial"/>
          <w:noProof/>
        </w:rPr>
        <w:lastRenderedPageBreak/>
        <w:drawing>
          <wp:anchor distT="0" distB="0" distL="114300" distR="114300" simplePos="0" relativeHeight="251671552" behindDoc="0" locked="0" layoutInCell="1" allowOverlap="1" wp14:anchorId="25342BF2" wp14:editId="377A6DB6">
            <wp:simplePos x="0" y="0"/>
            <wp:positionH relativeFrom="column">
              <wp:posOffset>3810</wp:posOffset>
            </wp:positionH>
            <wp:positionV relativeFrom="paragraph">
              <wp:posOffset>58420</wp:posOffset>
            </wp:positionV>
            <wp:extent cx="6279515" cy="4375150"/>
            <wp:effectExtent l="0" t="0" r="0" b="6350"/>
            <wp:wrapSquare wrapText="bothSides"/>
            <wp:docPr id="1247524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524926" name=""/>
                    <pic:cNvPicPr/>
                  </pic:nvPicPr>
                  <pic:blipFill rotWithShape="1">
                    <a:blip r:embed="rId15"/>
                    <a:srcRect l="1677" r="1230" b="1683"/>
                    <a:stretch>
                      <a:fillRect/>
                    </a:stretch>
                  </pic:blipFill>
                  <pic:spPr bwMode="auto">
                    <a:xfrm>
                      <a:off x="0" y="0"/>
                      <a:ext cx="6279515" cy="4375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D2B078" w14:textId="35C23894" w:rsidR="006A66EE" w:rsidRPr="007860DE" w:rsidRDefault="006A66EE" w:rsidP="006A66EE">
      <w:pPr>
        <w:rPr>
          <w:rFonts w:ascii="Arial" w:hAnsi="Arial" w:cs="Arial"/>
        </w:rPr>
      </w:pPr>
      <w:r w:rsidRPr="007860DE">
        <w:rPr>
          <w:rFonts w:ascii="Arial" w:hAnsi="Arial" w:cs="Arial"/>
          <w:b/>
          <w:bCs/>
        </w:rPr>
        <w:t>Figure S</w:t>
      </w:r>
      <w:r w:rsidR="002E0E63">
        <w:rPr>
          <w:rFonts w:ascii="Arial" w:hAnsi="Arial" w:cs="Arial"/>
          <w:b/>
          <w:bCs/>
        </w:rPr>
        <w:t>9</w:t>
      </w:r>
      <w:r w:rsidRPr="007860DE">
        <w:rPr>
          <w:rFonts w:ascii="Arial" w:hAnsi="Arial" w:cs="Arial"/>
        </w:rPr>
        <w:t>. The genome-wide SNP density (SNPs/Kb) in GTPV (blue) and SPPV (red) for the 1</w:t>
      </w:r>
      <w:r w:rsidRPr="007860DE">
        <w:rPr>
          <w:rFonts w:ascii="Arial" w:hAnsi="Arial" w:cs="Arial"/>
          <w:vertAlign w:val="superscript"/>
        </w:rPr>
        <w:t>st</w:t>
      </w:r>
      <w:r w:rsidRPr="007860DE">
        <w:rPr>
          <w:rFonts w:ascii="Arial" w:hAnsi="Arial" w:cs="Arial"/>
        </w:rPr>
        <w:t xml:space="preserve"> and last 5 Kb regions of the genomes. Annotation was derived from the NC_004002.1 and NC_004003.1 genomes. GTPV and SPPV had higher diversity at LSDV_03 and LSDV005 (an ankyrin repeat protein) at the 5’ ITR, and LSDV154 and LSDV156 at the 3’ ITR. </w:t>
      </w:r>
    </w:p>
    <w:p w14:paraId="60680036" w14:textId="6E2A02A4" w:rsidR="006A66EE" w:rsidRPr="007860DE" w:rsidRDefault="006A66EE">
      <w:pPr>
        <w:rPr>
          <w:rFonts w:ascii="Arial" w:hAnsi="Arial" w:cs="Arial"/>
        </w:rPr>
      </w:pPr>
    </w:p>
    <w:p w14:paraId="41FC97B1" w14:textId="28C4BE74" w:rsidR="00C76668" w:rsidRPr="007860DE" w:rsidRDefault="00C76668">
      <w:pPr>
        <w:rPr>
          <w:rFonts w:ascii="Arial" w:hAnsi="Arial" w:cs="Arial"/>
        </w:rPr>
      </w:pPr>
      <w:r w:rsidRPr="007860DE">
        <w:rPr>
          <w:rFonts w:ascii="Arial" w:hAnsi="Arial" w:cs="Arial"/>
        </w:rPr>
        <w:br w:type="page"/>
      </w:r>
    </w:p>
    <w:p w14:paraId="1B8A2365" w14:textId="5926DB6D" w:rsidR="006A66EE" w:rsidRPr="007860DE" w:rsidRDefault="006A66EE">
      <w:pPr>
        <w:rPr>
          <w:rFonts w:ascii="Arial" w:hAnsi="Arial" w:cs="Arial"/>
        </w:rPr>
      </w:pPr>
      <w:r w:rsidRPr="007860DE">
        <w:rPr>
          <w:rFonts w:ascii="Arial" w:hAnsi="Arial" w:cs="Arial"/>
          <w:noProof/>
        </w:rPr>
        <w:lastRenderedPageBreak/>
        <w:drawing>
          <wp:anchor distT="0" distB="0" distL="114300" distR="114300" simplePos="0" relativeHeight="251675648" behindDoc="0" locked="0" layoutInCell="1" allowOverlap="1" wp14:anchorId="7CF58CE0" wp14:editId="43296F38">
            <wp:simplePos x="0" y="0"/>
            <wp:positionH relativeFrom="column">
              <wp:posOffset>0</wp:posOffset>
            </wp:positionH>
            <wp:positionV relativeFrom="paragraph">
              <wp:posOffset>0</wp:posOffset>
            </wp:positionV>
            <wp:extent cx="6211570" cy="5709285"/>
            <wp:effectExtent l="0" t="0" r="0" b="5715"/>
            <wp:wrapSquare wrapText="bothSides"/>
            <wp:docPr id="10" name="Picture 9">
              <a:extLst xmlns:a="http://schemas.openxmlformats.org/drawingml/2006/main">
                <a:ext uri="{FF2B5EF4-FFF2-40B4-BE49-F238E27FC236}">
                  <a16:creationId xmlns:a16="http://schemas.microsoft.com/office/drawing/2014/main" id="{33C55BEB-F365-9EFB-4E5C-CCE8C9CC56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33C55BEB-F365-9EFB-4E5C-CCE8C9CC56D7}"/>
                        </a:ext>
                      </a:extLst>
                    </pic:cNvPr>
                    <pic:cNvPicPr>
                      <a:picLocks noChangeAspect="1"/>
                    </pic:cNvPicPr>
                  </pic:nvPicPr>
                  <pic:blipFill>
                    <a:blip r:embed="rId16"/>
                    <a:stretch>
                      <a:fillRect/>
                    </a:stretch>
                  </pic:blipFill>
                  <pic:spPr>
                    <a:xfrm>
                      <a:off x="0" y="0"/>
                      <a:ext cx="6211570" cy="5709285"/>
                    </a:xfrm>
                    <a:prstGeom prst="rect">
                      <a:avLst/>
                    </a:prstGeom>
                  </pic:spPr>
                </pic:pic>
              </a:graphicData>
            </a:graphic>
          </wp:anchor>
        </w:drawing>
      </w:r>
    </w:p>
    <w:p w14:paraId="32EBF430" w14:textId="6EDA3308" w:rsidR="006A66EE" w:rsidRPr="007860DE" w:rsidRDefault="006A66EE" w:rsidP="006A66EE">
      <w:pPr>
        <w:rPr>
          <w:rFonts w:ascii="Arial" w:hAnsi="Arial" w:cs="Arial"/>
        </w:rPr>
      </w:pPr>
      <w:r w:rsidRPr="007860DE">
        <w:rPr>
          <w:rFonts w:ascii="Arial" w:hAnsi="Arial" w:cs="Arial"/>
          <w:b/>
          <w:bCs/>
        </w:rPr>
        <w:t>Figure S</w:t>
      </w:r>
      <w:r w:rsidR="002E0E63">
        <w:rPr>
          <w:rFonts w:ascii="Arial" w:hAnsi="Arial" w:cs="Arial"/>
          <w:b/>
          <w:bCs/>
        </w:rPr>
        <w:t>10</w:t>
      </w:r>
      <w:r w:rsidRPr="007860DE">
        <w:rPr>
          <w:rFonts w:ascii="Arial" w:hAnsi="Arial" w:cs="Arial"/>
          <w:b/>
          <w:bCs/>
        </w:rPr>
        <w:t xml:space="preserve">. </w:t>
      </w:r>
      <w:r w:rsidRPr="007860DE">
        <w:rPr>
          <w:rFonts w:ascii="Arial" w:hAnsi="Arial" w:cs="Arial"/>
        </w:rPr>
        <w:t xml:space="preserve">Predicted CDSs at the SPPV 5’ (A) and 3’ (B) ITRs, along with the GTPV 5’ (C) and 3’ (D) ITRs. The colours correspond to the clades: SPPV - 3.1 in green, 3.2 in blue, 3.3 in red, NA in grey; and GTPV - 2.1 in grey, 2.2 in purple, 2.3 in orange. The CDS predictions were from </w:t>
      </w:r>
      <w:proofErr w:type="spellStart"/>
      <w:r w:rsidRPr="007860DE">
        <w:rPr>
          <w:rFonts w:ascii="Arial" w:hAnsi="Arial" w:cs="Arial"/>
        </w:rPr>
        <w:t>Prokka</w:t>
      </w:r>
      <w:proofErr w:type="spellEnd"/>
      <w:r w:rsidRPr="007860DE">
        <w:rPr>
          <w:rFonts w:ascii="Arial" w:hAnsi="Arial" w:cs="Arial"/>
        </w:rPr>
        <w:t>. LSDV003-LSDV004 was a single ORF in six SPPV and two GTPV isolates, with the same for LSDV153-LSDV154. LSDV003 and LSDV154 are truncated in SPPV Clade 3.1. No sample had functional LSDV002 or LSDV155 genes. MH381801.1 (Clade 2.1) lacked a proper 3’ ITR, likely due to assembly issues.</w:t>
      </w:r>
    </w:p>
    <w:p w14:paraId="4DF89F87" w14:textId="27EA0DF9" w:rsidR="006A66EE" w:rsidRPr="007860DE" w:rsidRDefault="006A66EE">
      <w:pPr>
        <w:rPr>
          <w:rFonts w:ascii="Arial" w:hAnsi="Arial" w:cs="Arial"/>
        </w:rPr>
      </w:pPr>
    </w:p>
    <w:p w14:paraId="45287D58" w14:textId="74F368E1" w:rsidR="00C76668" w:rsidRPr="007860DE" w:rsidRDefault="00C76668">
      <w:pPr>
        <w:rPr>
          <w:rFonts w:ascii="Arial" w:hAnsi="Arial" w:cs="Arial"/>
        </w:rPr>
      </w:pPr>
      <w:r w:rsidRPr="007860DE">
        <w:rPr>
          <w:rFonts w:ascii="Arial" w:hAnsi="Arial" w:cs="Arial"/>
        </w:rPr>
        <w:br w:type="page"/>
      </w:r>
    </w:p>
    <w:p w14:paraId="1F6AEB9A" w14:textId="50D26656" w:rsidR="006A66EE" w:rsidRPr="007860DE" w:rsidRDefault="006A66EE">
      <w:pPr>
        <w:rPr>
          <w:rFonts w:ascii="Arial" w:hAnsi="Arial" w:cs="Arial"/>
        </w:rPr>
      </w:pPr>
      <w:r w:rsidRPr="007860DE">
        <w:rPr>
          <w:rFonts w:ascii="Arial" w:hAnsi="Arial" w:cs="Arial"/>
          <w:noProof/>
        </w:rPr>
        <w:lastRenderedPageBreak/>
        <w:drawing>
          <wp:anchor distT="0" distB="0" distL="114300" distR="114300" simplePos="0" relativeHeight="251677696" behindDoc="0" locked="0" layoutInCell="1" allowOverlap="1" wp14:anchorId="38F52CD6" wp14:editId="75072082">
            <wp:simplePos x="0" y="0"/>
            <wp:positionH relativeFrom="column">
              <wp:posOffset>0</wp:posOffset>
            </wp:positionH>
            <wp:positionV relativeFrom="paragraph">
              <wp:posOffset>41275</wp:posOffset>
            </wp:positionV>
            <wp:extent cx="6211570" cy="5045075"/>
            <wp:effectExtent l="0" t="0" r="0" b="0"/>
            <wp:wrapSquare wrapText="bothSides"/>
            <wp:docPr id="2126581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81903" name=""/>
                    <pic:cNvPicPr/>
                  </pic:nvPicPr>
                  <pic:blipFill>
                    <a:blip r:embed="rId17"/>
                    <a:stretch>
                      <a:fillRect/>
                    </a:stretch>
                  </pic:blipFill>
                  <pic:spPr>
                    <a:xfrm>
                      <a:off x="0" y="0"/>
                      <a:ext cx="6211570" cy="5045075"/>
                    </a:xfrm>
                    <a:prstGeom prst="rect">
                      <a:avLst/>
                    </a:prstGeom>
                  </pic:spPr>
                </pic:pic>
              </a:graphicData>
            </a:graphic>
          </wp:anchor>
        </w:drawing>
      </w:r>
    </w:p>
    <w:p w14:paraId="5B221A91" w14:textId="0CB7D924" w:rsidR="006A66EE" w:rsidRPr="007860DE" w:rsidRDefault="006A66EE" w:rsidP="006A66EE">
      <w:pPr>
        <w:rPr>
          <w:rFonts w:ascii="Arial" w:hAnsi="Arial" w:cs="Arial"/>
        </w:rPr>
      </w:pPr>
      <w:r w:rsidRPr="007860DE">
        <w:rPr>
          <w:rFonts w:ascii="Arial" w:hAnsi="Arial" w:cs="Arial"/>
          <w:b/>
          <w:bCs/>
        </w:rPr>
        <w:t>Figure S</w:t>
      </w:r>
      <w:r w:rsidR="002E0E63">
        <w:rPr>
          <w:rFonts w:ascii="Arial" w:hAnsi="Arial" w:cs="Arial"/>
          <w:b/>
          <w:bCs/>
        </w:rPr>
        <w:t>11</w:t>
      </w:r>
      <w:r w:rsidRPr="007860DE">
        <w:rPr>
          <w:rFonts w:ascii="Arial" w:hAnsi="Arial" w:cs="Arial"/>
        </w:rPr>
        <w:t xml:space="preserve">. Putative CDSs in (A) SPPV and (B) GTPV where the colours correspond to the clades (GTPV: 2.1 in grey, 2.2 in purple, 2.3 in orange) (SPPV: 3.1 in green, 3.2 in blue, 3.3 in red, NA in grey). The CDSs are based on </w:t>
      </w:r>
      <w:proofErr w:type="spellStart"/>
      <w:r w:rsidRPr="007860DE">
        <w:rPr>
          <w:rFonts w:ascii="Arial" w:hAnsi="Arial" w:cs="Arial"/>
        </w:rPr>
        <w:t>Prokka</w:t>
      </w:r>
      <w:proofErr w:type="spellEnd"/>
      <w:r w:rsidRPr="007860DE">
        <w:rPr>
          <w:rFonts w:ascii="Arial" w:hAnsi="Arial" w:cs="Arial"/>
        </w:rPr>
        <w:t xml:space="preserve"> predictions. </w:t>
      </w:r>
    </w:p>
    <w:p w14:paraId="3828B71C" w14:textId="43FF098E" w:rsidR="006A66EE" w:rsidRPr="007860DE" w:rsidRDefault="006A66EE">
      <w:pPr>
        <w:rPr>
          <w:rFonts w:ascii="Arial" w:hAnsi="Arial" w:cs="Arial"/>
        </w:rPr>
      </w:pPr>
    </w:p>
    <w:p w14:paraId="4512E07C" w14:textId="4A699DAA" w:rsidR="00C76668" w:rsidRPr="007860DE" w:rsidRDefault="00C76668">
      <w:pPr>
        <w:rPr>
          <w:rFonts w:ascii="Arial" w:hAnsi="Arial" w:cs="Arial"/>
        </w:rPr>
      </w:pPr>
      <w:r w:rsidRPr="007860DE">
        <w:rPr>
          <w:rFonts w:ascii="Arial" w:hAnsi="Arial" w:cs="Arial"/>
        </w:rPr>
        <w:br w:type="page"/>
      </w:r>
    </w:p>
    <w:p w14:paraId="7962C746" w14:textId="56DBD7EE" w:rsidR="006A66EE" w:rsidRPr="007860DE" w:rsidRDefault="00633FA8">
      <w:pPr>
        <w:rPr>
          <w:rFonts w:ascii="Arial" w:hAnsi="Arial" w:cs="Arial"/>
        </w:rPr>
      </w:pPr>
      <w:r w:rsidRPr="007860DE">
        <w:rPr>
          <w:rFonts w:ascii="Arial" w:hAnsi="Arial" w:cs="Arial"/>
          <w:noProof/>
        </w:rPr>
        <w:lastRenderedPageBreak/>
        <w:drawing>
          <wp:anchor distT="0" distB="0" distL="114300" distR="114300" simplePos="0" relativeHeight="251691008" behindDoc="0" locked="0" layoutInCell="1" allowOverlap="1" wp14:anchorId="4AF7B5A1" wp14:editId="252C9785">
            <wp:simplePos x="0" y="0"/>
            <wp:positionH relativeFrom="column">
              <wp:posOffset>-2540</wp:posOffset>
            </wp:positionH>
            <wp:positionV relativeFrom="paragraph">
              <wp:posOffset>8255</wp:posOffset>
            </wp:positionV>
            <wp:extent cx="6195695" cy="6195695"/>
            <wp:effectExtent l="0" t="0" r="1905" b="1905"/>
            <wp:wrapTopAndBottom/>
            <wp:docPr id="577596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96307" name="Picture 57759630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95695" cy="6195695"/>
                    </a:xfrm>
                    <a:prstGeom prst="rect">
                      <a:avLst/>
                    </a:prstGeom>
                  </pic:spPr>
                </pic:pic>
              </a:graphicData>
            </a:graphic>
            <wp14:sizeRelH relativeFrom="margin">
              <wp14:pctWidth>0</wp14:pctWidth>
            </wp14:sizeRelH>
            <wp14:sizeRelV relativeFrom="margin">
              <wp14:pctHeight>0</wp14:pctHeight>
            </wp14:sizeRelV>
          </wp:anchor>
        </w:drawing>
      </w:r>
    </w:p>
    <w:p w14:paraId="21E0B830" w14:textId="560EBBE4" w:rsidR="00633FA8" w:rsidRPr="007860DE" w:rsidRDefault="006A66EE" w:rsidP="00633FA8">
      <w:pPr>
        <w:rPr>
          <w:rFonts w:ascii="Arial" w:hAnsi="Arial" w:cs="Arial"/>
        </w:rPr>
      </w:pPr>
      <w:r w:rsidRPr="007860DE">
        <w:rPr>
          <w:rFonts w:ascii="Arial" w:hAnsi="Arial" w:cs="Arial"/>
          <w:b/>
          <w:bCs/>
        </w:rPr>
        <w:t>Figure S1</w:t>
      </w:r>
      <w:r w:rsidR="007A374E">
        <w:rPr>
          <w:rFonts w:ascii="Arial" w:hAnsi="Arial" w:cs="Arial"/>
          <w:b/>
          <w:bCs/>
        </w:rPr>
        <w:t>2</w:t>
      </w:r>
      <w:r w:rsidRPr="007860DE">
        <w:rPr>
          <w:rFonts w:ascii="Arial" w:hAnsi="Arial" w:cs="Arial"/>
        </w:rPr>
        <w:t xml:space="preserve">. </w:t>
      </w:r>
      <w:r w:rsidR="00633FA8" w:rsidRPr="007860DE">
        <w:rPr>
          <w:rFonts w:ascii="Arial" w:hAnsi="Arial" w:cs="Arial"/>
        </w:rPr>
        <w:t>The GTPV and SPPV SNPs/Kb was positively correlated (r=0.53) but with wide variation. In SPPV, 18 genes had no SNPs (LSDV023, LSDV031, LSDV040, LSDV046, LSDV052, LSDV055, LSDV060, LSDV067, LSDV072, LSDV078, LSDV092, LSDV097, LSDV104, LSDV106, LSDV111, LSDV113, LSDV120, LSDV126) along LSDV136, which was annotated as a putative pseudogene. One gene in GTPV had no SNPs (LD105), and two had &lt;5 SNPs/Kb (LSDV096 and LSDV107). LSDV130, LSDV131 and LSDV152 had high SNP densities in both species. LSDV002, LSDV004, LSDV009, LSDV013, LSDV026, LSDV132, LSDV136, LSDV153 and LSDV155 are highlighted by red nodes.</w:t>
      </w:r>
    </w:p>
    <w:p w14:paraId="43D588E8" w14:textId="6E037AFD" w:rsidR="00835020" w:rsidRPr="007860DE" w:rsidRDefault="00835020" w:rsidP="00835020">
      <w:pPr>
        <w:rPr>
          <w:rFonts w:ascii="Arial" w:hAnsi="Arial" w:cs="Arial"/>
        </w:rPr>
      </w:pPr>
      <w:r w:rsidRPr="007860DE">
        <w:rPr>
          <w:rFonts w:ascii="Arial" w:hAnsi="Arial" w:cs="Arial"/>
        </w:rPr>
        <w:br w:type="page"/>
      </w:r>
    </w:p>
    <w:p w14:paraId="71F20EE2" w14:textId="77777777" w:rsidR="00835020" w:rsidRPr="007860DE" w:rsidRDefault="00835020" w:rsidP="00835020">
      <w:pPr>
        <w:rPr>
          <w:rFonts w:ascii="Arial" w:hAnsi="Arial" w:cs="Arial"/>
          <w:b/>
          <w:bCs/>
          <w:lang w:val="en-IE"/>
        </w:rPr>
      </w:pPr>
      <w:r w:rsidRPr="007860DE">
        <w:rPr>
          <w:rFonts w:ascii="Arial" w:hAnsi="Arial" w:cs="Arial"/>
          <w:b/>
          <w:bCs/>
          <w:noProof/>
        </w:rPr>
        <w:lastRenderedPageBreak/>
        <w:drawing>
          <wp:anchor distT="0" distB="0" distL="114300" distR="114300" simplePos="0" relativeHeight="251697152" behindDoc="0" locked="0" layoutInCell="1" allowOverlap="1" wp14:anchorId="1DF2CAEB" wp14:editId="065F613B">
            <wp:simplePos x="0" y="0"/>
            <wp:positionH relativeFrom="column">
              <wp:posOffset>1367155</wp:posOffset>
            </wp:positionH>
            <wp:positionV relativeFrom="paragraph">
              <wp:posOffset>3175</wp:posOffset>
            </wp:positionV>
            <wp:extent cx="4848225" cy="8785225"/>
            <wp:effectExtent l="0" t="0" r="3175" b="3175"/>
            <wp:wrapSquare wrapText="bothSides"/>
            <wp:docPr id="1772695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95649" name=""/>
                    <pic:cNvPicPr/>
                  </pic:nvPicPr>
                  <pic:blipFill rotWithShape="1">
                    <a:blip r:embed="rId19"/>
                    <a:srcRect l="2130" b="880"/>
                    <a:stretch>
                      <a:fillRect/>
                    </a:stretch>
                  </pic:blipFill>
                  <pic:spPr bwMode="auto">
                    <a:xfrm>
                      <a:off x="0" y="0"/>
                      <a:ext cx="4848225" cy="8785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31F5CD" w14:textId="77777777" w:rsidR="00835020" w:rsidRPr="007860DE" w:rsidRDefault="00835020" w:rsidP="00835020">
      <w:pPr>
        <w:rPr>
          <w:rFonts w:ascii="Arial" w:hAnsi="Arial" w:cs="Arial"/>
          <w:b/>
          <w:bCs/>
          <w:lang w:val="en-IE"/>
        </w:rPr>
      </w:pPr>
    </w:p>
    <w:p w14:paraId="0DAFA380" w14:textId="2BC7C9BE" w:rsidR="00835020" w:rsidRPr="007860DE" w:rsidRDefault="00835020" w:rsidP="00835020">
      <w:pPr>
        <w:rPr>
          <w:rFonts w:ascii="Arial" w:hAnsi="Arial" w:cs="Arial"/>
        </w:rPr>
      </w:pPr>
      <w:r w:rsidRPr="007860DE">
        <w:rPr>
          <w:rFonts w:ascii="Arial" w:hAnsi="Arial" w:cs="Arial"/>
          <w:b/>
          <w:bCs/>
          <w:lang w:val="en-IE"/>
        </w:rPr>
        <w:t>Figure S1</w:t>
      </w:r>
      <w:r w:rsidR="002E0E63">
        <w:rPr>
          <w:rFonts w:ascii="Arial" w:hAnsi="Arial" w:cs="Arial"/>
          <w:b/>
          <w:bCs/>
          <w:lang w:val="en-IE"/>
        </w:rPr>
        <w:t>3</w:t>
      </w:r>
      <w:r w:rsidRPr="007860DE">
        <w:rPr>
          <w:rFonts w:ascii="Arial" w:hAnsi="Arial" w:cs="Arial"/>
          <w:lang w:val="en-IE"/>
        </w:rPr>
        <w:t>. SPPV diversity at (A) LSDV009, (B) LSDV013, (C) LSDV026, (D) LSDV132 and (E) LSDV136 showing (left) m</w:t>
      </w:r>
      <w:proofErr w:type="spellStart"/>
      <w:r w:rsidRPr="007860DE">
        <w:rPr>
          <w:rFonts w:ascii="Arial" w:hAnsi="Arial" w:cs="Arial"/>
        </w:rPr>
        <w:t>idpoint</w:t>
      </w:r>
      <w:proofErr w:type="spellEnd"/>
      <w:r w:rsidRPr="007860DE">
        <w:rPr>
          <w:rFonts w:ascii="Arial" w:hAnsi="Arial" w:cs="Arial"/>
        </w:rPr>
        <w:t>-rooted SPPV phylogenies with three clades (3.1 in green, n=2; 3.2 in blue, n=9, 3.3 in red, n=18) and (right) PCA visualisations where the fraction of variation explained is shown on the axes.</w:t>
      </w:r>
    </w:p>
    <w:p w14:paraId="262019E0" w14:textId="77777777" w:rsidR="00835020" w:rsidRPr="007860DE" w:rsidRDefault="00835020" w:rsidP="00835020">
      <w:pPr>
        <w:rPr>
          <w:rFonts w:ascii="Arial" w:hAnsi="Arial" w:cs="Arial"/>
        </w:rPr>
      </w:pPr>
    </w:p>
    <w:p w14:paraId="388D7EF1" w14:textId="77777777" w:rsidR="00835020" w:rsidRPr="007860DE" w:rsidRDefault="00835020" w:rsidP="00835020">
      <w:pPr>
        <w:rPr>
          <w:rFonts w:ascii="Arial" w:hAnsi="Arial" w:cs="Arial"/>
        </w:rPr>
      </w:pPr>
    </w:p>
    <w:p w14:paraId="69342240" w14:textId="012A8C88" w:rsidR="00C76668" w:rsidRPr="007860DE" w:rsidRDefault="00835020">
      <w:pPr>
        <w:rPr>
          <w:rFonts w:ascii="Arial" w:hAnsi="Arial" w:cs="Arial"/>
        </w:rPr>
      </w:pPr>
      <w:r w:rsidRPr="007860DE">
        <w:rPr>
          <w:rFonts w:ascii="Arial" w:hAnsi="Arial" w:cs="Arial"/>
        </w:rPr>
        <w:br w:type="page"/>
      </w:r>
    </w:p>
    <w:p w14:paraId="7C2448D9" w14:textId="4ECB2759" w:rsidR="00DC55DC" w:rsidRPr="007860DE" w:rsidRDefault="00DC55DC">
      <w:pPr>
        <w:rPr>
          <w:rFonts w:ascii="Arial" w:hAnsi="Arial" w:cs="Arial"/>
        </w:rPr>
      </w:pPr>
      <w:r w:rsidRPr="007860DE">
        <w:rPr>
          <w:rFonts w:ascii="Arial" w:hAnsi="Arial" w:cs="Arial"/>
          <w:noProof/>
        </w:rPr>
        <w:lastRenderedPageBreak/>
        <w:drawing>
          <wp:anchor distT="0" distB="0" distL="114300" distR="114300" simplePos="0" relativeHeight="251681792" behindDoc="0" locked="0" layoutInCell="1" allowOverlap="1" wp14:anchorId="75C4EFDA" wp14:editId="30D9EBA8">
            <wp:simplePos x="0" y="0"/>
            <wp:positionH relativeFrom="column">
              <wp:posOffset>-7620</wp:posOffset>
            </wp:positionH>
            <wp:positionV relativeFrom="paragraph">
              <wp:posOffset>0</wp:posOffset>
            </wp:positionV>
            <wp:extent cx="6256655" cy="3518535"/>
            <wp:effectExtent l="0" t="0" r="0" b="0"/>
            <wp:wrapSquare wrapText="bothSides"/>
            <wp:docPr id="1759383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383053" name=""/>
                    <pic:cNvPicPr/>
                  </pic:nvPicPr>
                  <pic:blipFill rotWithShape="1">
                    <a:blip r:embed="rId20"/>
                    <a:srcRect l="1305" r="3098"/>
                    <a:stretch>
                      <a:fillRect/>
                    </a:stretch>
                  </pic:blipFill>
                  <pic:spPr bwMode="auto">
                    <a:xfrm>
                      <a:off x="0" y="0"/>
                      <a:ext cx="6256655" cy="3518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9231A7" w14:textId="1A411B90" w:rsidR="00DC55DC" w:rsidRPr="007860DE" w:rsidRDefault="00DC55DC">
      <w:pPr>
        <w:rPr>
          <w:rFonts w:ascii="Arial" w:hAnsi="Arial" w:cs="Arial"/>
        </w:rPr>
      </w:pPr>
    </w:p>
    <w:p w14:paraId="6B1DD3B8" w14:textId="2FF55DE5" w:rsidR="00DC55DC" w:rsidRPr="007860DE" w:rsidRDefault="00DC55DC" w:rsidP="00DC55DC">
      <w:pPr>
        <w:rPr>
          <w:rFonts w:ascii="Arial" w:hAnsi="Arial" w:cs="Arial"/>
        </w:rPr>
      </w:pPr>
      <w:r w:rsidRPr="007860DE">
        <w:rPr>
          <w:rFonts w:ascii="Arial" w:hAnsi="Arial" w:cs="Arial"/>
          <w:b/>
          <w:bCs/>
          <w:lang w:val="en-IE"/>
        </w:rPr>
        <w:t>Figure S1</w:t>
      </w:r>
      <w:r w:rsidR="002E0E63">
        <w:rPr>
          <w:rFonts w:ascii="Arial" w:hAnsi="Arial" w:cs="Arial"/>
          <w:b/>
          <w:bCs/>
          <w:lang w:val="en-IE"/>
        </w:rPr>
        <w:t>4</w:t>
      </w:r>
      <w:r w:rsidRPr="007860DE">
        <w:rPr>
          <w:rFonts w:ascii="Arial" w:hAnsi="Arial" w:cs="Arial"/>
          <w:lang w:val="en-IE"/>
        </w:rPr>
        <w:t xml:space="preserve">. Visualisations of the region similar to LSDV009 (at NC_004003.1:5,583-5,899) gene in the GTPV PVG with three haplotypes of lengths 271 bp (in five Clade 2.2 samples, along with PV167794.1 for certain segments), 359 bp (in the three Clade 2.3 samples) and 522 bp (in five Clade 2.1 samples). (A) A </w:t>
      </w:r>
      <w:proofErr w:type="spellStart"/>
      <w:r w:rsidRPr="007860DE">
        <w:rPr>
          <w:rFonts w:ascii="Arial" w:hAnsi="Arial" w:cs="Arial"/>
          <w:lang w:val="en-IE"/>
        </w:rPr>
        <w:t>sequenceTubeMap</w:t>
      </w:r>
      <w:proofErr w:type="spellEnd"/>
      <w:r w:rsidRPr="007860DE">
        <w:rPr>
          <w:rFonts w:ascii="Arial" w:hAnsi="Arial" w:cs="Arial"/>
          <w:lang w:val="en-IE"/>
        </w:rPr>
        <w:t xml:space="preserve"> image shows an excerpt from the PVG at this region where five samples from Clade 2.2 (AY077835.1, AY077836.1, KX576657.1, MN072622.1, NC_004003.1) are at the top (blue, blue, green, orange, mauve), along with PV167794.1 (green), and the other genomes at the bottom. (B) Bandage image of LSDV009 with LSDV010 is at the top and LSDV008 is at the bottom. The blue box indicates the region shown in (A). (C) </w:t>
      </w:r>
      <w:r w:rsidRPr="007860DE">
        <w:rPr>
          <w:rFonts w:ascii="Arial" w:hAnsi="Arial" w:cs="Arial"/>
        </w:rPr>
        <w:t xml:space="preserve">A mid-rooted phylogeny with three clades denoted 2.1 (grey, n=6), 2.2 (purple, n=5) and 2.3 (orange, n=3). </w:t>
      </w:r>
      <w:r w:rsidRPr="007860DE">
        <w:rPr>
          <w:rFonts w:ascii="Arial" w:hAnsi="Arial" w:cs="Arial"/>
          <w:lang w:val="en-IE"/>
        </w:rPr>
        <w:t xml:space="preserve">Nodes with bootstrap support &gt; 90 are shown. (D) </w:t>
      </w:r>
      <w:r w:rsidRPr="007860DE">
        <w:rPr>
          <w:rFonts w:ascii="Arial" w:hAnsi="Arial" w:cs="Arial"/>
        </w:rPr>
        <w:t xml:space="preserve">PCA based on SNP data. (E) </w:t>
      </w:r>
      <w:r w:rsidRPr="007860DE">
        <w:rPr>
          <w:rFonts w:ascii="Arial" w:hAnsi="Arial" w:cs="Arial"/>
          <w:lang w:val="en-IE"/>
        </w:rPr>
        <w:t xml:space="preserve">A network where each node represents one sample. Grey lines indicate inter-community connections, and black lines indicate intra-community ones. </w:t>
      </w:r>
    </w:p>
    <w:p w14:paraId="2C505228" w14:textId="77777777" w:rsidR="00DC55DC" w:rsidRPr="007860DE" w:rsidRDefault="00DC55DC">
      <w:pPr>
        <w:rPr>
          <w:rFonts w:ascii="Arial" w:hAnsi="Arial" w:cs="Arial"/>
        </w:rPr>
      </w:pPr>
    </w:p>
    <w:p w14:paraId="3E1419BF" w14:textId="170BB7AD" w:rsidR="00C76668" w:rsidRPr="007860DE" w:rsidRDefault="00C76668">
      <w:pPr>
        <w:rPr>
          <w:rFonts w:ascii="Arial" w:hAnsi="Arial" w:cs="Arial"/>
        </w:rPr>
      </w:pPr>
      <w:r w:rsidRPr="007860DE">
        <w:rPr>
          <w:rFonts w:ascii="Arial" w:hAnsi="Arial" w:cs="Arial"/>
        </w:rPr>
        <w:br w:type="page"/>
      </w:r>
    </w:p>
    <w:p w14:paraId="187B53C0" w14:textId="57001C64" w:rsidR="00DC55DC" w:rsidRPr="007860DE" w:rsidRDefault="00DC55DC">
      <w:pPr>
        <w:rPr>
          <w:rFonts w:ascii="Arial" w:hAnsi="Arial" w:cs="Arial"/>
        </w:rPr>
      </w:pPr>
      <w:r w:rsidRPr="007860DE">
        <w:rPr>
          <w:rFonts w:ascii="Arial" w:hAnsi="Arial" w:cs="Arial"/>
          <w:noProof/>
        </w:rPr>
        <w:lastRenderedPageBreak/>
        <w:drawing>
          <wp:anchor distT="0" distB="0" distL="114300" distR="114300" simplePos="0" relativeHeight="251683840" behindDoc="0" locked="0" layoutInCell="1" allowOverlap="1" wp14:anchorId="3D02E457" wp14:editId="2EC824C9">
            <wp:simplePos x="0" y="0"/>
            <wp:positionH relativeFrom="column">
              <wp:posOffset>27305</wp:posOffset>
            </wp:positionH>
            <wp:positionV relativeFrom="paragraph">
              <wp:posOffset>46355</wp:posOffset>
            </wp:positionV>
            <wp:extent cx="6174740" cy="3900170"/>
            <wp:effectExtent l="0" t="0" r="0" b="0"/>
            <wp:wrapSquare wrapText="bothSides"/>
            <wp:docPr id="62114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4355" name=""/>
                    <pic:cNvPicPr/>
                  </pic:nvPicPr>
                  <pic:blipFill rotWithShape="1">
                    <a:blip r:embed="rId21"/>
                    <a:srcRect l="1491" t="1836" r="3848"/>
                    <a:stretch>
                      <a:fillRect/>
                    </a:stretch>
                  </pic:blipFill>
                  <pic:spPr bwMode="auto">
                    <a:xfrm>
                      <a:off x="0" y="0"/>
                      <a:ext cx="6174740" cy="3900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37CE40" w14:textId="1E950C28" w:rsidR="00DC55DC" w:rsidRPr="007860DE" w:rsidRDefault="00DC55DC">
      <w:pPr>
        <w:rPr>
          <w:rFonts w:ascii="Arial" w:hAnsi="Arial" w:cs="Arial"/>
        </w:rPr>
      </w:pPr>
    </w:p>
    <w:p w14:paraId="559C9055" w14:textId="607C14CB" w:rsidR="00DC55DC" w:rsidRPr="007860DE" w:rsidRDefault="00DC55DC" w:rsidP="00DC55DC">
      <w:pPr>
        <w:rPr>
          <w:rFonts w:ascii="Arial" w:hAnsi="Arial" w:cs="Arial"/>
        </w:rPr>
      </w:pPr>
      <w:r w:rsidRPr="007860DE">
        <w:rPr>
          <w:rFonts w:ascii="Arial" w:hAnsi="Arial" w:cs="Arial"/>
          <w:b/>
          <w:bCs/>
          <w:lang w:val="en-IE"/>
        </w:rPr>
        <w:t>Figure S1</w:t>
      </w:r>
      <w:r w:rsidR="002E0E63">
        <w:rPr>
          <w:rFonts w:ascii="Arial" w:hAnsi="Arial" w:cs="Arial"/>
          <w:b/>
          <w:bCs/>
          <w:lang w:val="en-IE"/>
        </w:rPr>
        <w:t>5</w:t>
      </w:r>
      <w:r w:rsidRPr="007860DE">
        <w:rPr>
          <w:rFonts w:ascii="Arial" w:hAnsi="Arial" w:cs="Arial"/>
          <w:lang w:val="en-IE"/>
        </w:rPr>
        <w:t xml:space="preserve">. Visualisations of the region similar to LSDV013 (at NC_004003.1:1:8,395-9,465) gene in the GTPV PVG with two haplotypes of lengths 721 and 735 bp. (A) The </w:t>
      </w:r>
      <w:proofErr w:type="spellStart"/>
      <w:r w:rsidRPr="007860DE">
        <w:rPr>
          <w:rFonts w:ascii="Arial" w:hAnsi="Arial" w:cs="Arial"/>
          <w:lang w:val="en-IE"/>
        </w:rPr>
        <w:t>sequenceTubeMap</w:t>
      </w:r>
      <w:proofErr w:type="spellEnd"/>
      <w:r w:rsidRPr="007860DE">
        <w:rPr>
          <w:rFonts w:ascii="Arial" w:hAnsi="Arial" w:cs="Arial"/>
          <w:lang w:val="en-IE"/>
        </w:rPr>
        <w:t xml:space="preserve"> image shows an excerpt from the PVG at this region where MN072623, MN072624, MN072625 at the top (cyan, grey, orange) and the other 11 genomes at the bottom. (B) Bandage image of LSDV013 with LSDV014 is at the top and LSDV012 is at the bottom. The blue box indicates the region shown in (A). (C) </w:t>
      </w:r>
      <w:r w:rsidRPr="007860DE">
        <w:rPr>
          <w:rFonts w:ascii="Arial" w:hAnsi="Arial" w:cs="Arial"/>
        </w:rPr>
        <w:t xml:space="preserve">A mid-rooted phylogeny with three clades denoted 2.1 (grey, n=6), 2.2 (purple, n=5) and 2.3 (orange, n=3). </w:t>
      </w:r>
      <w:r w:rsidRPr="007860DE">
        <w:rPr>
          <w:rFonts w:ascii="Arial" w:hAnsi="Arial" w:cs="Arial"/>
          <w:lang w:val="en-IE"/>
        </w:rPr>
        <w:t xml:space="preserve">Nodes with bootstrap support &gt; 90 are shown. (D) </w:t>
      </w:r>
      <w:r w:rsidRPr="007860DE">
        <w:rPr>
          <w:rFonts w:ascii="Arial" w:hAnsi="Arial" w:cs="Arial"/>
        </w:rPr>
        <w:t xml:space="preserve">PCA based on SNP data. (E) </w:t>
      </w:r>
      <w:r w:rsidRPr="007860DE">
        <w:rPr>
          <w:rFonts w:ascii="Arial" w:hAnsi="Arial" w:cs="Arial"/>
          <w:lang w:val="en-IE"/>
        </w:rPr>
        <w:t xml:space="preserve">A network where each node represents one sample. Grey lines indicate inter-community connections, and black lines indicate intra-community ones. </w:t>
      </w:r>
    </w:p>
    <w:p w14:paraId="3163E759" w14:textId="77777777" w:rsidR="00DC55DC" w:rsidRPr="007860DE" w:rsidRDefault="00DC55DC">
      <w:pPr>
        <w:rPr>
          <w:rFonts w:ascii="Arial" w:hAnsi="Arial" w:cs="Arial"/>
        </w:rPr>
      </w:pPr>
    </w:p>
    <w:p w14:paraId="5D86EB29" w14:textId="4E48998E" w:rsidR="00C76668" w:rsidRPr="007860DE" w:rsidRDefault="00C76668">
      <w:pPr>
        <w:rPr>
          <w:rFonts w:ascii="Arial" w:hAnsi="Arial" w:cs="Arial"/>
        </w:rPr>
      </w:pPr>
      <w:r w:rsidRPr="007860DE">
        <w:rPr>
          <w:rFonts w:ascii="Arial" w:hAnsi="Arial" w:cs="Arial"/>
        </w:rPr>
        <w:br w:type="page"/>
      </w:r>
    </w:p>
    <w:p w14:paraId="5A75B677" w14:textId="72C22E10" w:rsidR="00DC55DC" w:rsidRPr="007860DE" w:rsidRDefault="00DC55DC">
      <w:pPr>
        <w:rPr>
          <w:rFonts w:ascii="Arial" w:hAnsi="Arial" w:cs="Arial"/>
        </w:rPr>
      </w:pPr>
      <w:r w:rsidRPr="007860DE">
        <w:rPr>
          <w:rFonts w:ascii="Arial" w:hAnsi="Arial" w:cs="Arial"/>
          <w:noProof/>
        </w:rPr>
        <w:lastRenderedPageBreak/>
        <w:drawing>
          <wp:anchor distT="0" distB="0" distL="114300" distR="114300" simplePos="0" relativeHeight="251685888" behindDoc="0" locked="0" layoutInCell="1" allowOverlap="1" wp14:anchorId="08866213" wp14:editId="2D305243">
            <wp:simplePos x="0" y="0"/>
            <wp:positionH relativeFrom="column">
              <wp:posOffset>85090</wp:posOffset>
            </wp:positionH>
            <wp:positionV relativeFrom="paragraph">
              <wp:posOffset>22860</wp:posOffset>
            </wp:positionV>
            <wp:extent cx="6130290" cy="3443605"/>
            <wp:effectExtent l="0" t="0" r="3810" b="0"/>
            <wp:wrapSquare wrapText="bothSides"/>
            <wp:docPr id="204168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68720" name=""/>
                    <pic:cNvPicPr/>
                  </pic:nvPicPr>
                  <pic:blipFill rotWithShape="1">
                    <a:blip r:embed="rId22"/>
                    <a:srcRect l="1305"/>
                    <a:stretch>
                      <a:fillRect/>
                    </a:stretch>
                  </pic:blipFill>
                  <pic:spPr bwMode="auto">
                    <a:xfrm>
                      <a:off x="0" y="0"/>
                      <a:ext cx="6130290" cy="34436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3BCDB3A4" w14:textId="0E97DB3B" w:rsidR="00DC55DC" w:rsidRPr="007860DE" w:rsidRDefault="00DC55DC">
      <w:pPr>
        <w:rPr>
          <w:rFonts w:ascii="Arial" w:hAnsi="Arial" w:cs="Arial"/>
        </w:rPr>
      </w:pPr>
    </w:p>
    <w:p w14:paraId="6DAB6978" w14:textId="1F6017C0" w:rsidR="00DC55DC" w:rsidRPr="007860DE" w:rsidRDefault="00DC55DC" w:rsidP="00DC55DC">
      <w:pPr>
        <w:rPr>
          <w:rFonts w:ascii="Arial" w:hAnsi="Arial" w:cs="Arial"/>
        </w:rPr>
      </w:pPr>
      <w:r w:rsidRPr="007860DE">
        <w:rPr>
          <w:rFonts w:ascii="Arial" w:hAnsi="Arial" w:cs="Arial"/>
          <w:b/>
          <w:bCs/>
          <w:lang w:val="en-IE"/>
        </w:rPr>
        <w:t>Figure S1</w:t>
      </w:r>
      <w:r w:rsidR="002E0E63">
        <w:rPr>
          <w:rFonts w:ascii="Arial" w:hAnsi="Arial" w:cs="Arial"/>
          <w:b/>
          <w:bCs/>
          <w:lang w:val="en-IE"/>
        </w:rPr>
        <w:t>6</w:t>
      </w:r>
      <w:r w:rsidRPr="007860DE">
        <w:rPr>
          <w:rFonts w:ascii="Arial" w:hAnsi="Arial" w:cs="Arial"/>
          <w:lang w:val="en-IE"/>
        </w:rPr>
        <w:t xml:space="preserve">. Visualisations of the region similar to LSDV132 (at NC_004003.1:1:119,053-119,613) gene in the GTPV PVG. (A) The </w:t>
      </w:r>
      <w:proofErr w:type="spellStart"/>
      <w:r w:rsidRPr="007860DE">
        <w:rPr>
          <w:rFonts w:ascii="Arial" w:hAnsi="Arial" w:cs="Arial"/>
          <w:lang w:val="en-IE"/>
        </w:rPr>
        <w:t>sequenceTubeMap</w:t>
      </w:r>
      <w:proofErr w:type="spellEnd"/>
      <w:r w:rsidRPr="007860DE">
        <w:rPr>
          <w:rFonts w:ascii="Arial" w:hAnsi="Arial" w:cs="Arial"/>
          <w:lang w:val="en-IE"/>
        </w:rPr>
        <w:t xml:space="preserve"> image shows an excerpt from the PVG at this region with </w:t>
      </w:r>
      <w:proofErr w:type="spellStart"/>
      <w:r w:rsidRPr="007860DE">
        <w:rPr>
          <w:rFonts w:ascii="Arial" w:hAnsi="Arial" w:cs="Arial"/>
          <w:lang w:val="en-IE"/>
        </w:rPr>
        <w:t>with</w:t>
      </w:r>
      <w:proofErr w:type="spellEnd"/>
      <w:r w:rsidRPr="007860DE">
        <w:rPr>
          <w:rFonts w:ascii="Arial" w:hAnsi="Arial" w:cs="Arial"/>
          <w:lang w:val="en-IE"/>
        </w:rPr>
        <w:t xml:space="preserve"> higher diversity in Clades 2.2 and 2.3. (B) </w:t>
      </w:r>
      <w:r w:rsidRPr="007860DE">
        <w:rPr>
          <w:rFonts w:ascii="Arial" w:hAnsi="Arial" w:cs="Arial"/>
        </w:rPr>
        <w:t xml:space="preserve">A mid-rooted phylogeny based on SNPs with three clades denoted 2.1 (grey, n=6), 2.2 (purple, n=5) and 2.3 (orange, n=3). </w:t>
      </w:r>
      <w:r w:rsidRPr="007860DE">
        <w:rPr>
          <w:rFonts w:ascii="Arial" w:hAnsi="Arial" w:cs="Arial"/>
          <w:lang w:val="en-IE"/>
        </w:rPr>
        <w:t xml:space="preserve">Nodes with bootstrap support &gt; 90 are shown. (C) </w:t>
      </w:r>
      <w:r w:rsidRPr="007860DE">
        <w:rPr>
          <w:rFonts w:ascii="Arial" w:hAnsi="Arial" w:cs="Arial"/>
        </w:rPr>
        <w:t xml:space="preserve">PCA based on SNP data. (D) </w:t>
      </w:r>
      <w:r w:rsidRPr="007860DE">
        <w:rPr>
          <w:rFonts w:ascii="Arial" w:hAnsi="Arial" w:cs="Arial"/>
          <w:lang w:val="en-IE"/>
        </w:rPr>
        <w:t xml:space="preserve">A network from where each node represents one sample. Grey lines indicate inter-community connections, and black lines indicate intra-community ones. </w:t>
      </w:r>
    </w:p>
    <w:p w14:paraId="2D43F18F" w14:textId="77777777" w:rsidR="00DC55DC" w:rsidRPr="007860DE" w:rsidRDefault="00DC55DC">
      <w:pPr>
        <w:rPr>
          <w:rFonts w:ascii="Arial" w:hAnsi="Arial" w:cs="Arial"/>
        </w:rPr>
      </w:pPr>
    </w:p>
    <w:p w14:paraId="26443806" w14:textId="70E5D29D" w:rsidR="00C76668" w:rsidRPr="007860DE" w:rsidRDefault="00C76668">
      <w:pPr>
        <w:rPr>
          <w:rFonts w:ascii="Arial" w:hAnsi="Arial" w:cs="Arial"/>
        </w:rPr>
      </w:pPr>
      <w:r w:rsidRPr="007860DE">
        <w:rPr>
          <w:rFonts w:ascii="Arial" w:hAnsi="Arial" w:cs="Arial"/>
        </w:rPr>
        <w:br w:type="page"/>
      </w:r>
    </w:p>
    <w:p w14:paraId="1180862F" w14:textId="6A9ED36F" w:rsidR="00DC55DC" w:rsidRPr="007860DE" w:rsidRDefault="00DC55DC">
      <w:pPr>
        <w:rPr>
          <w:rFonts w:ascii="Arial" w:hAnsi="Arial" w:cs="Arial"/>
        </w:rPr>
      </w:pPr>
      <w:r w:rsidRPr="007860DE">
        <w:rPr>
          <w:rFonts w:ascii="Arial" w:hAnsi="Arial" w:cs="Arial"/>
          <w:noProof/>
        </w:rPr>
        <w:lastRenderedPageBreak/>
        <w:drawing>
          <wp:anchor distT="0" distB="0" distL="114300" distR="114300" simplePos="0" relativeHeight="251687936" behindDoc="0" locked="0" layoutInCell="1" allowOverlap="1" wp14:anchorId="3A01821F" wp14:editId="0D29F5D6">
            <wp:simplePos x="0" y="0"/>
            <wp:positionH relativeFrom="column">
              <wp:posOffset>3810</wp:posOffset>
            </wp:positionH>
            <wp:positionV relativeFrom="paragraph">
              <wp:posOffset>22860</wp:posOffset>
            </wp:positionV>
            <wp:extent cx="6211570" cy="4032250"/>
            <wp:effectExtent l="0" t="0" r="0" b="6350"/>
            <wp:wrapSquare wrapText="bothSides"/>
            <wp:docPr id="1354254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254936" name=""/>
                    <pic:cNvPicPr/>
                  </pic:nvPicPr>
                  <pic:blipFill rotWithShape="1">
                    <a:blip r:embed="rId23"/>
                    <a:srcRect/>
                    <a:stretch>
                      <a:fillRect/>
                    </a:stretch>
                  </pic:blipFill>
                  <pic:spPr bwMode="auto">
                    <a:xfrm>
                      <a:off x="0" y="0"/>
                      <a:ext cx="6211570" cy="4032250"/>
                    </a:xfrm>
                    <a:prstGeom prst="rect">
                      <a:avLst/>
                    </a:prstGeom>
                    <a:ln>
                      <a:noFill/>
                    </a:ln>
                    <a:extLst>
                      <a:ext uri="{53640926-AAD7-44D8-BBD7-CCE9431645EC}">
                        <a14:shadowObscured xmlns:a14="http://schemas.microsoft.com/office/drawing/2010/main"/>
                      </a:ext>
                    </a:extLst>
                  </pic:spPr>
                </pic:pic>
              </a:graphicData>
            </a:graphic>
          </wp:anchor>
        </w:drawing>
      </w:r>
    </w:p>
    <w:p w14:paraId="5ABA2CD9" w14:textId="014A1956" w:rsidR="00E06C0E" w:rsidRPr="007860DE" w:rsidRDefault="00DC55DC" w:rsidP="00835020">
      <w:pPr>
        <w:rPr>
          <w:rFonts w:ascii="Arial" w:hAnsi="Arial" w:cs="Arial"/>
          <w:b/>
          <w:bCs/>
          <w:lang w:val="en-IE"/>
        </w:rPr>
      </w:pPr>
      <w:r w:rsidRPr="007860DE">
        <w:rPr>
          <w:rFonts w:ascii="Arial" w:hAnsi="Arial" w:cs="Arial"/>
          <w:b/>
          <w:bCs/>
          <w:lang w:val="en-IE"/>
        </w:rPr>
        <w:t>Figure S1</w:t>
      </w:r>
      <w:r w:rsidR="002E0E63">
        <w:rPr>
          <w:rFonts w:ascii="Arial" w:hAnsi="Arial" w:cs="Arial"/>
          <w:b/>
          <w:bCs/>
          <w:lang w:val="en-IE"/>
        </w:rPr>
        <w:t>7</w:t>
      </w:r>
      <w:r w:rsidRPr="007860DE">
        <w:rPr>
          <w:rFonts w:ascii="Arial" w:hAnsi="Arial" w:cs="Arial"/>
          <w:lang w:val="en-IE"/>
        </w:rPr>
        <w:t xml:space="preserve">. Visualisations of the region similar to LSDV136 (at NC_004003.1:128,526-128,998) gene in the GTPV PVG. (A) The </w:t>
      </w:r>
      <w:proofErr w:type="spellStart"/>
      <w:r w:rsidRPr="007860DE">
        <w:rPr>
          <w:rFonts w:ascii="Arial" w:hAnsi="Arial" w:cs="Arial"/>
          <w:lang w:val="en-IE"/>
        </w:rPr>
        <w:t>sequenceTubeMap</w:t>
      </w:r>
      <w:proofErr w:type="spellEnd"/>
      <w:r w:rsidRPr="007860DE">
        <w:rPr>
          <w:rFonts w:ascii="Arial" w:hAnsi="Arial" w:cs="Arial"/>
          <w:lang w:val="en-IE"/>
        </w:rPr>
        <w:t xml:space="preserve"> image shows an excerpt from the PVG at this region showing clade-specific genome graphs. </w:t>
      </w:r>
      <w:r w:rsidRPr="007860DE">
        <w:rPr>
          <w:rFonts w:ascii="Arial" w:hAnsi="Arial" w:cs="Arial"/>
        </w:rPr>
        <w:t xml:space="preserve">(B) </w:t>
      </w:r>
      <w:r w:rsidRPr="007860DE">
        <w:rPr>
          <w:rFonts w:ascii="Arial" w:hAnsi="Arial" w:cs="Arial"/>
          <w:lang w:val="en-IE"/>
        </w:rPr>
        <w:t xml:space="preserve">A network from where each node represents one sample. Grey lines indicate inter-community connections, and black lines indicate intra-community ones. (C) </w:t>
      </w:r>
      <w:r w:rsidRPr="007860DE">
        <w:rPr>
          <w:rFonts w:ascii="Arial" w:hAnsi="Arial" w:cs="Arial"/>
        </w:rPr>
        <w:t xml:space="preserve">A mid-rooted phylogeny based on SNPs with three clades denoted 2.1 (grey, n=6), 2.2 (purple, n=5) and 2.3 (orange, n=3). </w:t>
      </w:r>
      <w:r w:rsidRPr="007860DE">
        <w:rPr>
          <w:rFonts w:ascii="Arial" w:hAnsi="Arial" w:cs="Arial"/>
          <w:lang w:val="en-IE"/>
        </w:rPr>
        <w:t xml:space="preserve">Nodes with bootstrap support &gt; 90 are shown. (D) </w:t>
      </w:r>
      <w:r w:rsidRPr="007860DE">
        <w:rPr>
          <w:rFonts w:ascii="Arial" w:hAnsi="Arial" w:cs="Arial"/>
        </w:rPr>
        <w:t xml:space="preserve">PCA based on SNP data. </w:t>
      </w:r>
    </w:p>
    <w:p w14:paraId="4789471F" w14:textId="77777777" w:rsidR="00835020" w:rsidRPr="007860DE" w:rsidRDefault="00835020" w:rsidP="00835020">
      <w:pPr>
        <w:rPr>
          <w:rFonts w:ascii="Arial" w:hAnsi="Arial" w:cs="Arial"/>
        </w:rPr>
      </w:pPr>
    </w:p>
    <w:p w14:paraId="070952A8" w14:textId="77777777" w:rsidR="00835020" w:rsidRPr="007860DE" w:rsidRDefault="00835020">
      <w:pPr>
        <w:rPr>
          <w:rFonts w:ascii="Arial" w:hAnsi="Arial" w:cs="Arial"/>
          <w:b/>
          <w:bCs/>
        </w:rPr>
      </w:pPr>
      <w:r w:rsidRPr="007860DE">
        <w:rPr>
          <w:rFonts w:ascii="Arial" w:hAnsi="Arial" w:cs="Arial"/>
          <w:b/>
          <w:bCs/>
        </w:rPr>
        <w:br w:type="page"/>
      </w:r>
    </w:p>
    <w:p w14:paraId="3DA23797" w14:textId="6B6D3DFB" w:rsidR="00E06C0E" w:rsidRPr="007860DE" w:rsidRDefault="00E06C0E" w:rsidP="00DC55DC">
      <w:pPr>
        <w:rPr>
          <w:rFonts w:ascii="Arial" w:hAnsi="Arial" w:cs="Arial"/>
        </w:rPr>
      </w:pPr>
      <w:r w:rsidRPr="007860DE">
        <w:rPr>
          <w:rFonts w:ascii="Arial" w:hAnsi="Arial" w:cs="Arial"/>
          <w:b/>
          <w:bCs/>
        </w:rPr>
        <w:lastRenderedPageBreak/>
        <w:t>Figure S1</w:t>
      </w:r>
      <w:r w:rsidR="002E0E63">
        <w:rPr>
          <w:rFonts w:ascii="Arial" w:hAnsi="Arial" w:cs="Arial"/>
          <w:b/>
          <w:bCs/>
        </w:rPr>
        <w:t>8</w:t>
      </w:r>
      <w:r w:rsidRPr="007860DE">
        <w:rPr>
          <w:rFonts w:ascii="Arial" w:hAnsi="Arial" w:cs="Arial"/>
          <w:b/>
          <w:bCs/>
        </w:rPr>
        <w:t>.</w:t>
      </w:r>
      <w:r w:rsidRPr="007860DE">
        <w:rPr>
          <w:rFonts w:ascii="Arial" w:hAnsi="Arial" w:cs="Arial"/>
        </w:rPr>
        <w:t xml:space="preserve"> (A) The number of nonsynonymous SNPs per gene for SPPV (red) and GTPV (blue) (y-axis) versus LSDV (x-axis). (B) A midpoint-rooted phylogeny for gene LSDV039 showing LSDV (black), SPPV (red) and GTPV (blue).</w:t>
      </w:r>
    </w:p>
    <w:p w14:paraId="41E9AB17" w14:textId="08F9A7BA" w:rsidR="00F95AA5" w:rsidRPr="007860DE" w:rsidRDefault="00E06C0E">
      <w:pPr>
        <w:rPr>
          <w:rFonts w:ascii="Arial" w:hAnsi="Arial" w:cs="Arial"/>
        </w:rPr>
      </w:pPr>
      <w:r w:rsidRPr="007860DE">
        <w:rPr>
          <w:rFonts w:ascii="Arial" w:hAnsi="Arial" w:cs="Arial"/>
          <w:noProof/>
        </w:rPr>
        <w:drawing>
          <wp:anchor distT="0" distB="0" distL="114300" distR="114300" simplePos="0" relativeHeight="251695104" behindDoc="0" locked="0" layoutInCell="1" allowOverlap="1" wp14:anchorId="6009AA40" wp14:editId="7407A6B6">
            <wp:simplePos x="0" y="0"/>
            <wp:positionH relativeFrom="column">
              <wp:posOffset>1344295</wp:posOffset>
            </wp:positionH>
            <wp:positionV relativeFrom="paragraph">
              <wp:posOffset>346075</wp:posOffset>
            </wp:positionV>
            <wp:extent cx="4857115" cy="7983220"/>
            <wp:effectExtent l="0" t="0" r="0" b="5080"/>
            <wp:wrapSquare wrapText="bothSides"/>
            <wp:docPr id="893089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089363" name=""/>
                    <pic:cNvPicPr/>
                  </pic:nvPicPr>
                  <pic:blipFill rotWithShape="1">
                    <a:blip r:embed="rId24"/>
                    <a:srcRect l="3872" t="2398" r="1082" b="791"/>
                    <a:stretch>
                      <a:fillRect/>
                    </a:stretch>
                  </pic:blipFill>
                  <pic:spPr bwMode="auto">
                    <a:xfrm>
                      <a:off x="0" y="0"/>
                      <a:ext cx="4857115" cy="7983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F95AA5" w:rsidRPr="007860DE" w:rsidSect="007238A3">
      <w:footerReference w:type="even" r:id="rId25"/>
      <w:footerReference w:type="default" r:id="rId26"/>
      <w:pgSz w:w="11906" w:h="16838"/>
      <w:pgMar w:top="950" w:right="1110" w:bottom="1032" w:left="101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15512" w14:textId="77777777" w:rsidR="00A001CF" w:rsidRDefault="00A001CF" w:rsidP="004E6424">
      <w:r>
        <w:separator/>
      </w:r>
    </w:p>
  </w:endnote>
  <w:endnote w:type="continuationSeparator" w:id="0">
    <w:p w14:paraId="0E8A42D8" w14:textId="77777777" w:rsidR="00A001CF" w:rsidRDefault="00A001CF" w:rsidP="004E6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8164256"/>
      <w:docPartObj>
        <w:docPartGallery w:val="Page Numbers (Bottom of Page)"/>
        <w:docPartUnique/>
      </w:docPartObj>
    </w:sdtPr>
    <w:sdtContent>
      <w:p w14:paraId="3D6349AF" w14:textId="3B2AF57E" w:rsidR="004E6424" w:rsidRDefault="004E6424" w:rsidP="006E24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2E5442" w14:textId="77777777" w:rsidR="004E6424" w:rsidRDefault="004E6424" w:rsidP="004E642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77889380"/>
      <w:docPartObj>
        <w:docPartGallery w:val="Page Numbers (Bottom of Page)"/>
        <w:docPartUnique/>
      </w:docPartObj>
    </w:sdtPr>
    <w:sdtContent>
      <w:p w14:paraId="2F51FF7A" w14:textId="68DA9F8F" w:rsidR="004E6424" w:rsidRDefault="004E6424" w:rsidP="006E24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91615E1" w14:textId="77777777" w:rsidR="004E6424" w:rsidRDefault="004E6424" w:rsidP="004E642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70F18" w14:textId="77777777" w:rsidR="00A001CF" w:rsidRDefault="00A001CF" w:rsidP="004E6424">
      <w:r>
        <w:separator/>
      </w:r>
    </w:p>
  </w:footnote>
  <w:footnote w:type="continuationSeparator" w:id="0">
    <w:p w14:paraId="5B65CC44" w14:textId="77777777" w:rsidR="00A001CF" w:rsidRDefault="00A001CF" w:rsidP="004E64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AFA"/>
    <w:rsid w:val="000373B3"/>
    <w:rsid w:val="0006510E"/>
    <w:rsid w:val="000C7D13"/>
    <w:rsid w:val="001E0245"/>
    <w:rsid w:val="00251EB4"/>
    <w:rsid w:val="002E0E63"/>
    <w:rsid w:val="00335368"/>
    <w:rsid w:val="00344C76"/>
    <w:rsid w:val="00361023"/>
    <w:rsid w:val="003E081F"/>
    <w:rsid w:val="003F14CB"/>
    <w:rsid w:val="003F5A42"/>
    <w:rsid w:val="00460D51"/>
    <w:rsid w:val="00462B10"/>
    <w:rsid w:val="00476218"/>
    <w:rsid w:val="004E6424"/>
    <w:rsid w:val="00524FBE"/>
    <w:rsid w:val="00546C14"/>
    <w:rsid w:val="005A3643"/>
    <w:rsid w:val="005D2034"/>
    <w:rsid w:val="00633FA8"/>
    <w:rsid w:val="00650723"/>
    <w:rsid w:val="006912DB"/>
    <w:rsid w:val="006A66EE"/>
    <w:rsid w:val="007238A3"/>
    <w:rsid w:val="00746634"/>
    <w:rsid w:val="007860DE"/>
    <w:rsid w:val="007A374E"/>
    <w:rsid w:val="007B4494"/>
    <w:rsid w:val="007D0B42"/>
    <w:rsid w:val="00835020"/>
    <w:rsid w:val="008919F4"/>
    <w:rsid w:val="008D25F7"/>
    <w:rsid w:val="008E49B8"/>
    <w:rsid w:val="00925671"/>
    <w:rsid w:val="0093298F"/>
    <w:rsid w:val="00936733"/>
    <w:rsid w:val="00940F7C"/>
    <w:rsid w:val="00A001CF"/>
    <w:rsid w:val="00A7414D"/>
    <w:rsid w:val="00A9232B"/>
    <w:rsid w:val="00BB76BB"/>
    <w:rsid w:val="00BE08ED"/>
    <w:rsid w:val="00BE4582"/>
    <w:rsid w:val="00C61252"/>
    <w:rsid w:val="00C76668"/>
    <w:rsid w:val="00D43BF8"/>
    <w:rsid w:val="00DA35E3"/>
    <w:rsid w:val="00DC55DC"/>
    <w:rsid w:val="00E06C0E"/>
    <w:rsid w:val="00E13BCF"/>
    <w:rsid w:val="00E31AA3"/>
    <w:rsid w:val="00E33662"/>
    <w:rsid w:val="00E34F2B"/>
    <w:rsid w:val="00EC4ED1"/>
    <w:rsid w:val="00EE5DC5"/>
    <w:rsid w:val="00EF2D16"/>
    <w:rsid w:val="00F02B7F"/>
    <w:rsid w:val="00F20D6E"/>
    <w:rsid w:val="00F95AA5"/>
    <w:rsid w:val="00FA1DD2"/>
    <w:rsid w:val="00FC2794"/>
    <w:rsid w:val="00FD07E0"/>
    <w:rsid w:val="00FD0AFA"/>
    <w:rsid w:val="00FD65DA"/>
    <w:rsid w:val="00FE1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AB545F6"/>
  <w15:chartTrackingRefBased/>
  <w15:docId w15:val="{9C7649DE-7130-5440-9B92-6B80C9E08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AFA"/>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FD0AFA"/>
    <w:pPr>
      <w:keepNext/>
      <w:keepLines/>
      <w:spacing w:before="360" w:after="8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FD0AFA"/>
    <w:pPr>
      <w:keepNext/>
      <w:keepLines/>
      <w:spacing w:before="160" w:after="8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FD0AFA"/>
    <w:pPr>
      <w:keepNext/>
      <w:keepLines/>
      <w:spacing w:before="160" w:after="80"/>
      <w:outlineLvl w:val="2"/>
    </w:pPr>
    <w:rPr>
      <w:rFonts w:asciiTheme="minorHAnsi" w:eastAsiaTheme="majorEastAsia" w:hAnsiTheme="minorHAnsi"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FD0AFA"/>
    <w:pPr>
      <w:keepNext/>
      <w:keepLines/>
      <w:spacing w:before="80" w:after="40"/>
      <w:outlineLvl w:val="3"/>
    </w:pPr>
    <w:rPr>
      <w:rFonts w:asciiTheme="minorHAnsi" w:eastAsiaTheme="majorEastAsia" w:hAnsiTheme="minorHAnsi"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FD0AFA"/>
    <w:pPr>
      <w:keepNext/>
      <w:keepLines/>
      <w:spacing w:before="80" w:after="40"/>
      <w:outlineLvl w:val="4"/>
    </w:pPr>
    <w:rPr>
      <w:rFonts w:asciiTheme="minorHAnsi" w:eastAsiaTheme="majorEastAsia" w:hAnsiTheme="minorHAnsi"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FD0AFA"/>
    <w:pPr>
      <w:keepNext/>
      <w:keepLines/>
      <w:spacing w:before="40"/>
      <w:outlineLvl w:val="5"/>
    </w:pPr>
    <w:rPr>
      <w:rFonts w:asciiTheme="minorHAnsi" w:eastAsiaTheme="majorEastAsia" w:hAnsiTheme="minorHAnsi"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FD0AFA"/>
    <w:pPr>
      <w:keepNext/>
      <w:keepLines/>
      <w:spacing w:before="40"/>
      <w:outlineLvl w:val="6"/>
    </w:pPr>
    <w:rPr>
      <w:rFonts w:asciiTheme="minorHAnsi" w:eastAsiaTheme="majorEastAsia" w:hAnsiTheme="minorHAnsi"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FD0AFA"/>
    <w:pPr>
      <w:keepNext/>
      <w:keepLines/>
      <w:outlineLvl w:val="7"/>
    </w:pPr>
    <w:rPr>
      <w:rFonts w:asciiTheme="minorHAnsi" w:eastAsiaTheme="majorEastAsia" w:hAnsiTheme="minorHAnsi"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FD0AFA"/>
    <w:pPr>
      <w:keepNext/>
      <w:keepLines/>
      <w:outlineLvl w:val="8"/>
    </w:pPr>
    <w:rPr>
      <w:rFonts w:asciiTheme="minorHAnsi" w:eastAsiaTheme="majorEastAsia" w:hAnsiTheme="minorHAnsi"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A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0A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0A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0A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0A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0A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0A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0A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0AFA"/>
    <w:rPr>
      <w:rFonts w:eastAsiaTheme="majorEastAsia" w:cstheme="majorBidi"/>
      <w:color w:val="272727" w:themeColor="text1" w:themeTint="D8"/>
    </w:rPr>
  </w:style>
  <w:style w:type="paragraph" w:styleId="Title">
    <w:name w:val="Title"/>
    <w:basedOn w:val="Normal"/>
    <w:next w:val="Normal"/>
    <w:link w:val="TitleChar"/>
    <w:uiPriority w:val="10"/>
    <w:qFormat/>
    <w:rsid w:val="00FD0AFA"/>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FD0A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0AFA"/>
    <w:pPr>
      <w:numPr>
        <w:ilvl w:val="1"/>
      </w:numPr>
      <w:spacing w:after="160"/>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FD0A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0AFA"/>
    <w:pPr>
      <w:spacing w:before="160" w:after="160"/>
      <w:jc w:val="center"/>
    </w:pPr>
    <w:rPr>
      <w:rFonts w:asciiTheme="minorHAnsi" w:eastAsiaTheme="minorHAnsi" w:hAnsiTheme="minorHAnsi" w:cstheme="minorBidi"/>
      <w:i/>
      <w:iCs/>
      <w:color w:val="404040" w:themeColor="text1" w:themeTint="BF"/>
      <w:lang w:eastAsia="en-US"/>
    </w:rPr>
  </w:style>
  <w:style w:type="character" w:customStyle="1" w:styleId="QuoteChar">
    <w:name w:val="Quote Char"/>
    <w:basedOn w:val="DefaultParagraphFont"/>
    <w:link w:val="Quote"/>
    <w:uiPriority w:val="29"/>
    <w:rsid w:val="00FD0AFA"/>
    <w:rPr>
      <w:i/>
      <w:iCs/>
      <w:color w:val="404040" w:themeColor="text1" w:themeTint="BF"/>
    </w:rPr>
  </w:style>
  <w:style w:type="paragraph" w:styleId="ListParagraph">
    <w:name w:val="List Paragraph"/>
    <w:basedOn w:val="Normal"/>
    <w:uiPriority w:val="34"/>
    <w:qFormat/>
    <w:rsid w:val="00FD0AFA"/>
    <w:pPr>
      <w:ind w:left="720"/>
      <w:contextualSpacing/>
    </w:pPr>
    <w:rPr>
      <w:rFonts w:asciiTheme="minorHAnsi" w:eastAsiaTheme="minorHAnsi" w:hAnsiTheme="minorHAnsi" w:cstheme="minorBidi"/>
      <w:lang w:eastAsia="en-US"/>
    </w:rPr>
  </w:style>
  <w:style w:type="character" w:styleId="IntenseEmphasis">
    <w:name w:val="Intense Emphasis"/>
    <w:basedOn w:val="DefaultParagraphFont"/>
    <w:uiPriority w:val="21"/>
    <w:qFormat/>
    <w:rsid w:val="00FD0AFA"/>
    <w:rPr>
      <w:i/>
      <w:iCs/>
      <w:color w:val="0F4761" w:themeColor="accent1" w:themeShade="BF"/>
    </w:rPr>
  </w:style>
  <w:style w:type="paragraph" w:styleId="IntenseQuote">
    <w:name w:val="Intense Quote"/>
    <w:basedOn w:val="Normal"/>
    <w:next w:val="Normal"/>
    <w:link w:val="IntenseQuoteChar"/>
    <w:uiPriority w:val="30"/>
    <w:qFormat/>
    <w:rsid w:val="00FD0AF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lang w:eastAsia="en-US"/>
    </w:rPr>
  </w:style>
  <w:style w:type="character" w:customStyle="1" w:styleId="IntenseQuoteChar">
    <w:name w:val="Intense Quote Char"/>
    <w:basedOn w:val="DefaultParagraphFont"/>
    <w:link w:val="IntenseQuote"/>
    <w:uiPriority w:val="30"/>
    <w:rsid w:val="00FD0AFA"/>
    <w:rPr>
      <w:i/>
      <w:iCs/>
      <w:color w:val="0F4761" w:themeColor="accent1" w:themeShade="BF"/>
    </w:rPr>
  </w:style>
  <w:style w:type="character" w:styleId="IntenseReference">
    <w:name w:val="Intense Reference"/>
    <w:basedOn w:val="DefaultParagraphFont"/>
    <w:uiPriority w:val="32"/>
    <w:qFormat/>
    <w:rsid w:val="00FD0AFA"/>
    <w:rPr>
      <w:b/>
      <w:bCs/>
      <w:smallCaps/>
      <w:color w:val="0F4761" w:themeColor="accent1" w:themeShade="BF"/>
      <w:spacing w:val="5"/>
    </w:rPr>
  </w:style>
  <w:style w:type="paragraph" w:styleId="Footer">
    <w:name w:val="footer"/>
    <w:basedOn w:val="Normal"/>
    <w:link w:val="FooterChar"/>
    <w:uiPriority w:val="99"/>
    <w:unhideWhenUsed/>
    <w:rsid w:val="004E6424"/>
    <w:pPr>
      <w:tabs>
        <w:tab w:val="center" w:pos="4513"/>
        <w:tab w:val="right" w:pos="9026"/>
      </w:tabs>
    </w:pPr>
  </w:style>
  <w:style w:type="character" w:customStyle="1" w:styleId="FooterChar">
    <w:name w:val="Footer Char"/>
    <w:basedOn w:val="DefaultParagraphFont"/>
    <w:link w:val="Footer"/>
    <w:uiPriority w:val="99"/>
    <w:rsid w:val="004E6424"/>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4E6424"/>
  </w:style>
  <w:style w:type="paragraph" w:styleId="NormalWeb">
    <w:name w:val="Normal (Web)"/>
    <w:basedOn w:val="Normal"/>
    <w:uiPriority w:val="99"/>
    <w:semiHidden/>
    <w:unhideWhenUsed/>
    <w:rsid w:val="00633FA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49187">
      <w:bodyDiv w:val="1"/>
      <w:marLeft w:val="0"/>
      <w:marRight w:val="0"/>
      <w:marTop w:val="0"/>
      <w:marBottom w:val="0"/>
      <w:divBdr>
        <w:top w:val="none" w:sz="0" w:space="0" w:color="auto"/>
        <w:left w:val="none" w:sz="0" w:space="0" w:color="auto"/>
        <w:bottom w:val="none" w:sz="0" w:space="0" w:color="auto"/>
        <w:right w:val="none" w:sz="0" w:space="0" w:color="auto"/>
      </w:divBdr>
    </w:div>
    <w:div w:id="170143118">
      <w:bodyDiv w:val="1"/>
      <w:marLeft w:val="0"/>
      <w:marRight w:val="0"/>
      <w:marTop w:val="0"/>
      <w:marBottom w:val="0"/>
      <w:divBdr>
        <w:top w:val="none" w:sz="0" w:space="0" w:color="auto"/>
        <w:left w:val="none" w:sz="0" w:space="0" w:color="auto"/>
        <w:bottom w:val="none" w:sz="0" w:space="0" w:color="auto"/>
        <w:right w:val="none" w:sz="0" w:space="0" w:color="auto"/>
      </w:divBdr>
    </w:div>
    <w:div w:id="316225761">
      <w:bodyDiv w:val="1"/>
      <w:marLeft w:val="0"/>
      <w:marRight w:val="0"/>
      <w:marTop w:val="0"/>
      <w:marBottom w:val="0"/>
      <w:divBdr>
        <w:top w:val="none" w:sz="0" w:space="0" w:color="auto"/>
        <w:left w:val="none" w:sz="0" w:space="0" w:color="auto"/>
        <w:bottom w:val="none" w:sz="0" w:space="0" w:color="auto"/>
        <w:right w:val="none" w:sz="0" w:space="0" w:color="auto"/>
      </w:divBdr>
    </w:div>
    <w:div w:id="416748256">
      <w:bodyDiv w:val="1"/>
      <w:marLeft w:val="0"/>
      <w:marRight w:val="0"/>
      <w:marTop w:val="0"/>
      <w:marBottom w:val="0"/>
      <w:divBdr>
        <w:top w:val="none" w:sz="0" w:space="0" w:color="auto"/>
        <w:left w:val="none" w:sz="0" w:space="0" w:color="auto"/>
        <w:bottom w:val="none" w:sz="0" w:space="0" w:color="auto"/>
        <w:right w:val="none" w:sz="0" w:space="0" w:color="auto"/>
      </w:divBdr>
    </w:div>
    <w:div w:id="604536821">
      <w:bodyDiv w:val="1"/>
      <w:marLeft w:val="0"/>
      <w:marRight w:val="0"/>
      <w:marTop w:val="0"/>
      <w:marBottom w:val="0"/>
      <w:divBdr>
        <w:top w:val="none" w:sz="0" w:space="0" w:color="auto"/>
        <w:left w:val="none" w:sz="0" w:space="0" w:color="auto"/>
        <w:bottom w:val="none" w:sz="0" w:space="0" w:color="auto"/>
        <w:right w:val="none" w:sz="0" w:space="0" w:color="auto"/>
      </w:divBdr>
    </w:div>
    <w:div w:id="749351060">
      <w:bodyDiv w:val="1"/>
      <w:marLeft w:val="0"/>
      <w:marRight w:val="0"/>
      <w:marTop w:val="0"/>
      <w:marBottom w:val="0"/>
      <w:divBdr>
        <w:top w:val="none" w:sz="0" w:space="0" w:color="auto"/>
        <w:left w:val="none" w:sz="0" w:space="0" w:color="auto"/>
        <w:bottom w:val="none" w:sz="0" w:space="0" w:color="auto"/>
        <w:right w:val="none" w:sz="0" w:space="0" w:color="auto"/>
      </w:divBdr>
    </w:div>
    <w:div w:id="882325336">
      <w:bodyDiv w:val="1"/>
      <w:marLeft w:val="0"/>
      <w:marRight w:val="0"/>
      <w:marTop w:val="0"/>
      <w:marBottom w:val="0"/>
      <w:divBdr>
        <w:top w:val="none" w:sz="0" w:space="0" w:color="auto"/>
        <w:left w:val="none" w:sz="0" w:space="0" w:color="auto"/>
        <w:bottom w:val="none" w:sz="0" w:space="0" w:color="auto"/>
        <w:right w:val="none" w:sz="0" w:space="0" w:color="auto"/>
      </w:divBdr>
    </w:div>
    <w:div w:id="1132358754">
      <w:bodyDiv w:val="1"/>
      <w:marLeft w:val="0"/>
      <w:marRight w:val="0"/>
      <w:marTop w:val="0"/>
      <w:marBottom w:val="0"/>
      <w:divBdr>
        <w:top w:val="none" w:sz="0" w:space="0" w:color="auto"/>
        <w:left w:val="none" w:sz="0" w:space="0" w:color="auto"/>
        <w:bottom w:val="none" w:sz="0" w:space="0" w:color="auto"/>
        <w:right w:val="none" w:sz="0" w:space="0" w:color="auto"/>
      </w:divBdr>
    </w:div>
    <w:div w:id="1201629754">
      <w:bodyDiv w:val="1"/>
      <w:marLeft w:val="0"/>
      <w:marRight w:val="0"/>
      <w:marTop w:val="0"/>
      <w:marBottom w:val="0"/>
      <w:divBdr>
        <w:top w:val="none" w:sz="0" w:space="0" w:color="auto"/>
        <w:left w:val="none" w:sz="0" w:space="0" w:color="auto"/>
        <w:bottom w:val="none" w:sz="0" w:space="0" w:color="auto"/>
        <w:right w:val="none" w:sz="0" w:space="0" w:color="auto"/>
      </w:divBdr>
    </w:div>
    <w:div w:id="1270697970">
      <w:bodyDiv w:val="1"/>
      <w:marLeft w:val="0"/>
      <w:marRight w:val="0"/>
      <w:marTop w:val="0"/>
      <w:marBottom w:val="0"/>
      <w:divBdr>
        <w:top w:val="none" w:sz="0" w:space="0" w:color="auto"/>
        <w:left w:val="none" w:sz="0" w:space="0" w:color="auto"/>
        <w:bottom w:val="none" w:sz="0" w:space="0" w:color="auto"/>
        <w:right w:val="none" w:sz="0" w:space="0" w:color="auto"/>
      </w:divBdr>
    </w:div>
    <w:div w:id="1286153185">
      <w:bodyDiv w:val="1"/>
      <w:marLeft w:val="0"/>
      <w:marRight w:val="0"/>
      <w:marTop w:val="0"/>
      <w:marBottom w:val="0"/>
      <w:divBdr>
        <w:top w:val="none" w:sz="0" w:space="0" w:color="auto"/>
        <w:left w:val="none" w:sz="0" w:space="0" w:color="auto"/>
        <w:bottom w:val="none" w:sz="0" w:space="0" w:color="auto"/>
        <w:right w:val="none" w:sz="0" w:space="0" w:color="auto"/>
      </w:divBdr>
    </w:div>
    <w:div w:id="1356662232">
      <w:bodyDiv w:val="1"/>
      <w:marLeft w:val="0"/>
      <w:marRight w:val="0"/>
      <w:marTop w:val="0"/>
      <w:marBottom w:val="0"/>
      <w:divBdr>
        <w:top w:val="none" w:sz="0" w:space="0" w:color="auto"/>
        <w:left w:val="none" w:sz="0" w:space="0" w:color="auto"/>
        <w:bottom w:val="none" w:sz="0" w:space="0" w:color="auto"/>
        <w:right w:val="none" w:sz="0" w:space="0" w:color="auto"/>
      </w:divBdr>
    </w:div>
    <w:div w:id="1493063062">
      <w:bodyDiv w:val="1"/>
      <w:marLeft w:val="0"/>
      <w:marRight w:val="0"/>
      <w:marTop w:val="0"/>
      <w:marBottom w:val="0"/>
      <w:divBdr>
        <w:top w:val="none" w:sz="0" w:space="0" w:color="auto"/>
        <w:left w:val="none" w:sz="0" w:space="0" w:color="auto"/>
        <w:bottom w:val="none" w:sz="0" w:space="0" w:color="auto"/>
        <w:right w:val="none" w:sz="0" w:space="0" w:color="auto"/>
      </w:divBdr>
    </w:div>
    <w:div w:id="1594125449">
      <w:bodyDiv w:val="1"/>
      <w:marLeft w:val="0"/>
      <w:marRight w:val="0"/>
      <w:marTop w:val="0"/>
      <w:marBottom w:val="0"/>
      <w:divBdr>
        <w:top w:val="none" w:sz="0" w:space="0" w:color="auto"/>
        <w:left w:val="none" w:sz="0" w:space="0" w:color="auto"/>
        <w:bottom w:val="none" w:sz="0" w:space="0" w:color="auto"/>
        <w:right w:val="none" w:sz="0" w:space="0" w:color="auto"/>
      </w:divBdr>
    </w:div>
    <w:div w:id="1757092644">
      <w:bodyDiv w:val="1"/>
      <w:marLeft w:val="0"/>
      <w:marRight w:val="0"/>
      <w:marTop w:val="0"/>
      <w:marBottom w:val="0"/>
      <w:divBdr>
        <w:top w:val="none" w:sz="0" w:space="0" w:color="auto"/>
        <w:left w:val="none" w:sz="0" w:space="0" w:color="auto"/>
        <w:bottom w:val="none" w:sz="0" w:space="0" w:color="auto"/>
        <w:right w:val="none" w:sz="0" w:space="0" w:color="auto"/>
      </w:divBdr>
    </w:div>
    <w:div w:id="1836799137">
      <w:bodyDiv w:val="1"/>
      <w:marLeft w:val="0"/>
      <w:marRight w:val="0"/>
      <w:marTop w:val="0"/>
      <w:marBottom w:val="0"/>
      <w:divBdr>
        <w:top w:val="none" w:sz="0" w:space="0" w:color="auto"/>
        <w:left w:val="none" w:sz="0" w:space="0" w:color="auto"/>
        <w:bottom w:val="none" w:sz="0" w:space="0" w:color="auto"/>
        <w:right w:val="none" w:sz="0" w:space="0" w:color="auto"/>
      </w:divBdr>
    </w:div>
    <w:div w:id="1853907450">
      <w:bodyDiv w:val="1"/>
      <w:marLeft w:val="0"/>
      <w:marRight w:val="0"/>
      <w:marTop w:val="0"/>
      <w:marBottom w:val="0"/>
      <w:divBdr>
        <w:top w:val="none" w:sz="0" w:space="0" w:color="auto"/>
        <w:left w:val="none" w:sz="0" w:space="0" w:color="auto"/>
        <w:bottom w:val="none" w:sz="0" w:space="0" w:color="auto"/>
        <w:right w:val="none" w:sz="0" w:space="0" w:color="auto"/>
      </w:divBdr>
    </w:div>
    <w:div w:id="1901018036">
      <w:bodyDiv w:val="1"/>
      <w:marLeft w:val="0"/>
      <w:marRight w:val="0"/>
      <w:marTop w:val="0"/>
      <w:marBottom w:val="0"/>
      <w:divBdr>
        <w:top w:val="none" w:sz="0" w:space="0" w:color="auto"/>
        <w:left w:val="none" w:sz="0" w:space="0" w:color="auto"/>
        <w:bottom w:val="none" w:sz="0" w:space="0" w:color="auto"/>
        <w:right w:val="none" w:sz="0" w:space="0" w:color="auto"/>
      </w:divBdr>
    </w:div>
    <w:div w:id="2136361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png"/><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image" Target="media/image16.emf"/><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emf"/><Relationship Id="rId20" Type="http://schemas.openxmlformats.org/officeDocument/2006/relationships/image" Target="media/image15.emf"/><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png"/><Relationship Id="rId24" Type="http://schemas.openxmlformats.org/officeDocument/2006/relationships/image" Target="media/image19.emf"/><Relationship Id="rId5" Type="http://schemas.openxmlformats.org/officeDocument/2006/relationships/endnotes" Target="endnotes.xml"/><Relationship Id="rId15" Type="http://schemas.openxmlformats.org/officeDocument/2006/relationships/image" Target="media/image10.emf"/><Relationship Id="rId23" Type="http://schemas.openxmlformats.org/officeDocument/2006/relationships/image" Target="media/image18.emf"/><Relationship Id="rId28" Type="http://schemas.openxmlformats.org/officeDocument/2006/relationships/theme" Target="theme/theme1.xml"/><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22</Pages>
  <Words>2489</Words>
  <Characters>14188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Downing</dc:creator>
  <cp:keywords/>
  <dc:description/>
  <cp:lastModifiedBy>Tim Downing</cp:lastModifiedBy>
  <cp:revision>31</cp:revision>
  <dcterms:created xsi:type="dcterms:W3CDTF">2026-01-15T17:35:00Z</dcterms:created>
  <dcterms:modified xsi:type="dcterms:W3CDTF">2026-05-14T07:27:00Z</dcterms:modified>
</cp:coreProperties>
</file>