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E5B" w:rsidRPr="00997E5B" w:rsidRDefault="00997E5B" w:rsidP="00997E5B">
      <w:pPr>
        <w:pStyle w:val="StandardWeb"/>
        <w:spacing w:before="0" w:beforeAutospacing="0" w:after="0" w:afterAutospacing="0"/>
        <w:rPr>
          <w:sz w:val="20"/>
          <w:lang w:val="en-GB"/>
        </w:rPr>
      </w:pPr>
      <w:r w:rsidRPr="00997E5B">
        <w:rPr>
          <w:b/>
          <w:bCs/>
          <w:color w:val="00000A"/>
          <w:kern w:val="24"/>
          <w:sz w:val="32"/>
          <w:szCs w:val="40"/>
          <w:lang w:val="en-GB"/>
        </w:rPr>
        <w:t xml:space="preserve">PH-dependent cell-cell interactions in the green alga </w:t>
      </w:r>
      <w:proofErr w:type="spellStart"/>
      <w:r w:rsidRPr="00997E5B">
        <w:rPr>
          <w:b/>
          <w:bCs/>
          <w:i/>
          <w:iCs/>
          <w:color w:val="00000A"/>
          <w:kern w:val="24"/>
          <w:sz w:val="32"/>
          <w:szCs w:val="40"/>
          <w:lang w:val="en-GB"/>
        </w:rPr>
        <w:t>Chara</w:t>
      </w:r>
      <w:proofErr w:type="spellEnd"/>
    </w:p>
    <w:p w:rsidR="00997E5B" w:rsidRPr="00997E5B" w:rsidRDefault="00997E5B" w:rsidP="00997E5B">
      <w:pPr>
        <w:pStyle w:val="StandardWeb"/>
        <w:spacing w:before="0" w:beforeAutospacing="0" w:after="0" w:afterAutospacing="0"/>
        <w:rPr>
          <w:sz w:val="20"/>
          <w:lang w:val="en-GB"/>
        </w:rPr>
      </w:pPr>
      <w:proofErr w:type="spellStart"/>
      <w:r w:rsidRPr="00997E5B">
        <w:rPr>
          <w:rFonts w:eastAsia="Calibri"/>
          <w:color w:val="00000A"/>
          <w:kern w:val="24"/>
          <w:sz w:val="28"/>
          <w:szCs w:val="36"/>
          <w:lang w:val="en-GB"/>
        </w:rPr>
        <w:t>Alexej</w:t>
      </w:r>
      <w:proofErr w:type="spellEnd"/>
      <w:r w:rsidRPr="00997E5B">
        <w:rPr>
          <w:rFonts w:eastAsia="Calibri"/>
          <w:color w:val="00000A"/>
          <w:kern w:val="24"/>
          <w:sz w:val="28"/>
          <w:szCs w:val="36"/>
          <w:lang w:val="en-GB"/>
        </w:rPr>
        <w:t xml:space="preserve"> Eremin</w:t>
      </w:r>
      <w:r w:rsidRPr="00997E5B">
        <w:rPr>
          <w:rFonts w:eastAsia="Calibri"/>
          <w:color w:val="00000A"/>
          <w:kern w:val="24"/>
          <w:position w:val="11"/>
          <w:sz w:val="28"/>
          <w:szCs w:val="36"/>
          <w:vertAlign w:val="superscript"/>
          <w:lang w:val="en-GB"/>
        </w:rPr>
        <w:t>1</w:t>
      </w:r>
      <w:r w:rsidRPr="00997E5B">
        <w:rPr>
          <w:color w:val="00000A"/>
          <w:kern w:val="24"/>
          <w:sz w:val="28"/>
          <w:szCs w:val="36"/>
          <w:lang w:val="en-GB"/>
        </w:rPr>
        <w:t xml:space="preserve"> ∙</w:t>
      </w:r>
      <w:r w:rsidRPr="00997E5B">
        <w:rPr>
          <w:rFonts w:eastAsia="Calibri"/>
          <w:color w:val="00000A"/>
          <w:kern w:val="24"/>
          <w:sz w:val="28"/>
          <w:szCs w:val="36"/>
          <w:lang w:val="en-GB"/>
        </w:rPr>
        <w:t xml:space="preserve"> Alexander A. Bulychev</w:t>
      </w:r>
      <w:r w:rsidRPr="00997E5B">
        <w:rPr>
          <w:rFonts w:eastAsia="Calibri"/>
          <w:color w:val="00000A"/>
          <w:kern w:val="24"/>
          <w:position w:val="11"/>
          <w:sz w:val="28"/>
          <w:szCs w:val="36"/>
          <w:vertAlign w:val="superscript"/>
          <w:lang w:val="en-GB"/>
        </w:rPr>
        <w:t>2</w:t>
      </w:r>
      <w:r w:rsidRPr="00997E5B">
        <w:rPr>
          <w:color w:val="00000A"/>
          <w:kern w:val="24"/>
          <w:position w:val="11"/>
          <w:sz w:val="28"/>
          <w:szCs w:val="36"/>
          <w:vertAlign w:val="superscript"/>
          <w:lang w:val="en-GB"/>
        </w:rPr>
        <w:t xml:space="preserve"> </w:t>
      </w:r>
      <w:r w:rsidRPr="00997E5B">
        <w:rPr>
          <w:color w:val="00000A"/>
          <w:kern w:val="24"/>
          <w:sz w:val="28"/>
          <w:szCs w:val="36"/>
          <w:lang w:val="en-GB"/>
        </w:rPr>
        <w:t>∙</w:t>
      </w:r>
      <w:r w:rsidRPr="00997E5B">
        <w:rPr>
          <w:rFonts w:eastAsia="Calibri"/>
          <w:color w:val="00000A"/>
          <w:kern w:val="24"/>
          <w:sz w:val="28"/>
          <w:szCs w:val="36"/>
          <w:lang w:val="en-GB"/>
        </w:rPr>
        <w:t xml:space="preserve"> Christopher Kluge</w:t>
      </w:r>
      <w:r w:rsidRPr="00997E5B">
        <w:rPr>
          <w:rFonts w:eastAsia="Calibri"/>
          <w:color w:val="00000A"/>
          <w:kern w:val="24"/>
          <w:position w:val="11"/>
          <w:sz w:val="28"/>
          <w:szCs w:val="36"/>
          <w:vertAlign w:val="superscript"/>
          <w:lang w:val="en-GB"/>
        </w:rPr>
        <w:t>1</w:t>
      </w:r>
      <w:r w:rsidRPr="00997E5B">
        <w:rPr>
          <w:color w:val="00000A"/>
          <w:kern w:val="24"/>
          <w:position w:val="11"/>
          <w:sz w:val="28"/>
          <w:szCs w:val="36"/>
          <w:vertAlign w:val="superscript"/>
          <w:lang w:val="en-GB"/>
        </w:rPr>
        <w:t xml:space="preserve"> </w:t>
      </w:r>
      <w:r w:rsidRPr="00997E5B">
        <w:rPr>
          <w:color w:val="00000A"/>
          <w:kern w:val="24"/>
          <w:sz w:val="28"/>
          <w:szCs w:val="36"/>
          <w:lang w:val="en-GB"/>
        </w:rPr>
        <w:t>∙</w:t>
      </w:r>
      <w:r w:rsidRPr="00997E5B">
        <w:rPr>
          <w:rFonts w:eastAsia="Calibri"/>
          <w:color w:val="00000A"/>
          <w:kern w:val="24"/>
          <w:sz w:val="28"/>
          <w:szCs w:val="36"/>
          <w:lang w:val="en-GB"/>
        </w:rPr>
        <w:t xml:space="preserve"> Jeremy Harbinson</w:t>
      </w:r>
      <w:r w:rsidRPr="00997E5B">
        <w:rPr>
          <w:rFonts w:eastAsia="Calibri"/>
          <w:color w:val="00000A"/>
          <w:kern w:val="24"/>
          <w:position w:val="11"/>
          <w:sz w:val="28"/>
          <w:szCs w:val="36"/>
          <w:vertAlign w:val="superscript"/>
          <w:lang w:val="en-GB"/>
        </w:rPr>
        <w:t>3</w:t>
      </w:r>
      <w:r w:rsidRPr="00997E5B">
        <w:rPr>
          <w:color w:val="00000A"/>
          <w:kern w:val="24"/>
          <w:sz w:val="28"/>
          <w:szCs w:val="36"/>
          <w:lang w:val="en-GB"/>
        </w:rPr>
        <w:t xml:space="preserve"> ∙</w:t>
      </w:r>
      <w:r w:rsidRPr="00997E5B">
        <w:rPr>
          <w:rFonts w:eastAsia="Calibri"/>
          <w:color w:val="00000A"/>
          <w:kern w:val="24"/>
          <w:sz w:val="28"/>
          <w:szCs w:val="36"/>
          <w:lang w:val="en-GB"/>
        </w:rPr>
        <w:t xml:space="preserve"> Ilse Foissner</w:t>
      </w:r>
      <w:r w:rsidRPr="00997E5B">
        <w:rPr>
          <w:rFonts w:eastAsia="Calibri"/>
          <w:color w:val="00000A"/>
          <w:kern w:val="24"/>
          <w:position w:val="11"/>
          <w:sz w:val="28"/>
          <w:szCs w:val="36"/>
          <w:vertAlign w:val="superscript"/>
          <w:lang w:val="en-GB"/>
        </w:rPr>
        <w:t>4,*</w:t>
      </w:r>
    </w:p>
    <w:p w:rsidR="00997E5B" w:rsidRDefault="00997E5B" w:rsidP="00997E5B">
      <w:pPr>
        <w:pStyle w:val="StandardWeb"/>
        <w:spacing w:before="0" w:beforeAutospacing="0" w:after="0" w:afterAutospacing="0"/>
        <w:rPr>
          <w:rFonts w:eastAsia="Calibri"/>
          <w:color w:val="0000FF"/>
          <w:kern w:val="24"/>
          <w:szCs w:val="32"/>
          <w:u w:val="single"/>
          <w:lang w:val="en-GB"/>
        </w:rPr>
      </w:pPr>
      <w:r w:rsidRPr="00997E5B">
        <w:rPr>
          <w:rFonts w:eastAsia="Calibri"/>
          <w:color w:val="00000A"/>
          <w:kern w:val="24"/>
          <w:position w:val="11"/>
          <w:sz w:val="28"/>
          <w:szCs w:val="36"/>
          <w:vertAlign w:val="superscript"/>
          <w:lang w:val="en-GB"/>
        </w:rPr>
        <w:t>1</w:t>
      </w:r>
      <w:r w:rsidRPr="00997E5B">
        <w:rPr>
          <w:rFonts w:eastAsia="Calibri"/>
          <w:color w:val="00000A"/>
          <w:kern w:val="24"/>
          <w:szCs w:val="32"/>
          <w:lang w:val="en-GB"/>
        </w:rPr>
        <w:t>Institute of Physics, Otto-von-Guericke-University of Magdeburg, 39016 Magdeburg, Germany</w:t>
      </w:r>
      <w:r>
        <w:rPr>
          <w:rFonts w:eastAsia="Calibri"/>
          <w:color w:val="00000A"/>
          <w:kern w:val="24"/>
          <w:szCs w:val="32"/>
          <w:lang w:val="en-GB"/>
        </w:rPr>
        <w:t xml:space="preserve">, </w:t>
      </w:r>
      <w:r w:rsidRPr="00997E5B">
        <w:rPr>
          <w:rFonts w:eastAsia="Calibri"/>
          <w:color w:val="00000A"/>
          <w:kern w:val="24"/>
          <w:position w:val="10"/>
          <w:szCs w:val="32"/>
          <w:vertAlign w:val="superscript"/>
          <w:lang w:val="en-GB"/>
        </w:rPr>
        <w:t>2</w:t>
      </w:r>
      <w:r w:rsidRPr="00997E5B">
        <w:rPr>
          <w:rFonts w:eastAsia="Calibri"/>
          <w:color w:val="00000A"/>
          <w:kern w:val="24"/>
          <w:szCs w:val="32"/>
          <w:lang w:val="en-GB"/>
        </w:rPr>
        <w:t>Department of Biophysics, Faculty of Biology, Moscow State University, Moscow 119991, Russia</w:t>
      </w:r>
      <w:r>
        <w:rPr>
          <w:rFonts w:eastAsia="Calibri"/>
          <w:color w:val="00000A"/>
          <w:kern w:val="24"/>
          <w:szCs w:val="32"/>
          <w:lang w:val="en-GB"/>
        </w:rPr>
        <w:t xml:space="preserve">, </w:t>
      </w:r>
      <w:r w:rsidRPr="00997E5B">
        <w:rPr>
          <w:rFonts w:eastAsia="Calibri"/>
          <w:color w:val="00000A"/>
          <w:kern w:val="24"/>
          <w:position w:val="10"/>
          <w:szCs w:val="32"/>
          <w:vertAlign w:val="superscript"/>
          <w:lang w:val="en-GB"/>
        </w:rPr>
        <w:t>3</w:t>
      </w:r>
      <w:r w:rsidRPr="00997E5B">
        <w:rPr>
          <w:rFonts w:eastAsia="Calibri"/>
          <w:color w:val="00000A"/>
          <w:kern w:val="24"/>
          <w:szCs w:val="32"/>
          <w:lang w:val="en-GB"/>
        </w:rPr>
        <w:t xml:space="preserve">Department of Plant Sciences, University of </w:t>
      </w:r>
      <w:proofErr w:type="spellStart"/>
      <w:r w:rsidRPr="00997E5B">
        <w:rPr>
          <w:rFonts w:eastAsia="Calibri"/>
          <w:color w:val="00000A"/>
          <w:kern w:val="24"/>
          <w:szCs w:val="32"/>
          <w:lang w:val="en-GB"/>
        </w:rPr>
        <w:t>Wageningen</w:t>
      </w:r>
      <w:proofErr w:type="spellEnd"/>
      <w:r w:rsidRPr="00997E5B">
        <w:rPr>
          <w:rFonts w:eastAsia="Calibri"/>
          <w:color w:val="00000A"/>
          <w:kern w:val="24"/>
          <w:szCs w:val="32"/>
          <w:lang w:val="en-GB"/>
        </w:rPr>
        <w:t xml:space="preserve">, 6708PB </w:t>
      </w:r>
      <w:proofErr w:type="spellStart"/>
      <w:r w:rsidRPr="00997E5B">
        <w:rPr>
          <w:rFonts w:eastAsia="Calibri"/>
          <w:color w:val="00000A"/>
          <w:kern w:val="24"/>
          <w:szCs w:val="32"/>
          <w:lang w:val="en-GB"/>
        </w:rPr>
        <w:t>Wageningen</w:t>
      </w:r>
      <w:proofErr w:type="spellEnd"/>
      <w:r w:rsidRPr="00997E5B">
        <w:rPr>
          <w:rFonts w:eastAsia="Calibri"/>
          <w:color w:val="00000A"/>
          <w:kern w:val="24"/>
          <w:szCs w:val="32"/>
          <w:lang w:val="en-GB"/>
        </w:rPr>
        <w:t>, The Netherlands</w:t>
      </w:r>
      <w:r>
        <w:rPr>
          <w:rFonts w:eastAsia="Calibri"/>
          <w:color w:val="00000A"/>
          <w:kern w:val="24"/>
          <w:szCs w:val="32"/>
          <w:lang w:val="en-GB"/>
        </w:rPr>
        <w:t xml:space="preserve">, </w:t>
      </w:r>
      <w:r w:rsidRPr="00997E5B">
        <w:rPr>
          <w:rFonts w:eastAsia="Calibri"/>
          <w:color w:val="00000A"/>
          <w:kern w:val="24"/>
          <w:position w:val="10"/>
          <w:szCs w:val="32"/>
          <w:vertAlign w:val="superscript"/>
          <w:lang w:val="en-GB"/>
        </w:rPr>
        <w:t>4</w:t>
      </w:r>
      <w:r w:rsidRPr="00997E5B">
        <w:rPr>
          <w:rFonts w:eastAsia="Calibri"/>
          <w:color w:val="00000A"/>
          <w:kern w:val="24"/>
          <w:szCs w:val="32"/>
          <w:lang w:val="en-GB"/>
        </w:rPr>
        <w:t>Department of Biosciences, University of Salzburg, 5020 Salzburg, Austria</w:t>
      </w:r>
      <w:r>
        <w:rPr>
          <w:rFonts w:eastAsia="Calibri"/>
          <w:color w:val="00000A"/>
          <w:kern w:val="24"/>
          <w:szCs w:val="32"/>
          <w:lang w:val="en-GB"/>
        </w:rPr>
        <w:t xml:space="preserve">; </w:t>
      </w:r>
      <w:r w:rsidRPr="00997E5B">
        <w:rPr>
          <w:rFonts w:eastAsia="Calibri"/>
          <w:color w:val="00000A"/>
          <w:kern w:val="24"/>
          <w:szCs w:val="32"/>
          <w:lang w:val="en-GB"/>
        </w:rPr>
        <w:t>*</w:t>
      </w:r>
      <w:hyperlink r:id="rId4" w:history="1">
        <w:r w:rsidRPr="00997E5B">
          <w:rPr>
            <w:rStyle w:val="Hyperlink"/>
            <w:rFonts w:eastAsia="Calibri"/>
            <w:kern w:val="24"/>
            <w:szCs w:val="32"/>
            <w:lang w:val="en-GB"/>
          </w:rPr>
          <w:t>ilse.foissner@sbg.ac.at</w:t>
        </w:r>
      </w:hyperlink>
    </w:p>
    <w:p w:rsidR="00997E5B" w:rsidRDefault="00997E5B" w:rsidP="00997E5B">
      <w:pPr>
        <w:pStyle w:val="StandardWeb"/>
        <w:spacing w:before="0" w:beforeAutospacing="0" w:after="0" w:afterAutospacing="0"/>
        <w:rPr>
          <w:rFonts w:eastAsia="Calibri"/>
          <w:color w:val="0000FF"/>
          <w:kern w:val="24"/>
          <w:szCs w:val="32"/>
          <w:u w:val="single"/>
          <w:lang w:val="en-GB"/>
        </w:rPr>
      </w:pPr>
    </w:p>
    <w:p w:rsidR="00997E5B" w:rsidRPr="00997E5B" w:rsidRDefault="00997E5B" w:rsidP="00997E5B">
      <w:pPr>
        <w:pStyle w:val="StandardWeb"/>
        <w:spacing w:before="0" w:beforeAutospacing="0" w:after="0" w:afterAutospacing="0"/>
        <w:rPr>
          <w:sz w:val="20"/>
          <w:lang w:val="en-GB"/>
        </w:rPr>
      </w:pPr>
      <w:bookmarkStart w:id="0" w:name="_GoBack"/>
      <w:bookmarkEnd w:id="0"/>
    </w:p>
    <w:p w:rsidR="00264C6B" w:rsidRPr="00997E5B" w:rsidRDefault="00CD6195" w:rsidP="00CD6195">
      <w:pPr>
        <w:pStyle w:val="berschrift1"/>
        <w:rPr>
          <w:rFonts w:ascii="Times New Roman" w:hAnsi="Times New Roman" w:cs="Times New Roman"/>
          <w:b/>
          <w:caps/>
          <w:color w:val="auto"/>
          <w:sz w:val="28"/>
          <w:lang w:val="en-GB"/>
        </w:rPr>
      </w:pPr>
      <w:r w:rsidRPr="00997E5B">
        <w:rPr>
          <w:rFonts w:ascii="Times New Roman" w:hAnsi="Times New Roman" w:cs="Times New Roman"/>
          <w:b/>
          <w:caps/>
          <w:color w:val="auto"/>
          <w:sz w:val="28"/>
          <w:lang w:val="en-GB"/>
        </w:rPr>
        <w:t xml:space="preserve">Supplementary </w:t>
      </w:r>
      <w:r w:rsidR="00997E5B" w:rsidRPr="00997E5B">
        <w:rPr>
          <w:rFonts w:ascii="Times New Roman" w:hAnsi="Times New Roman" w:cs="Times New Roman"/>
          <w:b/>
          <w:caps/>
          <w:color w:val="auto"/>
          <w:sz w:val="28"/>
          <w:lang w:val="en-GB"/>
        </w:rPr>
        <w:t>Method</w:t>
      </w:r>
    </w:p>
    <w:p w:rsidR="00CD6195" w:rsidRPr="00CD6195" w:rsidRDefault="00CD6195">
      <w:pPr>
        <w:rPr>
          <w:rFonts w:ascii="Times New Roman" w:hAnsi="Times New Roman" w:cs="Times New Roman"/>
          <w:lang w:val="en-GB"/>
        </w:rPr>
      </w:pPr>
    </w:p>
    <w:p w:rsidR="00B931A2" w:rsidRDefault="00C008B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Spatial-temporal dynamics of the pH patch formation </w:t>
      </w:r>
      <w:proofErr w:type="gramStart"/>
      <w:r>
        <w:rPr>
          <w:rFonts w:ascii="Times New Roman" w:hAnsi="Times New Roman" w:cs="Times New Roman"/>
          <w:lang w:val="en-GB"/>
        </w:rPr>
        <w:t>can be described</w:t>
      </w:r>
      <w:proofErr w:type="gramEnd"/>
      <w:r>
        <w:rPr>
          <w:rFonts w:ascii="Times New Roman" w:hAnsi="Times New Roman" w:cs="Times New Roman"/>
          <w:lang w:val="en-GB"/>
        </w:rPr>
        <w:t xml:space="preserve"> by travelling front separating the regions of high and low </w:t>
      </w:r>
      <w:proofErr w:type="spellStart"/>
      <w:r>
        <w:rPr>
          <w:rFonts w:ascii="Times New Roman" w:hAnsi="Times New Roman" w:cs="Times New Roman"/>
          <w:lang w:val="en-GB"/>
        </w:rPr>
        <w:t>pH.</w:t>
      </w:r>
      <w:proofErr w:type="spellEnd"/>
      <w:r>
        <w:rPr>
          <w:rFonts w:ascii="Times New Roman" w:hAnsi="Times New Roman" w:cs="Times New Roman"/>
          <w:lang w:val="en-GB"/>
        </w:rPr>
        <w:t xml:space="preserve"> The shape of the front </w:t>
      </w:r>
      <w:proofErr w:type="gramStart"/>
      <w:r>
        <w:rPr>
          <w:rFonts w:ascii="Times New Roman" w:hAnsi="Times New Roman" w:cs="Times New Roman"/>
          <w:lang w:val="en-GB"/>
        </w:rPr>
        <w:t>is reflected</w:t>
      </w:r>
      <w:proofErr w:type="gramEnd"/>
      <w:r>
        <w:rPr>
          <w:rFonts w:ascii="Times New Roman" w:hAnsi="Times New Roman" w:cs="Times New Roman"/>
          <w:lang w:val="en-GB"/>
        </w:rPr>
        <w:t xml:space="preserve"> in the fluorescence profiles measured in the experiment. The fluorescence profiles </w:t>
      </w:r>
      <w:r w:rsidRPr="00B931A2">
        <w:rPr>
          <w:rFonts w:ascii="Times New Roman" w:hAnsi="Times New Roman" w:cs="Times New Roman"/>
          <w:i/>
          <w:lang w:val="en-GB"/>
        </w:rPr>
        <w:t>I</w:t>
      </w:r>
      <w:r w:rsidR="00057D83">
        <w:rPr>
          <w:rFonts w:ascii="Times New Roman" w:hAnsi="Times New Roman" w:cs="Times New Roman"/>
          <w:lang w:val="en-GB"/>
        </w:rPr>
        <w:t>(</w:t>
      </w:r>
      <w:proofErr w:type="spellStart"/>
      <w:r w:rsidR="00057D83">
        <w:rPr>
          <w:rFonts w:ascii="Times New Roman" w:hAnsi="Times New Roman" w:cs="Times New Roman"/>
          <w:lang w:val="en-GB"/>
        </w:rPr>
        <w:t>x</w:t>
      </w:r>
      <w:proofErr w:type="gramStart"/>
      <w:r w:rsidR="00057D83">
        <w:rPr>
          <w:rFonts w:ascii="Times New Roman" w:hAnsi="Times New Roman" w:cs="Times New Roman"/>
          <w:lang w:val="en-GB"/>
        </w:rPr>
        <w:t>,t</w:t>
      </w:r>
      <w:proofErr w:type="spellEnd"/>
      <w:proofErr w:type="gramEnd"/>
      <w:r w:rsidR="00057D83">
        <w:rPr>
          <w:rFonts w:ascii="Times New Roman" w:hAnsi="Times New Roman" w:cs="Times New Roman"/>
          <w:lang w:val="en-GB"/>
        </w:rPr>
        <w:t xml:space="preserve">) can be fit </w:t>
      </w:r>
      <w:r w:rsidR="00B931A2">
        <w:rPr>
          <w:rFonts w:ascii="Times New Roman" w:hAnsi="Times New Roman" w:cs="Times New Roman"/>
          <w:lang w:val="en-GB"/>
        </w:rPr>
        <w:t>using a step-like function</w:t>
      </w:r>
      <w:r w:rsidR="00B855AE">
        <w:rPr>
          <w:rFonts w:ascii="Times New Roman" w:hAnsi="Times New Roman" w:cs="Times New Roman"/>
          <w:lang w:val="en-GB"/>
        </w:rPr>
        <w:t xml:space="preserve"> (Fig. S1)</w:t>
      </w:r>
      <w:r w:rsidR="00B931A2">
        <w:rPr>
          <w:rFonts w:ascii="Times New Roman" w:hAnsi="Times New Roman" w:cs="Times New Roman"/>
          <w:lang w:val="en-GB"/>
        </w:rPr>
        <w:t>:</w:t>
      </w:r>
    </w:p>
    <w:p w:rsidR="00C008B3" w:rsidRDefault="00C008B3">
      <w:pPr>
        <w:rPr>
          <w:rFonts w:ascii="Times New Roman" w:hAnsi="Times New Roman" w:cs="Times New Roman"/>
          <w:lang w:val="en-GB"/>
        </w:rPr>
      </w:pPr>
    </w:p>
    <w:p w:rsidR="00B931A2" w:rsidRPr="00CD6195" w:rsidRDefault="00B931A2" w:rsidP="00D4610A">
      <w:pPr>
        <w:jc w:val="center"/>
        <w:rPr>
          <w:rFonts w:ascii="Times New Roman" w:hAnsi="Times New Roman" w:cs="Times New Roman"/>
          <w:lang w:val="en-GB"/>
        </w:rPr>
      </w:pPr>
      <m:oMath>
        <m:r>
          <w:rPr>
            <w:rFonts w:ascii="Cambria Math" w:hAnsi="Cambria Math" w:cs="Times New Roman"/>
            <w:lang w:val="en-GB"/>
          </w:rPr>
          <m:t>I</m:t>
        </m:r>
        <m:d>
          <m:dPr>
            <m:ctrlPr>
              <w:rPr>
                <w:rFonts w:ascii="Cambria Math" w:hAnsi="Cambria Math" w:cs="Times New Roman"/>
                <w:i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lang w:val="en-GB"/>
              </w:rPr>
              <m:t>x</m:t>
            </m:r>
          </m:e>
        </m:d>
        <m:r>
          <w:rPr>
            <w:rFonts w:ascii="Cambria Math" w:hAnsi="Cambria Math" w:cs="Times New Roman"/>
            <w:lang w:val="en-GB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GB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lang w:val="en-GB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GB"/>
              </w:rPr>
              <m:t>(1+</m:t>
            </m:r>
            <m:func>
              <m:func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exp</m:t>
                </m:r>
              </m:fName>
              <m:e>
                <m:r>
                  <w:rPr>
                    <w:rFonts w:ascii="Cambria Math" w:hAnsi="Cambria Math" w:cs="Times New Roman"/>
                    <w:lang w:val="en-GB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GB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lang w:val="en-GB"/>
                  </w:rPr>
                  <m:t>)</m:t>
                </m:r>
              </m:e>
            </m:func>
          </m:den>
        </m:f>
      </m:oMath>
      <w:r>
        <w:rPr>
          <w:rFonts w:ascii="Times New Roman" w:hAnsi="Times New Roman" w:cs="Times New Roman"/>
          <w:lang w:val="en-GB"/>
        </w:rPr>
        <w:t xml:space="preserve"> </w:t>
      </w:r>
      <w:r w:rsidR="00B855AE">
        <w:rPr>
          <w:rFonts w:ascii="Times New Roman" w:hAnsi="Times New Roman" w:cs="Times New Roman"/>
          <w:lang w:val="en-GB"/>
        </w:rPr>
        <w:tab/>
      </w:r>
      <w:r w:rsidR="00B855AE">
        <w:rPr>
          <w:rFonts w:ascii="Times New Roman" w:hAnsi="Times New Roman" w:cs="Times New Roman"/>
          <w:lang w:val="en-GB"/>
        </w:rPr>
        <w:tab/>
      </w:r>
      <w:r w:rsidR="00B855AE">
        <w:rPr>
          <w:rFonts w:ascii="Times New Roman" w:hAnsi="Times New Roman" w:cs="Times New Roman"/>
          <w:lang w:val="en-GB"/>
        </w:rPr>
        <w:tab/>
      </w:r>
      <w:r w:rsidR="00B855AE">
        <w:rPr>
          <w:rFonts w:ascii="Times New Roman" w:hAnsi="Times New Roman" w:cs="Times New Roman"/>
          <w:lang w:val="en-GB"/>
        </w:rPr>
        <w:tab/>
      </w:r>
      <w:r w:rsidR="00B855AE">
        <w:rPr>
          <w:rFonts w:ascii="Times New Roman" w:hAnsi="Times New Roman" w:cs="Times New Roman"/>
          <w:lang w:val="en-GB"/>
        </w:rPr>
        <w:tab/>
        <w:t>Eq. S1</w:t>
      </w:r>
    </w:p>
    <w:p w:rsidR="00B931A2" w:rsidRDefault="00B931A2">
      <w:pPr>
        <w:rPr>
          <w:rFonts w:ascii="Times New Roman" w:hAnsi="Times New Roman" w:cs="Times New Roman"/>
          <w:lang w:val="en-GB"/>
        </w:rPr>
      </w:pPr>
    </w:p>
    <w:p w:rsidR="00C008B3" w:rsidRDefault="00B855AE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w</w:t>
      </w:r>
      <w:r w:rsidR="00B931A2">
        <w:rPr>
          <w:rFonts w:ascii="Times New Roman" w:hAnsi="Times New Roman" w:cs="Times New Roman"/>
          <w:lang w:val="en-GB"/>
        </w:rPr>
        <w:t>here</w:t>
      </w:r>
      <w:proofErr w:type="gramEnd"/>
      <w:r w:rsidR="00B931A2">
        <w:rPr>
          <w:rFonts w:ascii="Times New Roman" w:hAnsi="Times New Roman" w:cs="Times New Roman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x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lang w:val="en-GB"/>
          </w:rPr>
          <m:t>(t)</m:t>
        </m:r>
      </m:oMath>
      <w:r w:rsidR="00B931A2">
        <w:rPr>
          <w:rFonts w:ascii="Times New Roman" w:hAnsi="Times New Roman" w:cs="Times New Roman"/>
          <w:lang w:val="en-GB"/>
        </w:rPr>
        <w:t xml:space="preserve"> is the position of the centre of the step,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I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</m:oMath>
      <w:r w:rsidR="00B931A2">
        <w:rPr>
          <w:rFonts w:ascii="Times New Roman" w:hAnsi="Times New Roman" w:cs="Times New Roman"/>
          <w:lang w:val="en-GB"/>
        </w:rPr>
        <w:t xml:space="preserve"> is the height and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w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</m:oMath>
      <w:r w:rsidR="00B931A2">
        <w:rPr>
          <w:rFonts w:ascii="Times New Roman" w:hAnsi="Times New Roman" w:cs="Times New Roman"/>
          <w:lang w:val="en-GB"/>
        </w:rPr>
        <w:t xml:space="preserve"> is a characteristic parameter related to the width of the varying part of the front. </w:t>
      </w:r>
      <w:r w:rsidR="00F16BC3">
        <w:rPr>
          <w:rFonts w:ascii="Times New Roman" w:hAnsi="Times New Roman" w:cs="Times New Roman"/>
          <w:lang w:val="en-GB"/>
        </w:rPr>
        <w:t>A s</w:t>
      </w:r>
      <w:r w:rsidR="00B931A2">
        <w:rPr>
          <w:rFonts w:ascii="Times New Roman" w:hAnsi="Times New Roman" w:cs="Times New Roman"/>
          <w:lang w:val="en-GB"/>
        </w:rPr>
        <w:t xml:space="preserve">imilar expression occurs in various mathematical models involving kink-type solitons such motion of domain walls and topological defects. </w:t>
      </w:r>
    </w:p>
    <w:p w:rsidR="00C008B3" w:rsidRDefault="00C008B3" w:rsidP="00B855AE">
      <w:pPr>
        <w:jc w:val="center"/>
        <w:rPr>
          <w:lang w:val="en-GB"/>
        </w:rPr>
      </w:pPr>
    </w:p>
    <w:p w:rsidR="00B855AE" w:rsidRDefault="00B855AE" w:rsidP="00B855AE">
      <w:pPr>
        <w:jc w:val="center"/>
        <w:rPr>
          <w:lang w:val="en-GB"/>
        </w:rPr>
      </w:pPr>
      <w:r>
        <w:rPr>
          <w:noProof/>
          <w:lang w:val="de-AT" w:eastAsia="de-AT"/>
        </w:rPr>
        <w:drawing>
          <wp:inline distT="0" distB="0" distL="0" distR="0">
            <wp:extent cx="4167739" cy="26985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l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8286" cy="271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5AE" w:rsidRDefault="00B855AE" w:rsidP="00B855AE">
      <w:pPr>
        <w:jc w:val="center"/>
        <w:rPr>
          <w:lang w:val="en-GB"/>
        </w:rPr>
      </w:pPr>
    </w:p>
    <w:p w:rsidR="00B855AE" w:rsidRPr="00D4610A" w:rsidRDefault="00B855AE" w:rsidP="00B855AE">
      <w:pPr>
        <w:jc w:val="center"/>
        <w:rPr>
          <w:rFonts w:ascii="Times New Roman" w:hAnsi="Times New Roman" w:cs="Times New Roman"/>
          <w:lang w:val="en-GB"/>
        </w:rPr>
      </w:pPr>
      <w:r w:rsidRPr="00D4610A">
        <w:rPr>
          <w:rFonts w:ascii="Times New Roman" w:hAnsi="Times New Roman" w:cs="Times New Roman"/>
          <w:lang w:val="en-GB"/>
        </w:rPr>
        <w:t xml:space="preserve">Figure S1. A plot of Eq. S1 for three different values </w:t>
      </w:r>
      <w:proofErr w:type="gramStart"/>
      <w:r w:rsidRPr="00D4610A">
        <w:rPr>
          <w:rFonts w:ascii="Times New Roman" w:hAnsi="Times New Roman" w:cs="Times New Roman"/>
          <w:lang w:val="en-GB"/>
        </w:rPr>
        <w:t xml:space="preserve">of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w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</m:oMath>
      <w:r w:rsidR="00D4610A" w:rsidRPr="00D4610A">
        <w:rPr>
          <w:rFonts w:ascii="Times New Roman" w:hAnsi="Times New Roman" w:cs="Times New Roman"/>
          <w:lang w:val="en-GB"/>
        </w:rPr>
        <w:t>.</w:t>
      </w:r>
    </w:p>
    <w:p w:rsidR="00D4610A" w:rsidRPr="00D4610A" w:rsidRDefault="00D4610A" w:rsidP="00B855AE">
      <w:pPr>
        <w:jc w:val="center"/>
        <w:rPr>
          <w:rFonts w:ascii="Times New Roman" w:hAnsi="Times New Roman" w:cs="Times New Roman"/>
          <w:lang w:val="en-GB"/>
        </w:rPr>
      </w:pPr>
    </w:p>
    <w:p w:rsidR="00D4610A" w:rsidRPr="00D4610A" w:rsidRDefault="00D4610A" w:rsidP="00D4610A">
      <w:pPr>
        <w:rPr>
          <w:rFonts w:ascii="Times New Roman" w:hAnsi="Times New Roman" w:cs="Times New Roman"/>
          <w:lang w:val="en-GB"/>
        </w:rPr>
      </w:pPr>
      <w:r w:rsidRPr="00D4610A">
        <w:rPr>
          <w:rFonts w:ascii="Times New Roman" w:hAnsi="Times New Roman" w:cs="Times New Roman"/>
          <w:lang w:val="en-GB"/>
        </w:rPr>
        <w:t xml:space="preserve">The </w:t>
      </w:r>
      <w:r>
        <w:rPr>
          <w:rFonts w:ascii="Times New Roman" w:hAnsi="Times New Roman" w:cs="Times New Roman"/>
          <w:lang w:val="en-GB"/>
        </w:rPr>
        <w:t xml:space="preserve">dynamics of the pH front exhibits an initial stationary regime where followed by propagation regime, where the front is travelling with a constant velocity. The parameter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w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</m:oMath>
      <w:r>
        <w:rPr>
          <w:rFonts w:ascii="Times New Roman" w:hAnsi="Times New Roman" w:cs="Times New Roman"/>
          <w:lang w:val="en-GB"/>
        </w:rPr>
        <w:t xml:space="preserve">remains nearly constant in this regime. The final state is stationary again.  </w:t>
      </w:r>
    </w:p>
    <w:sectPr w:rsidR="00D4610A" w:rsidRPr="00D4610A" w:rsidSect="003800A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95"/>
    <w:rsid w:val="00057D83"/>
    <w:rsid w:val="00264C6B"/>
    <w:rsid w:val="003800AB"/>
    <w:rsid w:val="00997E5B"/>
    <w:rsid w:val="00B855AE"/>
    <w:rsid w:val="00B931A2"/>
    <w:rsid w:val="00C008B3"/>
    <w:rsid w:val="00CD6195"/>
    <w:rsid w:val="00D4610A"/>
    <w:rsid w:val="00F1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A11B"/>
  <w15:chartTrackingRefBased/>
  <w15:docId w15:val="{E83BF102-8DDD-3C42-8C74-2DB64FBC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61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6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tzhaltertext">
    <w:name w:val="Placeholder Text"/>
    <w:basedOn w:val="Absatz-Standardschriftart"/>
    <w:uiPriority w:val="99"/>
    <w:semiHidden/>
    <w:rsid w:val="00CD6195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997E5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997E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lse.foissner@sbg.ac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OvGU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Foissner Ilse</cp:lastModifiedBy>
  <cp:revision>3</cp:revision>
  <dcterms:created xsi:type="dcterms:W3CDTF">2019-03-15T10:12:00Z</dcterms:created>
  <dcterms:modified xsi:type="dcterms:W3CDTF">2019-03-15T13:40:00Z</dcterms:modified>
</cp:coreProperties>
</file>