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A9871" w14:textId="77777777" w:rsidR="00065F35" w:rsidRPr="005E1119" w:rsidRDefault="00882D70" w:rsidP="00882D70">
      <w:pPr>
        <w:spacing w:line="480" w:lineRule="auto"/>
        <w:jc w:val="center"/>
        <w:rPr>
          <w:rFonts w:ascii="Verdana" w:hAnsi="Verdana"/>
          <w:b/>
          <w:sz w:val="24"/>
          <w:szCs w:val="24"/>
          <w:lang w:val="en-US"/>
        </w:rPr>
      </w:pPr>
      <w:r w:rsidRPr="005E1119">
        <w:rPr>
          <w:rFonts w:ascii="Verdana" w:hAnsi="Verdana"/>
          <w:b/>
          <w:sz w:val="24"/>
          <w:szCs w:val="24"/>
          <w:lang w:val="en-US"/>
        </w:rPr>
        <w:t>Supplement to</w:t>
      </w:r>
    </w:p>
    <w:p w14:paraId="1730E937" w14:textId="77777777" w:rsidR="00C071B4" w:rsidRPr="005E1119" w:rsidRDefault="00C071B4" w:rsidP="00C071B4">
      <w:pPr>
        <w:pStyle w:val="NoSpacing"/>
        <w:spacing w:line="480" w:lineRule="auto"/>
        <w:jc w:val="center"/>
        <w:rPr>
          <w:rFonts w:ascii="Verdana" w:hAnsi="Verdana" w:cstheme="minorHAnsi"/>
          <w:b/>
          <w:sz w:val="20"/>
          <w:szCs w:val="20"/>
        </w:rPr>
      </w:pPr>
      <w:r w:rsidRPr="005E1119">
        <w:rPr>
          <w:rFonts w:ascii="Verdana" w:hAnsi="Verdana" w:cstheme="minorHAnsi"/>
          <w:b/>
          <w:sz w:val="20"/>
          <w:szCs w:val="20"/>
        </w:rPr>
        <w:t>GC-MS analysis of 4-hydroxyproline: Elevated proline hydroxylation in metformin-associated lactic acidosis and metformin-treated Becker muscular dystrophy patients</w:t>
      </w:r>
    </w:p>
    <w:p w14:paraId="54F63AF5" w14:textId="77777777" w:rsidR="00547B1B" w:rsidRPr="005E1119" w:rsidRDefault="00547B1B" w:rsidP="0061761C">
      <w:pPr>
        <w:pStyle w:val="NoSpacing"/>
        <w:jc w:val="center"/>
        <w:rPr>
          <w:rFonts w:ascii="Verdana" w:hAnsi="Verdana" w:cstheme="minorHAnsi"/>
          <w:b/>
          <w:sz w:val="20"/>
          <w:szCs w:val="20"/>
          <w:highlight w:val="yellow"/>
        </w:rPr>
      </w:pPr>
    </w:p>
    <w:p w14:paraId="5287C8D8" w14:textId="55AC07AD" w:rsidR="00250109" w:rsidRPr="005E1119" w:rsidRDefault="00250109" w:rsidP="0061761C">
      <w:pPr>
        <w:pStyle w:val="NoSpacing"/>
        <w:jc w:val="center"/>
        <w:rPr>
          <w:rFonts w:ascii="Verdana" w:hAnsi="Verdana" w:cs="Times New Roman"/>
          <w:sz w:val="20"/>
          <w:szCs w:val="20"/>
          <w:lang w:val="nl-NL"/>
        </w:rPr>
      </w:pPr>
      <w:r w:rsidRPr="005E1119">
        <w:rPr>
          <w:rFonts w:ascii="Verdana" w:hAnsi="Verdana" w:cs="Times New Roman"/>
          <w:sz w:val="20"/>
          <w:szCs w:val="20"/>
          <w:lang w:val="nl-NL"/>
        </w:rPr>
        <w:t>Svetlana Baskal</w:t>
      </w:r>
      <w:r w:rsidR="00400139" w:rsidRPr="005E1119">
        <w:rPr>
          <w:rFonts w:ascii="Verdana" w:hAnsi="Verdana" w:cs="Times New Roman"/>
          <w:sz w:val="20"/>
          <w:szCs w:val="20"/>
          <w:lang w:val="nl-NL"/>
        </w:rPr>
        <w:t>,</w:t>
      </w:r>
      <w:r w:rsidRPr="005E1119">
        <w:rPr>
          <w:rFonts w:ascii="Verdana" w:hAnsi="Verdana" w:cs="Times New Roman"/>
          <w:sz w:val="20"/>
          <w:szCs w:val="20"/>
          <w:vertAlign w:val="superscript"/>
          <w:lang w:val="nl-NL"/>
        </w:rPr>
        <w:t>1</w:t>
      </w:r>
      <w:r w:rsidRPr="005E1119">
        <w:rPr>
          <w:rFonts w:ascii="Verdana" w:hAnsi="Verdana" w:cs="Times New Roman"/>
          <w:sz w:val="20"/>
          <w:szCs w:val="20"/>
          <w:lang w:val="nl-NL"/>
        </w:rPr>
        <w:t xml:space="preserve"> </w:t>
      </w:r>
      <w:r w:rsidR="00C071B4" w:rsidRPr="005E1119">
        <w:rPr>
          <w:rFonts w:ascii="Verdana" w:hAnsi="Verdana" w:cs="Times New Roman"/>
          <w:sz w:val="20"/>
          <w:szCs w:val="20"/>
          <w:lang w:val="nl-NL"/>
        </w:rPr>
        <w:t>Rene A. Posma,</w:t>
      </w:r>
      <w:r w:rsidR="00C071B4" w:rsidRPr="005E1119">
        <w:rPr>
          <w:rFonts w:ascii="Verdana" w:hAnsi="Verdana" w:cs="Times New Roman"/>
          <w:sz w:val="20"/>
          <w:szCs w:val="20"/>
          <w:vertAlign w:val="superscript"/>
          <w:lang w:val="nl-NL"/>
        </w:rPr>
        <w:t>2</w:t>
      </w:r>
      <w:r w:rsidR="00C071B4" w:rsidRPr="005E1119">
        <w:rPr>
          <w:rFonts w:ascii="Verdana" w:hAnsi="Verdana" w:cs="Times New Roman"/>
          <w:sz w:val="20"/>
          <w:szCs w:val="20"/>
          <w:lang w:val="nl-NL"/>
        </w:rPr>
        <w:t xml:space="preserve"> </w:t>
      </w:r>
      <w:r w:rsidRPr="005E1119">
        <w:rPr>
          <w:rFonts w:ascii="Verdana" w:hAnsi="Verdana" w:cs="Times New Roman"/>
          <w:sz w:val="20"/>
          <w:szCs w:val="20"/>
          <w:lang w:val="nl-NL"/>
        </w:rPr>
        <w:t>Alexander Bollenbach</w:t>
      </w:r>
      <w:r w:rsidR="00400139" w:rsidRPr="005E1119">
        <w:rPr>
          <w:rFonts w:ascii="Verdana" w:hAnsi="Verdana" w:cs="Times New Roman"/>
          <w:sz w:val="20"/>
          <w:szCs w:val="20"/>
          <w:lang w:val="nl-NL"/>
        </w:rPr>
        <w:t>,</w:t>
      </w:r>
      <w:r w:rsidRPr="005E1119">
        <w:rPr>
          <w:rFonts w:ascii="Verdana" w:hAnsi="Verdana" w:cs="Times New Roman"/>
          <w:sz w:val="20"/>
          <w:szCs w:val="20"/>
          <w:vertAlign w:val="superscript"/>
          <w:lang w:val="nl-NL"/>
        </w:rPr>
        <w:t>1</w:t>
      </w:r>
      <w:r w:rsidRPr="005E1119">
        <w:rPr>
          <w:rFonts w:ascii="Verdana" w:hAnsi="Verdana" w:cs="Times New Roman"/>
          <w:sz w:val="20"/>
          <w:szCs w:val="20"/>
          <w:lang w:val="nl-NL"/>
        </w:rPr>
        <w:t xml:space="preserve"> Willem Dieperink</w:t>
      </w:r>
      <w:r w:rsidR="00400139" w:rsidRPr="005E1119">
        <w:rPr>
          <w:rFonts w:ascii="Verdana" w:hAnsi="Verdana" w:cs="Times New Roman"/>
          <w:sz w:val="20"/>
          <w:szCs w:val="20"/>
          <w:lang w:val="nl-NL"/>
        </w:rPr>
        <w:t>,</w:t>
      </w:r>
      <w:r w:rsidRPr="005E1119">
        <w:rPr>
          <w:rFonts w:ascii="Verdana" w:hAnsi="Verdana" w:cs="Times New Roman"/>
          <w:sz w:val="20"/>
          <w:szCs w:val="20"/>
          <w:vertAlign w:val="superscript"/>
          <w:lang w:val="nl-NL"/>
        </w:rPr>
        <w:t>2</w:t>
      </w:r>
      <w:r w:rsidRPr="005E1119">
        <w:rPr>
          <w:rFonts w:ascii="Verdana" w:hAnsi="Verdana" w:cs="Times New Roman"/>
          <w:sz w:val="20"/>
          <w:szCs w:val="20"/>
          <w:lang w:val="nl-NL"/>
        </w:rPr>
        <w:t xml:space="preserve"> Stephan J.L. Bakker</w:t>
      </w:r>
      <w:r w:rsidR="00400139" w:rsidRPr="005E1119">
        <w:rPr>
          <w:rFonts w:ascii="Verdana" w:hAnsi="Verdana" w:cs="Times New Roman"/>
          <w:sz w:val="20"/>
          <w:szCs w:val="20"/>
          <w:lang w:val="nl-NL"/>
        </w:rPr>
        <w:t>,</w:t>
      </w:r>
      <w:r w:rsidRPr="005E1119">
        <w:rPr>
          <w:rFonts w:ascii="Verdana" w:hAnsi="Verdana" w:cs="Times New Roman"/>
          <w:sz w:val="20"/>
          <w:szCs w:val="20"/>
          <w:vertAlign w:val="superscript"/>
          <w:lang w:val="nl-NL"/>
        </w:rPr>
        <w:t>3</w:t>
      </w:r>
      <w:r w:rsidRPr="005E1119">
        <w:rPr>
          <w:rFonts w:ascii="Verdana" w:hAnsi="Verdana" w:cs="Times New Roman"/>
          <w:sz w:val="20"/>
          <w:szCs w:val="20"/>
          <w:lang w:val="nl-NL"/>
        </w:rPr>
        <w:t xml:space="preserve"> Maarten W. Nijsten</w:t>
      </w:r>
      <w:r w:rsidR="00400139" w:rsidRPr="005E1119">
        <w:rPr>
          <w:rFonts w:ascii="Verdana" w:hAnsi="Verdana" w:cs="Times New Roman"/>
          <w:sz w:val="20"/>
          <w:szCs w:val="20"/>
          <w:lang w:val="nl-NL"/>
        </w:rPr>
        <w:t>,</w:t>
      </w:r>
      <w:r w:rsidRPr="005E1119">
        <w:rPr>
          <w:rFonts w:ascii="Verdana" w:hAnsi="Verdana" w:cs="Times New Roman"/>
          <w:sz w:val="20"/>
          <w:szCs w:val="20"/>
          <w:vertAlign w:val="superscript"/>
          <w:lang w:val="nl-NL"/>
        </w:rPr>
        <w:t>2</w:t>
      </w:r>
      <w:r w:rsidRPr="005E1119">
        <w:rPr>
          <w:rFonts w:ascii="Verdana" w:hAnsi="Verdana" w:cs="Times New Roman"/>
          <w:sz w:val="20"/>
          <w:szCs w:val="20"/>
          <w:lang w:val="nl-NL"/>
        </w:rPr>
        <w:t xml:space="preserve"> Daan J. Touw</w:t>
      </w:r>
      <w:r w:rsidR="00400139" w:rsidRPr="005E1119">
        <w:rPr>
          <w:rFonts w:ascii="Verdana" w:hAnsi="Verdana" w:cs="Times New Roman"/>
          <w:sz w:val="20"/>
          <w:szCs w:val="20"/>
          <w:lang w:val="nl-NL"/>
        </w:rPr>
        <w:t>,</w:t>
      </w:r>
      <w:r w:rsidRPr="005E1119">
        <w:rPr>
          <w:rFonts w:ascii="Verdana" w:hAnsi="Verdana" w:cs="Times New Roman"/>
          <w:sz w:val="20"/>
          <w:szCs w:val="20"/>
          <w:vertAlign w:val="superscript"/>
          <w:lang w:val="nl-NL"/>
        </w:rPr>
        <w:t>4</w:t>
      </w:r>
      <w:r w:rsidRPr="005E1119">
        <w:rPr>
          <w:rFonts w:ascii="Verdana" w:hAnsi="Verdana" w:cs="Times New Roman"/>
          <w:sz w:val="20"/>
          <w:szCs w:val="20"/>
          <w:lang w:val="nl-NL"/>
        </w:rPr>
        <w:t xml:space="preserve"> Dimitrios Tsikas</w:t>
      </w:r>
      <w:r w:rsidRPr="005E1119">
        <w:rPr>
          <w:rFonts w:ascii="Verdana" w:hAnsi="Verdana" w:cs="Times New Roman"/>
          <w:sz w:val="20"/>
          <w:szCs w:val="20"/>
          <w:vertAlign w:val="superscript"/>
          <w:lang w:val="nl-NL"/>
        </w:rPr>
        <w:t>1</w:t>
      </w:r>
    </w:p>
    <w:p w14:paraId="1CF9EC81" w14:textId="77777777" w:rsidR="007F7D74" w:rsidRPr="005E1119" w:rsidRDefault="007F7D74" w:rsidP="007F7D74">
      <w:pPr>
        <w:jc w:val="both"/>
        <w:rPr>
          <w:rFonts w:ascii="Verdana" w:hAnsi="Verdana" w:cstheme="minorHAnsi"/>
          <w:b/>
          <w:i/>
          <w:sz w:val="20"/>
          <w:szCs w:val="20"/>
          <w:lang w:val="en-US"/>
        </w:rPr>
      </w:pPr>
    </w:p>
    <w:p w14:paraId="6E1A4D13" w14:textId="77777777" w:rsidR="00C17600" w:rsidRPr="005E1119" w:rsidRDefault="00C17600" w:rsidP="007F7D74">
      <w:pPr>
        <w:spacing w:line="240" w:lineRule="auto"/>
        <w:jc w:val="both"/>
        <w:rPr>
          <w:rFonts w:ascii="Verdana" w:hAnsi="Verdana"/>
          <w:b/>
          <w:sz w:val="20"/>
          <w:szCs w:val="20"/>
          <w:lang w:val="en-US"/>
        </w:rPr>
      </w:pPr>
      <w:bookmarkStart w:id="0" w:name="OLE_LINK1"/>
    </w:p>
    <w:p w14:paraId="63C7A16F" w14:textId="2631BE30" w:rsidR="00C17600" w:rsidRPr="005E1119" w:rsidRDefault="00C17600" w:rsidP="007F7D74">
      <w:pPr>
        <w:spacing w:line="240" w:lineRule="auto"/>
        <w:jc w:val="both"/>
        <w:rPr>
          <w:rFonts w:ascii="Verdana" w:hAnsi="Verdana"/>
          <w:b/>
          <w:sz w:val="20"/>
          <w:szCs w:val="20"/>
          <w:lang w:val="en-US"/>
        </w:rPr>
      </w:pPr>
    </w:p>
    <w:p w14:paraId="1BCD0AB3" w14:textId="77777777" w:rsidR="00C17600" w:rsidRPr="005E1119" w:rsidRDefault="00C17600" w:rsidP="007F7D74">
      <w:pPr>
        <w:spacing w:line="240" w:lineRule="auto"/>
        <w:jc w:val="both"/>
        <w:rPr>
          <w:rFonts w:ascii="Verdana" w:hAnsi="Verdana"/>
          <w:b/>
          <w:sz w:val="20"/>
          <w:szCs w:val="20"/>
          <w:lang w:val="en-US"/>
        </w:rPr>
      </w:pPr>
    </w:p>
    <w:p w14:paraId="61E944BD" w14:textId="77777777" w:rsidR="00C17600" w:rsidRPr="005E1119" w:rsidRDefault="00C17600" w:rsidP="007F7D74">
      <w:pPr>
        <w:spacing w:line="240" w:lineRule="auto"/>
        <w:jc w:val="both"/>
        <w:rPr>
          <w:rFonts w:ascii="Verdana" w:hAnsi="Verdana"/>
          <w:b/>
          <w:sz w:val="20"/>
          <w:szCs w:val="20"/>
          <w:lang w:val="en-US"/>
        </w:rPr>
      </w:pPr>
    </w:p>
    <w:p w14:paraId="02AA68CF" w14:textId="77777777" w:rsidR="00C17600" w:rsidRPr="005E1119" w:rsidRDefault="00C17600" w:rsidP="007F7D74">
      <w:pPr>
        <w:spacing w:line="240" w:lineRule="auto"/>
        <w:jc w:val="both"/>
        <w:rPr>
          <w:rFonts w:ascii="Verdana" w:hAnsi="Verdana"/>
          <w:b/>
          <w:sz w:val="20"/>
          <w:szCs w:val="20"/>
          <w:lang w:val="en-US"/>
        </w:rPr>
      </w:pPr>
    </w:p>
    <w:p w14:paraId="7FCF7A49" w14:textId="77777777" w:rsidR="00C17600" w:rsidRPr="005E1119" w:rsidRDefault="00C17600" w:rsidP="007F7D74">
      <w:pPr>
        <w:spacing w:line="240" w:lineRule="auto"/>
        <w:jc w:val="both"/>
        <w:rPr>
          <w:rFonts w:ascii="Verdana" w:hAnsi="Verdana"/>
          <w:b/>
          <w:sz w:val="20"/>
          <w:szCs w:val="20"/>
          <w:lang w:val="en-US"/>
        </w:rPr>
      </w:pPr>
    </w:p>
    <w:p w14:paraId="3FD98C43" w14:textId="0672A59C" w:rsidR="00C17600" w:rsidRPr="005E1119" w:rsidRDefault="00C17600" w:rsidP="007F7D74">
      <w:pPr>
        <w:spacing w:line="240" w:lineRule="auto"/>
        <w:jc w:val="both"/>
        <w:rPr>
          <w:rFonts w:ascii="Verdana" w:hAnsi="Verdana"/>
          <w:b/>
          <w:sz w:val="20"/>
          <w:szCs w:val="20"/>
          <w:lang w:val="en-US"/>
        </w:rPr>
      </w:pPr>
    </w:p>
    <w:p w14:paraId="7817EE9C" w14:textId="47C7E6D5" w:rsidR="00C17600" w:rsidRPr="005E1119" w:rsidRDefault="00C17600" w:rsidP="007F7D74">
      <w:pPr>
        <w:spacing w:line="240" w:lineRule="auto"/>
        <w:jc w:val="both"/>
        <w:rPr>
          <w:rFonts w:ascii="Verdana" w:hAnsi="Verdana"/>
          <w:b/>
          <w:sz w:val="20"/>
          <w:szCs w:val="20"/>
          <w:lang w:val="en-US"/>
        </w:rPr>
      </w:pPr>
      <w:r w:rsidRPr="005E1119">
        <w:rPr>
          <w:noProof/>
          <w:lang w:eastAsia="de-DE"/>
        </w:rPr>
        <w:lastRenderedPageBreak/>
        <w:drawing>
          <wp:anchor distT="0" distB="0" distL="114300" distR="114300" simplePos="0" relativeHeight="251659264" behindDoc="0" locked="0" layoutInCell="1" allowOverlap="1" wp14:anchorId="19EF05DE" wp14:editId="2C2E50E8">
            <wp:simplePos x="0" y="0"/>
            <wp:positionH relativeFrom="page">
              <wp:posOffset>2914650</wp:posOffset>
            </wp:positionH>
            <wp:positionV relativeFrom="paragraph">
              <wp:posOffset>-1947545</wp:posOffset>
            </wp:positionV>
            <wp:extent cx="5443220" cy="4401820"/>
            <wp:effectExtent l="0" t="0" r="508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3220" cy="440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C00E28" w14:textId="046A0B5C" w:rsidR="00C17600" w:rsidRPr="005E1119" w:rsidRDefault="00C17600" w:rsidP="007F7D74">
      <w:pPr>
        <w:spacing w:line="240" w:lineRule="auto"/>
        <w:jc w:val="both"/>
        <w:rPr>
          <w:rFonts w:ascii="Verdana" w:hAnsi="Verdana"/>
          <w:b/>
          <w:sz w:val="20"/>
          <w:szCs w:val="20"/>
          <w:lang w:val="en-US"/>
        </w:rPr>
      </w:pPr>
    </w:p>
    <w:p w14:paraId="0B8C05B6" w14:textId="6B684B5F" w:rsidR="00C17600" w:rsidRPr="005E1119" w:rsidRDefault="00C17600" w:rsidP="007F7D74">
      <w:pPr>
        <w:spacing w:line="240" w:lineRule="auto"/>
        <w:jc w:val="both"/>
        <w:rPr>
          <w:rFonts w:ascii="Verdana" w:hAnsi="Verdana"/>
          <w:b/>
          <w:sz w:val="20"/>
          <w:szCs w:val="20"/>
          <w:lang w:val="en-US"/>
        </w:rPr>
      </w:pPr>
    </w:p>
    <w:p w14:paraId="4446CAB2" w14:textId="77777777" w:rsidR="00C17600" w:rsidRPr="005E1119" w:rsidRDefault="00C17600" w:rsidP="007F7D74">
      <w:pPr>
        <w:spacing w:line="240" w:lineRule="auto"/>
        <w:jc w:val="both"/>
        <w:rPr>
          <w:rFonts w:ascii="Verdana" w:hAnsi="Verdana"/>
          <w:b/>
          <w:sz w:val="20"/>
          <w:szCs w:val="20"/>
          <w:lang w:val="en-US"/>
        </w:rPr>
      </w:pPr>
    </w:p>
    <w:p w14:paraId="32CFAAEF" w14:textId="41E19890" w:rsidR="00C17600" w:rsidRPr="005E1119" w:rsidRDefault="00C17600" w:rsidP="007F7D74">
      <w:pPr>
        <w:spacing w:line="240" w:lineRule="auto"/>
        <w:jc w:val="both"/>
        <w:rPr>
          <w:rFonts w:ascii="Verdana" w:hAnsi="Verdana"/>
          <w:b/>
          <w:sz w:val="20"/>
          <w:szCs w:val="20"/>
          <w:lang w:val="en-US"/>
        </w:rPr>
      </w:pPr>
    </w:p>
    <w:p w14:paraId="04F02052" w14:textId="77777777" w:rsidR="00C17600" w:rsidRPr="005E1119" w:rsidRDefault="00C17600" w:rsidP="007F7D74">
      <w:pPr>
        <w:spacing w:line="240" w:lineRule="auto"/>
        <w:jc w:val="both"/>
        <w:rPr>
          <w:rFonts w:ascii="Verdana" w:hAnsi="Verdana"/>
          <w:b/>
          <w:sz w:val="20"/>
          <w:szCs w:val="20"/>
          <w:lang w:val="en-US"/>
        </w:rPr>
      </w:pPr>
    </w:p>
    <w:p w14:paraId="46D61EB2" w14:textId="77777777" w:rsidR="00C17600" w:rsidRPr="005E1119" w:rsidRDefault="00C17600" w:rsidP="007F7D74">
      <w:pPr>
        <w:spacing w:line="240" w:lineRule="auto"/>
        <w:jc w:val="both"/>
        <w:rPr>
          <w:rFonts w:ascii="Verdana" w:hAnsi="Verdana"/>
          <w:b/>
          <w:sz w:val="20"/>
          <w:szCs w:val="20"/>
          <w:lang w:val="en-US"/>
        </w:rPr>
      </w:pPr>
    </w:p>
    <w:p w14:paraId="269CF2A5" w14:textId="77777777" w:rsidR="00C17600" w:rsidRPr="005E1119" w:rsidRDefault="00C17600" w:rsidP="007F7D74">
      <w:pPr>
        <w:spacing w:line="240" w:lineRule="auto"/>
        <w:jc w:val="both"/>
        <w:rPr>
          <w:rFonts w:ascii="Verdana" w:hAnsi="Verdana"/>
          <w:b/>
          <w:sz w:val="20"/>
          <w:szCs w:val="20"/>
          <w:lang w:val="en-US"/>
        </w:rPr>
      </w:pPr>
    </w:p>
    <w:p w14:paraId="68B7EF6F" w14:textId="77777777" w:rsidR="00BD03BB" w:rsidRPr="005E1119" w:rsidRDefault="00BD03BB" w:rsidP="007F7D74">
      <w:pPr>
        <w:spacing w:line="240" w:lineRule="auto"/>
        <w:jc w:val="both"/>
        <w:rPr>
          <w:rFonts w:ascii="Verdana" w:hAnsi="Verdana"/>
          <w:b/>
          <w:sz w:val="20"/>
          <w:szCs w:val="20"/>
          <w:lang w:val="en-US"/>
        </w:rPr>
      </w:pPr>
    </w:p>
    <w:p w14:paraId="337D9673" w14:textId="77777777" w:rsidR="00BD03BB" w:rsidRPr="005E1119" w:rsidRDefault="00BD03BB" w:rsidP="007F7D74">
      <w:pPr>
        <w:spacing w:line="240" w:lineRule="auto"/>
        <w:jc w:val="both"/>
        <w:rPr>
          <w:rFonts w:ascii="Verdana" w:hAnsi="Verdana"/>
          <w:b/>
          <w:sz w:val="20"/>
          <w:szCs w:val="20"/>
          <w:lang w:val="en-US"/>
        </w:rPr>
      </w:pPr>
    </w:p>
    <w:p w14:paraId="7D2E5571" w14:textId="77777777" w:rsidR="00BD03BB" w:rsidRPr="005E1119" w:rsidRDefault="00BD03BB" w:rsidP="007F7D74">
      <w:pPr>
        <w:spacing w:line="240" w:lineRule="auto"/>
        <w:jc w:val="both"/>
        <w:rPr>
          <w:rFonts w:ascii="Verdana" w:hAnsi="Verdana"/>
          <w:b/>
          <w:sz w:val="20"/>
          <w:szCs w:val="20"/>
          <w:lang w:val="en-US"/>
        </w:rPr>
      </w:pPr>
    </w:p>
    <w:p w14:paraId="5900CA99" w14:textId="77777777" w:rsidR="00BD03BB" w:rsidRPr="005E1119" w:rsidRDefault="00BD03BB" w:rsidP="007F7D74">
      <w:pPr>
        <w:spacing w:line="240" w:lineRule="auto"/>
        <w:jc w:val="both"/>
        <w:rPr>
          <w:rFonts w:ascii="Verdana" w:hAnsi="Verdana"/>
          <w:b/>
          <w:sz w:val="20"/>
          <w:szCs w:val="20"/>
          <w:lang w:val="en-US"/>
        </w:rPr>
      </w:pPr>
    </w:p>
    <w:p w14:paraId="003614D6" w14:textId="77777777" w:rsidR="00BD03BB" w:rsidRPr="005E1119" w:rsidRDefault="00BD03BB" w:rsidP="007F7D74">
      <w:pPr>
        <w:spacing w:line="240" w:lineRule="auto"/>
        <w:jc w:val="both"/>
        <w:rPr>
          <w:rFonts w:ascii="Verdana" w:hAnsi="Verdana"/>
          <w:b/>
          <w:sz w:val="20"/>
          <w:szCs w:val="20"/>
          <w:lang w:val="en-US"/>
        </w:rPr>
      </w:pPr>
    </w:p>
    <w:p w14:paraId="63509A6F" w14:textId="77777777" w:rsidR="00BD03BB" w:rsidRPr="005E1119" w:rsidRDefault="00BD03BB" w:rsidP="007F7D74">
      <w:pPr>
        <w:spacing w:line="240" w:lineRule="auto"/>
        <w:jc w:val="both"/>
        <w:rPr>
          <w:rFonts w:ascii="Verdana" w:hAnsi="Verdana"/>
          <w:b/>
          <w:sz w:val="20"/>
          <w:szCs w:val="20"/>
          <w:lang w:val="en-US"/>
        </w:rPr>
      </w:pPr>
    </w:p>
    <w:p w14:paraId="3EF58D05" w14:textId="77777777" w:rsidR="00BD03BB" w:rsidRPr="005E1119" w:rsidRDefault="00BD03BB" w:rsidP="007F7D74">
      <w:pPr>
        <w:spacing w:line="240" w:lineRule="auto"/>
        <w:jc w:val="both"/>
        <w:rPr>
          <w:rFonts w:ascii="Verdana" w:hAnsi="Verdana"/>
          <w:b/>
          <w:sz w:val="20"/>
          <w:szCs w:val="20"/>
          <w:lang w:val="en-US"/>
        </w:rPr>
      </w:pPr>
    </w:p>
    <w:p w14:paraId="5A47CC53" w14:textId="77777777" w:rsidR="00BD03BB" w:rsidRPr="005E1119" w:rsidRDefault="00BD03BB" w:rsidP="007F7D74">
      <w:pPr>
        <w:spacing w:line="240" w:lineRule="auto"/>
        <w:jc w:val="both"/>
        <w:rPr>
          <w:rFonts w:ascii="Verdana" w:hAnsi="Verdana"/>
          <w:b/>
          <w:sz w:val="20"/>
          <w:szCs w:val="20"/>
          <w:lang w:val="en-US"/>
        </w:rPr>
      </w:pPr>
    </w:p>
    <w:p w14:paraId="0A5A97B3" w14:textId="77777777" w:rsidR="00BD03BB" w:rsidRPr="005E1119" w:rsidRDefault="00BD03BB" w:rsidP="007F7D74">
      <w:pPr>
        <w:spacing w:line="240" w:lineRule="auto"/>
        <w:jc w:val="both"/>
        <w:rPr>
          <w:rFonts w:ascii="Verdana" w:hAnsi="Verdana"/>
          <w:b/>
          <w:sz w:val="20"/>
          <w:szCs w:val="20"/>
          <w:lang w:val="en-US"/>
        </w:rPr>
      </w:pPr>
    </w:p>
    <w:p w14:paraId="1FAAFE7B" w14:textId="77777777" w:rsidR="00BD03BB" w:rsidRPr="005E1119" w:rsidRDefault="00BD03BB" w:rsidP="007F7D74">
      <w:pPr>
        <w:spacing w:line="240" w:lineRule="auto"/>
        <w:jc w:val="both"/>
        <w:rPr>
          <w:rFonts w:ascii="Verdana" w:hAnsi="Verdana"/>
          <w:b/>
          <w:sz w:val="20"/>
          <w:szCs w:val="20"/>
          <w:lang w:val="en-US"/>
        </w:rPr>
      </w:pPr>
    </w:p>
    <w:p w14:paraId="2B719241" w14:textId="5F962F8C" w:rsidR="007F7D74" w:rsidRPr="005E1119" w:rsidRDefault="007F7D74" w:rsidP="007F7D74">
      <w:pPr>
        <w:spacing w:line="240" w:lineRule="auto"/>
        <w:jc w:val="both"/>
        <w:rPr>
          <w:rFonts w:ascii="Verdana" w:hAnsi="Verdana"/>
          <w:sz w:val="20"/>
          <w:szCs w:val="20"/>
          <w:lang w:val="en-US"/>
        </w:rPr>
      </w:pPr>
      <w:r w:rsidRPr="005E1119">
        <w:rPr>
          <w:rFonts w:ascii="Verdana" w:hAnsi="Verdana"/>
          <w:b/>
          <w:sz w:val="20"/>
          <w:szCs w:val="20"/>
          <w:lang w:val="en-US"/>
        </w:rPr>
        <w:t xml:space="preserve">Figure S1. </w:t>
      </w:r>
      <w:r w:rsidRPr="005E1119">
        <w:rPr>
          <w:rFonts w:ascii="Verdana" w:hAnsi="Verdana"/>
          <w:sz w:val="20"/>
          <w:szCs w:val="20"/>
          <w:lang w:val="en-US"/>
        </w:rPr>
        <w:t xml:space="preserve">Comparison of metformin measurement in plasma, urine, and dialysate (effluent) using liquid-chromatography tandem-mass spectrometry (LC-MS/MS) and gas chromatography–mass spectrometry (GC-MS). </w:t>
      </w:r>
    </w:p>
    <w:bookmarkEnd w:id="0"/>
    <w:p w14:paraId="0376F479" w14:textId="77777777" w:rsidR="007F7D74" w:rsidRPr="005E1119" w:rsidRDefault="007F7D74" w:rsidP="007F7D74">
      <w:pPr>
        <w:spacing w:line="240" w:lineRule="auto"/>
        <w:jc w:val="both"/>
        <w:rPr>
          <w:rFonts w:ascii="Verdana" w:hAnsi="Verdana"/>
          <w:sz w:val="20"/>
          <w:szCs w:val="20"/>
          <w:lang w:val="en-US"/>
        </w:rPr>
      </w:pPr>
      <w:r w:rsidRPr="005E1119">
        <w:rPr>
          <w:rFonts w:ascii="Verdana" w:hAnsi="Verdana"/>
          <w:b/>
          <w:bCs/>
          <w:sz w:val="20"/>
          <w:szCs w:val="20"/>
          <w:lang w:val="en-US"/>
        </w:rPr>
        <w:t xml:space="preserve">(A. D. G) </w:t>
      </w:r>
      <w:r w:rsidRPr="005E1119">
        <w:rPr>
          <w:rFonts w:ascii="Verdana" w:hAnsi="Verdana"/>
          <w:sz w:val="20"/>
          <w:szCs w:val="20"/>
          <w:lang w:val="en-US"/>
        </w:rPr>
        <w:t>Correlation plot of single metformin concentration values (black diamonds) in plasma, urine, and dialysate, respectively, measured with LC-MS/MS and GC-MS. Passing-</w:t>
      </w:r>
      <w:proofErr w:type="spellStart"/>
      <w:r w:rsidRPr="005E1119">
        <w:rPr>
          <w:rFonts w:ascii="Verdana" w:hAnsi="Verdana"/>
          <w:sz w:val="20"/>
          <w:szCs w:val="20"/>
          <w:lang w:val="en-US"/>
        </w:rPr>
        <w:t>Bablok</w:t>
      </w:r>
      <w:proofErr w:type="spellEnd"/>
      <w:r w:rsidRPr="005E1119">
        <w:rPr>
          <w:rFonts w:ascii="Verdana" w:hAnsi="Verdana"/>
          <w:sz w:val="20"/>
          <w:szCs w:val="20"/>
          <w:lang w:val="en-US"/>
        </w:rPr>
        <w:t xml:space="preserve"> regression (red line) was used to compare both measurement methods. The bias-corrected and accelerated (</w:t>
      </w:r>
      <w:proofErr w:type="spellStart"/>
      <w:r w:rsidRPr="005E1119">
        <w:rPr>
          <w:rFonts w:ascii="Verdana" w:hAnsi="Verdana"/>
          <w:sz w:val="20"/>
          <w:szCs w:val="20"/>
          <w:lang w:val="en-US"/>
        </w:rPr>
        <w:t>BCa</w:t>
      </w:r>
      <w:proofErr w:type="spellEnd"/>
      <w:r w:rsidRPr="005E1119">
        <w:rPr>
          <w:rFonts w:ascii="Verdana" w:hAnsi="Verdana"/>
          <w:sz w:val="20"/>
          <w:szCs w:val="20"/>
          <w:lang w:val="en-US"/>
        </w:rPr>
        <w:t xml:space="preserve">) 95% confidence interval of this regression analysis (grey area) </w:t>
      </w:r>
      <w:r w:rsidRPr="005E1119">
        <w:rPr>
          <w:rFonts w:ascii="Verdana" w:hAnsi="Verdana" w:cs="Times New Roman"/>
          <w:sz w:val="20"/>
          <w:szCs w:val="20"/>
          <w:lang w:val="en-US"/>
        </w:rPr>
        <w:t>were generated via 1000 bootstrap samples</w:t>
      </w:r>
      <w:r w:rsidRPr="005E1119">
        <w:rPr>
          <w:rFonts w:ascii="Verdana" w:hAnsi="Verdana"/>
          <w:sz w:val="20"/>
          <w:szCs w:val="20"/>
          <w:lang w:val="en-US"/>
        </w:rPr>
        <w:t xml:space="preserve">. </w:t>
      </w:r>
    </w:p>
    <w:p w14:paraId="058D7D1C" w14:textId="77777777" w:rsidR="007F7D74" w:rsidRPr="005E1119" w:rsidRDefault="007F7D74" w:rsidP="007F7D74">
      <w:pPr>
        <w:spacing w:line="240" w:lineRule="auto"/>
        <w:jc w:val="both"/>
        <w:rPr>
          <w:rFonts w:ascii="Verdana" w:hAnsi="Verdana"/>
          <w:sz w:val="20"/>
          <w:szCs w:val="20"/>
          <w:lang w:val="en-US"/>
        </w:rPr>
      </w:pPr>
      <w:r w:rsidRPr="005E1119">
        <w:rPr>
          <w:rFonts w:ascii="Verdana" w:hAnsi="Verdana"/>
          <w:b/>
          <w:bCs/>
          <w:sz w:val="20"/>
          <w:szCs w:val="20"/>
          <w:lang w:val="en-US"/>
        </w:rPr>
        <w:lastRenderedPageBreak/>
        <w:t xml:space="preserve">(B. E. H. C. F. I) </w:t>
      </w:r>
      <w:r w:rsidRPr="005E1119">
        <w:rPr>
          <w:rFonts w:ascii="Verdana" w:hAnsi="Verdana"/>
          <w:sz w:val="20"/>
          <w:szCs w:val="20"/>
          <w:lang w:val="en-US"/>
        </w:rPr>
        <w:t xml:space="preserve">Bland–Altman plots showing the absolute difference (mg/L) against the average of both methods in </w:t>
      </w:r>
      <w:r w:rsidRPr="005E1119">
        <w:rPr>
          <w:rFonts w:ascii="Verdana" w:hAnsi="Verdana"/>
          <w:b/>
          <w:bCs/>
          <w:sz w:val="20"/>
          <w:szCs w:val="20"/>
          <w:lang w:val="en-US"/>
        </w:rPr>
        <w:t xml:space="preserve">(B) </w:t>
      </w:r>
      <w:r w:rsidRPr="005E1119">
        <w:rPr>
          <w:rFonts w:ascii="Verdana" w:hAnsi="Verdana"/>
          <w:sz w:val="20"/>
          <w:szCs w:val="20"/>
          <w:lang w:val="en-US"/>
        </w:rPr>
        <w:t xml:space="preserve">plasma, </w:t>
      </w:r>
      <w:r w:rsidRPr="005E1119">
        <w:rPr>
          <w:rFonts w:ascii="Verdana" w:hAnsi="Verdana"/>
          <w:b/>
          <w:bCs/>
          <w:sz w:val="20"/>
          <w:szCs w:val="20"/>
          <w:lang w:val="en-US"/>
        </w:rPr>
        <w:t>(E)</w:t>
      </w:r>
      <w:r w:rsidRPr="005E1119">
        <w:rPr>
          <w:rFonts w:ascii="Verdana" w:hAnsi="Verdana"/>
          <w:sz w:val="20"/>
          <w:szCs w:val="20"/>
          <w:lang w:val="en-US"/>
        </w:rPr>
        <w:t xml:space="preserve"> urine, and </w:t>
      </w:r>
      <w:r w:rsidRPr="005E1119">
        <w:rPr>
          <w:rFonts w:ascii="Verdana" w:hAnsi="Verdana"/>
          <w:b/>
          <w:bCs/>
          <w:sz w:val="20"/>
          <w:szCs w:val="20"/>
          <w:lang w:val="en-US"/>
        </w:rPr>
        <w:t>(H)</w:t>
      </w:r>
      <w:r w:rsidRPr="005E1119">
        <w:rPr>
          <w:rFonts w:ascii="Verdana" w:hAnsi="Verdana"/>
          <w:sz w:val="20"/>
          <w:szCs w:val="20"/>
          <w:lang w:val="en-US"/>
        </w:rPr>
        <w:t xml:space="preserve"> dialysate. Bland–Altman plots </w:t>
      </w:r>
      <w:proofErr w:type="gramStart"/>
      <w:r w:rsidRPr="005E1119">
        <w:rPr>
          <w:rFonts w:ascii="Verdana" w:hAnsi="Verdana"/>
          <w:sz w:val="20"/>
          <w:szCs w:val="20"/>
          <w:lang w:val="en-US"/>
        </w:rPr>
        <w:t>showing</w:t>
      </w:r>
      <w:proofErr w:type="gramEnd"/>
      <w:r w:rsidRPr="005E1119">
        <w:rPr>
          <w:rFonts w:ascii="Verdana" w:hAnsi="Verdana"/>
          <w:sz w:val="20"/>
          <w:szCs w:val="20"/>
          <w:lang w:val="en-US"/>
        </w:rPr>
        <w:t xml:space="preserve"> the relative difference (percentage of the average metformin concentration) against the average of both measurement methods in </w:t>
      </w:r>
      <w:r w:rsidRPr="005E1119">
        <w:rPr>
          <w:rFonts w:ascii="Verdana" w:hAnsi="Verdana"/>
          <w:b/>
          <w:bCs/>
          <w:sz w:val="20"/>
          <w:szCs w:val="20"/>
          <w:lang w:val="en-US"/>
        </w:rPr>
        <w:t>(C)</w:t>
      </w:r>
      <w:r w:rsidRPr="005E1119">
        <w:rPr>
          <w:rFonts w:ascii="Verdana" w:hAnsi="Verdana"/>
          <w:sz w:val="20"/>
          <w:szCs w:val="20"/>
          <w:lang w:val="en-US"/>
        </w:rPr>
        <w:t xml:space="preserve"> </w:t>
      </w:r>
      <w:proofErr w:type="gramStart"/>
      <w:r w:rsidRPr="005E1119">
        <w:rPr>
          <w:rFonts w:ascii="Verdana" w:hAnsi="Verdana"/>
          <w:sz w:val="20"/>
          <w:szCs w:val="20"/>
          <w:lang w:val="en-US"/>
        </w:rPr>
        <w:t>plasma,</w:t>
      </w:r>
      <w:r w:rsidRPr="005E1119">
        <w:rPr>
          <w:rFonts w:ascii="Verdana" w:hAnsi="Verdana"/>
          <w:b/>
          <w:bCs/>
          <w:sz w:val="20"/>
          <w:szCs w:val="20"/>
          <w:lang w:val="en-US"/>
        </w:rPr>
        <w:t>(</w:t>
      </w:r>
      <w:proofErr w:type="gramEnd"/>
      <w:r w:rsidRPr="005E1119">
        <w:rPr>
          <w:rFonts w:ascii="Verdana" w:hAnsi="Verdana"/>
          <w:b/>
          <w:bCs/>
          <w:sz w:val="20"/>
          <w:szCs w:val="20"/>
          <w:lang w:val="en-US"/>
        </w:rPr>
        <w:t>F)</w:t>
      </w:r>
      <w:r w:rsidRPr="005E1119">
        <w:rPr>
          <w:rFonts w:ascii="Verdana" w:hAnsi="Verdana"/>
          <w:sz w:val="20"/>
          <w:szCs w:val="20"/>
          <w:lang w:val="en-US"/>
        </w:rPr>
        <w:t xml:space="preserve"> urine, and </w:t>
      </w:r>
      <w:r w:rsidRPr="005E1119">
        <w:rPr>
          <w:rFonts w:ascii="Verdana" w:hAnsi="Verdana"/>
          <w:b/>
          <w:bCs/>
          <w:sz w:val="20"/>
          <w:szCs w:val="20"/>
          <w:lang w:val="en-US"/>
        </w:rPr>
        <w:t>(I)</w:t>
      </w:r>
      <w:r w:rsidRPr="005E1119">
        <w:rPr>
          <w:rFonts w:ascii="Verdana" w:hAnsi="Verdana"/>
          <w:sz w:val="20"/>
          <w:szCs w:val="20"/>
          <w:lang w:val="en-US"/>
        </w:rPr>
        <w:t xml:space="preserve"> dialysate. In all panels, the bias is represented as black dashed line, while the upper and lower 95% limits of agreement (LOA) are denoted as red dashed lines.</w:t>
      </w:r>
    </w:p>
    <w:p w14:paraId="200542A9" w14:textId="77777777" w:rsidR="007F7D74" w:rsidRPr="005E1119" w:rsidRDefault="007F7D74" w:rsidP="007F7D74">
      <w:pPr>
        <w:spacing w:line="240" w:lineRule="auto"/>
        <w:jc w:val="both"/>
        <w:rPr>
          <w:rFonts w:ascii="Verdana" w:hAnsi="Verdana"/>
          <w:b/>
          <w:sz w:val="20"/>
          <w:szCs w:val="20"/>
          <w:lang w:val="en-US"/>
        </w:rPr>
      </w:pPr>
    </w:p>
    <w:p w14:paraId="04DB1CAC" w14:textId="1AFEAF48" w:rsidR="007F7D74" w:rsidRPr="005E1119" w:rsidRDefault="007F7D74" w:rsidP="007F7D74">
      <w:pPr>
        <w:spacing w:line="240" w:lineRule="auto"/>
        <w:jc w:val="both"/>
        <w:rPr>
          <w:rFonts w:ascii="Verdana" w:hAnsi="Verdana"/>
          <w:b/>
          <w:sz w:val="20"/>
          <w:szCs w:val="20"/>
          <w:lang w:val="en-US"/>
        </w:rPr>
      </w:pPr>
      <w:r w:rsidRPr="005E1119">
        <w:rPr>
          <w:rFonts w:ascii="Verdana" w:hAnsi="Verdana"/>
          <w:b/>
          <w:sz w:val="20"/>
          <w:szCs w:val="20"/>
          <w:lang w:val="en-US"/>
        </w:rPr>
        <w:t xml:space="preserve">Discussion of </w:t>
      </w:r>
      <w:r w:rsidR="00F91D83" w:rsidRPr="005E1119">
        <w:rPr>
          <w:rFonts w:ascii="Verdana" w:hAnsi="Verdana"/>
          <w:b/>
          <w:sz w:val="20"/>
          <w:szCs w:val="20"/>
          <w:lang w:val="en-US"/>
        </w:rPr>
        <w:t xml:space="preserve">the results from </w:t>
      </w:r>
      <w:r w:rsidRPr="005E1119">
        <w:rPr>
          <w:rFonts w:ascii="Verdana" w:hAnsi="Verdana"/>
          <w:b/>
          <w:sz w:val="20"/>
          <w:szCs w:val="20"/>
          <w:lang w:val="en-US"/>
        </w:rPr>
        <w:t>method comparison</w:t>
      </w:r>
    </w:p>
    <w:p w14:paraId="64E7ACB4" w14:textId="77777777" w:rsidR="007F7D74" w:rsidRPr="005E1119" w:rsidRDefault="007F7D74" w:rsidP="007F7D74">
      <w:pPr>
        <w:spacing w:line="240" w:lineRule="auto"/>
        <w:jc w:val="both"/>
        <w:rPr>
          <w:rFonts w:ascii="Verdana" w:hAnsi="Verdana"/>
          <w:sz w:val="20"/>
          <w:szCs w:val="20"/>
          <w:lang w:val="en-US"/>
        </w:rPr>
      </w:pPr>
      <w:r w:rsidRPr="005E1119">
        <w:rPr>
          <w:rFonts w:ascii="Verdana" w:hAnsi="Verdana"/>
          <w:sz w:val="20"/>
          <w:szCs w:val="20"/>
          <w:lang w:val="en-US"/>
        </w:rPr>
        <w:t>While the difference between both methods decreased in plasma when metformin levels increased, the opposite was observed when comparing both methods in urine and dialysate. In urine, the metformin concentration was underestimated using GC-MS, while the GC-MS method overestimated the metformin concentration in dialysate.</w:t>
      </w:r>
    </w:p>
    <w:p w14:paraId="26D95467" w14:textId="77777777" w:rsidR="007F7D74" w:rsidRPr="005E1119" w:rsidRDefault="007F7D74" w:rsidP="007F7D74">
      <w:pPr>
        <w:spacing w:line="480" w:lineRule="auto"/>
        <w:jc w:val="both"/>
        <w:rPr>
          <w:rFonts w:ascii="Verdana" w:hAnsi="Verdana"/>
          <w:i/>
          <w:iCs/>
          <w:sz w:val="20"/>
          <w:szCs w:val="20"/>
          <w:lang w:val="en-US"/>
        </w:rPr>
      </w:pPr>
    </w:p>
    <w:p w14:paraId="692C844D" w14:textId="77777777" w:rsidR="007F4F5A" w:rsidRPr="005E1119" w:rsidRDefault="007F4F5A">
      <w:pPr>
        <w:rPr>
          <w:rFonts w:ascii="Verdana" w:hAnsi="Verdana"/>
          <w:i/>
          <w:iCs/>
          <w:noProof/>
          <w:sz w:val="20"/>
          <w:szCs w:val="20"/>
          <w:highlight w:val="yellow"/>
          <w:lang w:val="en-US" w:eastAsia="de-DE"/>
        </w:rPr>
      </w:pPr>
      <w:r w:rsidRPr="005E1119">
        <w:rPr>
          <w:rFonts w:ascii="Verdana" w:hAnsi="Verdana"/>
          <w:i/>
          <w:iCs/>
          <w:noProof/>
          <w:sz w:val="20"/>
          <w:szCs w:val="20"/>
          <w:highlight w:val="yellow"/>
          <w:lang w:val="en-US" w:eastAsia="de-DE"/>
        </w:rPr>
        <w:br w:type="page"/>
      </w:r>
    </w:p>
    <w:p w14:paraId="64709C15" w14:textId="417CC46B" w:rsidR="00C17600" w:rsidRPr="005E1119" w:rsidRDefault="00C17600" w:rsidP="0030516C">
      <w:pPr>
        <w:spacing w:line="480" w:lineRule="auto"/>
        <w:rPr>
          <w:rFonts w:ascii="Verdana" w:hAnsi="Verdana"/>
          <w:i/>
          <w:iCs/>
          <w:sz w:val="20"/>
          <w:szCs w:val="20"/>
          <w:lang w:val="en-US"/>
        </w:rPr>
      </w:pPr>
    </w:p>
    <w:p w14:paraId="264A4154" w14:textId="197AC664" w:rsidR="007F4F5A" w:rsidRPr="005E1119" w:rsidRDefault="00A7718F" w:rsidP="007F4F5A">
      <w:pPr>
        <w:spacing w:line="480" w:lineRule="auto"/>
        <w:jc w:val="both"/>
        <w:rPr>
          <w:noProof/>
        </w:rPr>
      </w:pPr>
      <w:r w:rsidRPr="005E1119">
        <w:rPr>
          <w:noProof/>
          <w:lang w:eastAsia="de-DE"/>
        </w:rPr>
        <w:drawing>
          <wp:inline distT="0" distB="0" distL="0" distR="0" wp14:anchorId="4B51AF3C" wp14:editId="377BBAD8">
            <wp:extent cx="8229600" cy="3295650"/>
            <wp:effectExtent l="0" t="0" r="0" b="0"/>
            <wp:docPr id="1041980661" name="Picture 5"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80661" name="Picture 5" descr="A graph of different types of data&#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0" cy="3295650"/>
                    </a:xfrm>
                    <a:prstGeom prst="rect">
                      <a:avLst/>
                    </a:prstGeom>
                    <a:noFill/>
                    <a:ln>
                      <a:noFill/>
                    </a:ln>
                  </pic:spPr>
                </pic:pic>
              </a:graphicData>
            </a:graphic>
          </wp:inline>
        </w:drawing>
      </w:r>
    </w:p>
    <w:p w14:paraId="09E8D665" w14:textId="7BE031DB" w:rsidR="007F7D74" w:rsidRPr="005E1119" w:rsidRDefault="007F7D74" w:rsidP="007F4F5A">
      <w:pPr>
        <w:spacing w:line="480" w:lineRule="auto"/>
        <w:jc w:val="both"/>
        <w:rPr>
          <w:rFonts w:ascii="Verdana" w:hAnsi="Verdana"/>
          <w:b/>
          <w:iCs/>
          <w:sz w:val="20"/>
          <w:szCs w:val="20"/>
          <w:lang w:val="en-US"/>
        </w:rPr>
      </w:pPr>
      <w:r w:rsidRPr="005E1119">
        <w:rPr>
          <w:rFonts w:ascii="Verdana" w:hAnsi="Verdana"/>
          <w:b/>
          <w:sz w:val="20"/>
          <w:szCs w:val="20"/>
          <w:lang w:val="en-US"/>
        </w:rPr>
        <w:t xml:space="preserve">Figure S2. </w:t>
      </w:r>
      <w:bookmarkStart w:id="1" w:name="OLE_LINK2"/>
      <w:r w:rsidRPr="005E1119">
        <w:rPr>
          <w:rFonts w:ascii="Verdana" w:hAnsi="Verdana"/>
          <w:sz w:val="20"/>
          <w:szCs w:val="20"/>
          <w:lang w:val="en-US"/>
        </w:rPr>
        <w:t>Time course of the</w:t>
      </w:r>
      <w:r w:rsidRPr="005E1119">
        <w:rPr>
          <w:rFonts w:ascii="Verdana" w:hAnsi="Verdana"/>
          <w:b/>
          <w:sz w:val="20"/>
          <w:szCs w:val="20"/>
          <w:lang w:val="en-US"/>
        </w:rPr>
        <w:t xml:space="preserve"> </w:t>
      </w:r>
      <w:r w:rsidR="007F4F5A" w:rsidRPr="005E1119">
        <w:rPr>
          <w:rFonts w:ascii="Verdana" w:hAnsi="Verdana"/>
          <w:bCs/>
          <w:sz w:val="20"/>
          <w:szCs w:val="20"/>
          <w:lang w:val="en-US"/>
        </w:rPr>
        <w:t xml:space="preserve">(A) </w:t>
      </w:r>
      <w:r w:rsidRPr="005E1119">
        <w:rPr>
          <w:rFonts w:ascii="Verdana" w:hAnsi="Verdana"/>
          <w:sz w:val="20"/>
          <w:szCs w:val="20"/>
          <w:lang w:val="en-US"/>
        </w:rPr>
        <w:t>plasma concentrations</w:t>
      </w:r>
      <w:r w:rsidR="007F4F5A" w:rsidRPr="005E1119">
        <w:rPr>
          <w:rFonts w:ascii="Verdana" w:hAnsi="Verdana"/>
          <w:sz w:val="20"/>
          <w:szCs w:val="20"/>
          <w:lang w:val="en-US"/>
        </w:rPr>
        <w:t xml:space="preserve">, (B) </w:t>
      </w:r>
      <w:r w:rsidRPr="005E1119">
        <w:rPr>
          <w:rFonts w:ascii="Verdana" w:hAnsi="Verdana"/>
          <w:sz w:val="20"/>
          <w:szCs w:val="20"/>
          <w:lang w:val="en-US"/>
        </w:rPr>
        <w:t xml:space="preserve">renal </w:t>
      </w:r>
      <w:r w:rsidR="003D6425" w:rsidRPr="005E1119">
        <w:rPr>
          <w:rFonts w:ascii="Verdana" w:hAnsi="Verdana"/>
          <w:sz w:val="20"/>
          <w:szCs w:val="20"/>
          <w:lang w:val="en-US"/>
        </w:rPr>
        <w:t>excretion</w:t>
      </w:r>
      <w:r w:rsidRPr="005E1119">
        <w:rPr>
          <w:rFonts w:ascii="Verdana" w:hAnsi="Verdana"/>
          <w:sz w:val="20"/>
          <w:szCs w:val="20"/>
          <w:lang w:val="en-US"/>
        </w:rPr>
        <w:t xml:space="preserve"> </w:t>
      </w:r>
      <w:r w:rsidR="007F4F5A" w:rsidRPr="005E1119">
        <w:rPr>
          <w:rFonts w:ascii="Verdana" w:hAnsi="Verdana"/>
          <w:sz w:val="20"/>
          <w:szCs w:val="20"/>
          <w:lang w:val="en-US"/>
        </w:rPr>
        <w:t xml:space="preserve">and (C) dialysis clearance </w:t>
      </w:r>
      <w:r w:rsidR="00A36E01" w:rsidRPr="005E1119">
        <w:rPr>
          <w:rFonts w:ascii="Verdana" w:hAnsi="Verdana"/>
          <w:sz w:val="20"/>
          <w:szCs w:val="20"/>
          <w:lang w:val="en-US"/>
        </w:rPr>
        <w:t>of metformin</w:t>
      </w:r>
      <w:r w:rsidR="007F4F5A" w:rsidRPr="005E1119">
        <w:rPr>
          <w:rFonts w:ascii="Verdana" w:hAnsi="Verdana"/>
          <w:sz w:val="20"/>
          <w:szCs w:val="20"/>
          <w:lang w:val="en-US"/>
        </w:rPr>
        <w:t xml:space="preserve"> (black)</w:t>
      </w:r>
      <w:r w:rsidR="00114F44" w:rsidRPr="005E1119">
        <w:rPr>
          <w:rFonts w:ascii="Verdana" w:hAnsi="Verdana"/>
          <w:sz w:val="20"/>
          <w:szCs w:val="20"/>
          <w:lang w:val="en-US"/>
        </w:rPr>
        <w:t xml:space="preserve"> and</w:t>
      </w:r>
      <w:r w:rsidR="00A36E01" w:rsidRPr="005E1119">
        <w:rPr>
          <w:rFonts w:ascii="Verdana" w:hAnsi="Verdana"/>
          <w:sz w:val="20"/>
          <w:szCs w:val="20"/>
          <w:lang w:val="en-US"/>
        </w:rPr>
        <w:t xml:space="preserve"> creatinine</w:t>
      </w:r>
      <w:r w:rsidR="007F4F5A" w:rsidRPr="005E1119">
        <w:rPr>
          <w:rFonts w:ascii="Verdana" w:hAnsi="Verdana"/>
          <w:sz w:val="20"/>
          <w:szCs w:val="20"/>
          <w:lang w:val="en-US"/>
        </w:rPr>
        <w:t xml:space="preserve"> (white)</w:t>
      </w:r>
      <w:r w:rsidR="002B1CF6" w:rsidRPr="005E1119">
        <w:rPr>
          <w:rFonts w:ascii="Verdana" w:hAnsi="Verdana"/>
          <w:sz w:val="20"/>
          <w:szCs w:val="20"/>
          <w:lang w:val="en-US"/>
        </w:rPr>
        <w:t xml:space="preserve"> </w:t>
      </w:r>
      <w:r w:rsidRPr="005E1119">
        <w:rPr>
          <w:rFonts w:ascii="Verdana" w:hAnsi="Verdana"/>
          <w:sz w:val="20"/>
          <w:szCs w:val="20"/>
          <w:lang w:val="en-US"/>
        </w:rPr>
        <w:t xml:space="preserve">during </w:t>
      </w:r>
      <w:bookmarkEnd w:id="1"/>
      <w:r w:rsidR="007F4F5A" w:rsidRPr="005E1119">
        <w:rPr>
          <w:rFonts w:ascii="Verdana" w:hAnsi="Verdana"/>
          <w:sz w:val="20"/>
          <w:szCs w:val="20"/>
          <w:lang w:val="en-US"/>
        </w:rPr>
        <w:t>ICU admission</w:t>
      </w:r>
    </w:p>
    <w:p w14:paraId="08236E0B" w14:textId="77777777" w:rsidR="007F7D74" w:rsidRPr="005E1119" w:rsidRDefault="007F7D74" w:rsidP="007F7D74">
      <w:pPr>
        <w:spacing w:line="480" w:lineRule="auto"/>
        <w:jc w:val="both"/>
        <w:rPr>
          <w:rFonts w:ascii="Verdana" w:hAnsi="Verdana"/>
          <w:sz w:val="20"/>
          <w:szCs w:val="20"/>
          <w:lang w:val="en-US"/>
        </w:rPr>
      </w:pPr>
    </w:p>
    <w:p w14:paraId="472262A5" w14:textId="6CC4656E" w:rsidR="007F7D74" w:rsidRPr="005E1119" w:rsidRDefault="00A7718F" w:rsidP="007F7D74">
      <w:pPr>
        <w:spacing w:line="480" w:lineRule="auto"/>
        <w:jc w:val="both"/>
        <w:rPr>
          <w:rFonts w:ascii="Verdana" w:hAnsi="Verdana"/>
          <w:b/>
          <w:bCs/>
          <w:sz w:val="20"/>
          <w:szCs w:val="20"/>
        </w:rPr>
      </w:pPr>
      <w:r w:rsidRPr="005E1119">
        <w:rPr>
          <w:noProof/>
          <w:lang w:eastAsia="de-DE"/>
        </w:rPr>
        <w:lastRenderedPageBreak/>
        <w:drawing>
          <wp:inline distT="0" distB="0" distL="0" distR="0" wp14:anchorId="52BCF4F8" wp14:editId="57AA3337">
            <wp:extent cx="8229600" cy="3295650"/>
            <wp:effectExtent l="0" t="0" r="0" b="0"/>
            <wp:docPr id="1376049544" name="Picture 1" descr="A graph of a person with a blue and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049544" name="Picture 1" descr="A graph of a person with a blue and red lin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0" cy="3295650"/>
                    </a:xfrm>
                    <a:prstGeom prst="rect">
                      <a:avLst/>
                    </a:prstGeom>
                    <a:noFill/>
                    <a:ln>
                      <a:noFill/>
                    </a:ln>
                  </pic:spPr>
                </pic:pic>
              </a:graphicData>
            </a:graphic>
          </wp:inline>
        </w:drawing>
      </w:r>
    </w:p>
    <w:p w14:paraId="70DB790B" w14:textId="77777777" w:rsidR="00A7718F" w:rsidRPr="005E1119" w:rsidRDefault="00A7718F" w:rsidP="007F7D74">
      <w:pPr>
        <w:spacing w:line="480" w:lineRule="auto"/>
        <w:jc w:val="both"/>
        <w:rPr>
          <w:rFonts w:ascii="Verdana" w:hAnsi="Verdana" w:cstheme="minorHAnsi"/>
          <w:b/>
          <w:bCs/>
          <w:sz w:val="20"/>
          <w:szCs w:val="20"/>
        </w:rPr>
      </w:pPr>
    </w:p>
    <w:p w14:paraId="1A22636F" w14:textId="09EEC885" w:rsidR="007F7D74" w:rsidRPr="005E1119" w:rsidRDefault="002E53E2" w:rsidP="007F7D74">
      <w:pPr>
        <w:spacing w:line="480" w:lineRule="auto"/>
        <w:jc w:val="both"/>
        <w:rPr>
          <w:rFonts w:ascii="Verdana" w:hAnsi="Verdana" w:cstheme="minorHAnsi"/>
          <w:bCs/>
          <w:sz w:val="20"/>
          <w:szCs w:val="20"/>
          <w:lang w:val="en-US"/>
        </w:rPr>
      </w:pPr>
      <w:r w:rsidRPr="005E1119">
        <w:rPr>
          <w:rFonts w:ascii="Verdana" w:hAnsi="Verdana" w:cstheme="minorHAnsi"/>
          <w:b/>
          <w:bCs/>
          <w:sz w:val="20"/>
          <w:szCs w:val="20"/>
          <w:lang w:val="en-US"/>
        </w:rPr>
        <w:t>Figure S3</w:t>
      </w:r>
      <w:r w:rsidR="007F7D74" w:rsidRPr="005E1119">
        <w:rPr>
          <w:rFonts w:ascii="Verdana" w:hAnsi="Verdana" w:cstheme="minorHAnsi"/>
          <w:b/>
          <w:bCs/>
          <w:sz w:val="20"/>
          <w:szCs w:val="20"/>
          <w:lang w:val="en-US"/>
        </w:rPr>
        <w:t>.</w:t>
      </w:r>
      <w:r w:rsidR="007F7D74" w:rsidRPr="005E1119">
        <w:rPr>
          <w:rFonts w:ascii="Verdana" w:hAnsi="Verdana" w:cstheme="minorHAnsi"/>
          <w:sz w:val="20"/>
          <w:szCs w:val="20"/>
          <w:lang w:val="en-US"/>
        </w:rPr>
        <w:t xml:space="preserve"> (A) Pro (blue) and OH-Pro (red) plasma concentrations during ICU admission. In the shaded area, the corresponding range as </w:t>
      </w:r>
      <w:r w:rsidR="003C4641" w:rsidRPr="005E1119">
        <w:rPr>
          <w:rFonts w:ascii="Verdana" w:hAnsi="Verdana" w:cstheme="minorHAnsi"/>
          <w:sz w:val="20"/>
          <w:szCs w:val="20"/>
          <w:lang w:val="en-US"/>
        </w:rPr>
        <w:t>reported</w:t>
      </w:r>
      <w:r w:rsidR="007F7D74" w:rsidRPr="005E1119">
        <w:rPr>
          <w:rFonts w:ascii="Verdana" w:hAnsi="Verdana" w:cstheme="minorHAnsi"/>
          <w:sz w:val="20"/>
          <w:szCs w:val="20"/>
          <w:lang w:val="en-US"/>
        </w:rPr>
        <w:t xml:space="preserve"> in healthy </w:t>
      </w:r>
      <w:r w:rsidR="003C4641" w:rsidRPr="005E1119">
        <w:rPr>
          <w:rFonts w:ascii="Verdana" w:hAnsi="Verdana" w:cstheme="minorHAnsi"/>
          <w:sz w:val="20"/>
          <w:szCs w:val="20"/>
          <w:lang w:val="en-US"/>
        </w:rPr>
        <w:t>humans</w:t>
      </w:r>
      <w:r w:rsidR="007F7D74" w:rsidRPr="005E1119">
        <w:rPr>
          <w:rFonts w:ascii="Verdana" w:hAnsi="Verdana" w:cstheme="minorHAnsi"/>
          <w:sz w:val="20"/>
          <w:szCs w:val="20"/>
          <w:lang w:val="en-US"/>
        </w:rPr>
        <w:t xml:space="preserve"> is displayed</w:t>
      </w:r>
      <w:r w:rsidR="003C4641" w:rsidRPr="005E1119">
        <w:rPr>
          <w:rFonts w:ascii="Verdana" w:hAnsi="Verdana" w:cstheme="minorHAnsi"/>
          <w:sz w:val="20"/>
          <w:szCs w:val="20"/>
          <w:lang w:val="en-US"/>
        </w:rPr>
        <w:t xml:space="preserve"> (Hanff et al. 2019; Wu 2020; </w:t>
      </w:r>
      <w:proofErr w:type="spellStart"/>
      <w:r w:rsidR="003C4641" w:rsidRPr="005E1119">
        <w:rPr>
          <w:rFonts w:ascii="Verdana" w:hAnsi="Verdana" w:cstheme="minorHAnsi"/>
          <w:sz w:val="20"/>
          <w:szCs w:val="20"/>
          <w:lang w:val="en-US"/>
        </w:rPr>
        <w:t>Begou</w:t>
      </w:r>
      <w:proofErr w:type="spellEnd"/>
      <w:r w:rsidR="003C4641" w:rsidRPr="005E1119">
        <w:rPr>
          <w:rFonts w:ascii="Verdana" w:hAnsi="Verdana" w:cstheme="minorHAnsi"/>
          <w:sz w:val="20"/>
          <w:szCs w:val="20"/>
          <w:lang w:val="en-US"/>
        </w:rPr>
        <w:t xml:space="preserve"> et al. 2021; </w:t>
      </w:r>
      <w:proofErr w:type="spellStart"/>
      <w:r w:rsidR="003C4641" w:rsidRPr="005E1119">
        <w:rPr>
          <w:rFonts w:ascii="Verdana" w:hAnsi="Verdana" w:cstheme="minorHAnsi"/>
          <w:sz w:val="20"/>
          <w:szCs w:val="20"/>
          <w:lang w:val="en-US"/>
        </w:rPr>
        <w:t>Baskal</w:t>
      </w:r>
      <w:proofErr w:type="spellEnd"/>
      <w:r w:rsidR="003C4641" w:rsidRPr="005E1119">
        <w:rPr>
          <w:rFonts w:ascii="Verdana" w:hAnsi="Verdana" w:cstheme="minorHAnsi"/>
          <w:sz w:val="20"/>
          <w:szCs w:val="20"/>
          <w:lang w:val="en-US"/>
        </w:rPr>
        <w:t xml:space="preserve"> et al. 2022a)</w:t>
      </w:r>
      <w:r w:rsidR="007F7D74" w:rsidRPr="005E1119">
        <w:rPr>
          <w:rFonts w:ascii="Verdana" w:hAnsi="Verdana" w:cstheme="minorHAnsi"/>
          <w:bCs/>
          <w:sz w:val="20"/>
          <w:szCs w:val="20"/>
          <w:lang w:val="en-US"/>
        </w:rPr>
        <w:t xml:space="preserve">. (B) Renal </w:t>
      </w:r>
      <w:r w:rsidR="003D6425" w:rsidRPr="005E1119">
        <w:rPr>
          <w:rFonts w:ascii="Verdana" w:hAnsi="Verdana" w:cstheme="minorHAnsi"/>
          <w:bCs/>
          <w:sz w:val="20"/>
          <w:szCs w:val="20"/>
          <w:lang w:val="en-US"/>
        </w:rPr>
        <w:t>excretion</w:t>
      </w:r>
      <w:r w:rsidR="007F7D74" w:rsidRPr="005E1119">
        <w:rPr>
          <w:rFonts w:ascii="Verdana" w:hAnsi="Verdana" w:cstheme="minorHAnsi"/>
          <w:bCs/>
          <w:sz w:val="20"/>
          <w:szCs w:val="20"/>
          <w:lang w:val="en-US"/>
        </w:rPr>
        <w:t xml:space="preserve"> of OH-Pro; renal </w:t>
      </w:r>
      <w:r w:rsidR="003D6425" w:rsidRPr="005E1119">
        <w:rPr>
          <w:rFonts w:ascii="Verdana" w:hAnsi="Verdana" w:cstheme="minorHAnsi"/>
          <w:bCs/>
          <w:sz w:val="20"/>
          <w:szCs w:val="20"/>
          <w:lang w:val="en-US"/>
        </w:rPr>
        <w:t>excretion</w:t>
      </w:r>
      <w:r w:rsidR="007F7D74" w:rsidRPr="005E1119">
        <w:rPr>
          <w:rFonts w:ascii="Verdana" w:hAnsi="Verdana" w:cstheme="minorHAnsi"/>
          <w:bCs/>
          <w:sz w:val="20"/>
          <w:szCs w:val="20"/>
          <w:lang w:val="en-US"/>
        </w:rPr>
        <w:t xml:space="preserve"> of Pro was </w:t>
      </w:r>
      <w:proofErr w:type="gramStart"/>
      <w:r w:rsidR="007F7D74" w:rsidRPr="005E1119">
        <w:rPr>
          <w:rFonts w:ascii="Verdana" w:hAnsi="Verdana" w:cstheme="minorHAnsi"/>
          <w:bCs/>
          <w:sz w:val="20"/>
          <w:szCs w:val="20"/>
          <w:lang w:val="en-US"/>
        </w:rPr>
        <w:t>negligible</w:t>
      </w:r>
      <w:proofErr w:type="gramEnd"/>
      <w:r w:rsidR="007F7D74" w:rsidRPr="005E1119">
        <w:rPr>
          <w:rFonts w:ascii="Verdana" w:hAnsi="Verdana" w:cstheme="minorHAnsi"/>
          <w:bCs/>
          <w:sz w:val="20"/>
          <w:szCs w:val="20"/>
          <w:lang w:val="en-US"/>
        </w:rPr>
        <w:t xml:space="preserve"> and data are not shown. (C) </w:t>
      </w:r>
      <w:r w:rsidR="00181D5B" w:rsidRPr="005E1119">
        <w:rPr>
          <w:rFonts w:ascii="Verdana" w:hAnsi="Verdana" w:cstheme="minorHAnsi"/>
          <w:bCs/>
          <w:sz w:val="20"/>
          <w:szCs w:val="20"/>
          <w:lang w:val="en-US"/>
        </w:rPr>
        <w:t>Dialysis clearance</w:t>
      </w:r>
      <w:r w:rsidR="007F7D74" w:rsidRPr="005E1119">
        <w:rPr>
          <w:rFonts w:ascii="Verdana" w:hAnsi="Verdana" w:cstheme="minorHAnsi"/>
          <w:bCs/>
          <w:sz w:val="20"/>
          <w:szCs w:val="20"/>
          <w:lang w:val="en-US"/>
        </w:rPr>
        <w:t xml:space="preserve"> of Pro and OH-Pro by intermittent hemodialysis followed by continuous renal replacement therapy.</w:t>
      </w:r>
    </w:p>
    <w:p w14:paraId="344D4F6C" w14:textId="77777777" w:rsidR="007F7D74" w:rsidRPr="005E1119" w:rsidRDefault="007F7D74" w:rsidP="007F7D74">
      <w:pPr>
        <w:spacing w:line="480" w:lineRule="auto"/>
        <w:jc w:val="both"/>
        <w:rPr>
          <w:rFonts w:cstheme="minorHAnsi"/>
          <w:bCs/>
          <w:sz w:val="24"/>
          <w:szCs w:val="24"/>
          <w:lang w:val="en-US"/>
        </w:rPr>
      </w:pPr>
    </w:p>
    <w:p w14:paraId="14ECC19F" w14:textId="77777777" w:rsidR="007F7D74" w:rsidRPr="005E1119" w:rsidRDefault="007F7D74" w:rsidP="007F7D74">
      <w:pPr>
        <w:spacing w:line="480" w:lineRule="auto"/>
        <w:jc w:val="both"/>
        <w:rPr>
          <w:rFonts w:cstheme="minorHAnsi"/>
          <w:bCs/>
          <w:sz w:val="24"/>
          <w:szCs w:val="24"/>
          <w:lang w:val="en-US"/>
        </w:rPr>
      </w:pPr>
    </w:p>
    <w:p w14:paraId="1FE478AC" w14:textId="031EC39D" w:rsidR="00102600" w:rsidRPr="005E1119" w:rsidRDefault="00102600" w:rsidP="00102600">
      <w:pPr>
        <w:pStyle w:val="NoSpacing"/>
        <w:spacing w:line="480" w:lineRule="auto"/>
        <w:jc w:val="both"/>
        <w:rPr>
          <w:rFonts w:ascii="Verdana" w:hAnsi="Verdana" w:cs="Times New Roman"/>
          <w:b/>
          <w:i/>
          <w:sz w:val="20"/>
          <w:szCs w:val="20"/>
        </w:rPr>
      </w:pPr>
      <w:r w:rsidRPr="005E1119">
        <w:rPr>
          <w:rFonts w:ascii="Verdana" w:hAnsi="Verdana" w:cstheme="minorHAnsi"/>
          <w:b/>
          <w:bCs/>
          <w:i/>
          <w:sz w:val="20"/>
          <w:szCs w:val="20"/>
        </w:rPr>
        <w:t>Becker Muscular Dystrophy patients</w:t>
      </w:r>
    </w:p>
    <w:p w14:paraId="1AF61316" w14:textId="3BB52EEE" w:rsidR="00102600" w:rsidRPr="005E1119" w:rsidRDefault="00102600" w:rsidP="00102600">
      <w:pPr>
        <w:pStyle w:val="NoSpacing"/>
        <w:spacing w:line="480" w:lineRule="auto"/>
        <w:jc w:val="both"/>
        <w:rPr>
          <w:rFonts w:ascii="Verdana" w:hAnsi="Verdana" w:cstheme="minorHAnsi"/>
          <w:bCs/>
          <w:sz w:val="20"/>
          <w:szCs w:val="20"/>
        </w:rPr>
      </w:pPr>
      <w:r w:rsidRPr="005E1119">
        <w:rPr>
          <w:rFonts w:ascii="Verdana" w:hAnsi="Verdana" w:cstheme="minorHAnsi"/>
          <w:bCs/>
          <w:sz w:val="20"/>
          <w:szCs w:val="20"/>
        </w:rPr>
        <w:t>Patients with Becker muscular dystrophy (BMD) received metformin 500 mg three times a day for six weeks as reported previously in detail (Hafner et al. 2016)</w:t>
      </w:r>
      <w:r w:rsidR="00D67AAE" w:rsidRPr="005E1119">
        <w:rPr>
          <w:rFonts w:ascii="Verdana" w:hAnsi="Verdana" w:cstheme="minorHAnsi"/>
          <w:bCs/>
          <w:sz w:val="20"/>
          <w:szCs w:val="20"/>
        </w:rPr>
        <w:t>. A</w:t>
      </w:r>
      <w:r w:rsidRPr="005E1119">
        <w:rPr>
          <w:rFonts w:ascii="Verdana" w:hAnsi="Verdana" w:cstheme="minorHAnsi"/>
          <w:bCs/>
          <w:sz w:val="20"/>
          <w:szCs w:val="20"/>
        </w:rPr>
        <w:t>t baseline and at the end of the treatment</w:t>
      </w:r>
      <w:r w:rsidR="00484EF8" w:rsidRPr="005E1119">
        <w:rPr>
          <w:rFonts w:ascii="Verdana" w:hAnsi="Verdana" w:cstheme="minorHAnsi"/>
          <w:bCs/>
          <w:sz w:val="20"/>
          <w:szCs w:val="20"/>
        </w:rPr>
        <w:t>,</w:t>
      </w:r>
      <w:r w:rsidRPr="005E1119">
        <w:rPr>
          <w:rFonts w:ascii="Verdana" w:hAnsi="Verdana" w:cstheme="minorHAnsi"/>
          <w:bCs/>
          <w:sz w:val="20"/>
          <w:szCs w:val="20"/>
        </w:rPr>
        <w:t xml:space="preserve"> </w:t>
      </w:r>
      <w:r w:rsidR="00D67AAE" w:rsidRPr="005E1119">
        <w:rPr>
          <w:rFonts w:ascii="Verdana" w:hAnsi="Verdana" w:cstheme="minorHAnsi"/>
          <w:bCs/>
          <w:sz w:val="20"/>
          <w:szCs w:val="20"/>
        </w:rPr>
        <w:t>serum</w:t>
      </w:r>
      <w:r w:rsidRPr="005E1119">
        <w:rPr>
          <w:rFonts w:ascii="Verdana" w:hAnsi="Verdana" w:cstheme="minorHAnsi"/>
          <w:bCs/>
          <w:sz w:val="20"/>
          <w:szCs w:val="20"/>
        </w:rPr>
        <w:t xml:space="preserve"> was collected from the BMD patients to investigate the effects of metformin on the Arg/NO pathway (Hanff et al. 2018). In the present study</w:t>
      </w:r>
      <w:r w:rsidR="00484EF8" w:rsidRPr="005E1119">
        <w:rPr>
          <w:rFonts w:ascii="Verdana" w:hAnsi="Verdana" w:cstheme="minorHAnsi"/>
          <w:bCs/>
          <w:sz w:val="20"/>
          <w:szCs w:val="20"/>
        </w:rPr>
        <w:t xml:space="preserve">, </w:t>
      </w:r>
      <w:r w:rsidRPr="005E1119">
        <w:rPr>
          <w:rFonts w:ascii="Verdana" w:hAnsi="Verdana" w:cstheme="minorHAnsi"/>
          <w:bCs/>
          <w:sz w:val="20"/>
          <w:szCs w:val="20"/>
        </w:rPr>
        <w:t>we new</w:t>
      </w:r>
      <w:r w:rsidR="00484EF8" w:rsidRPr="005E1119">
        <w:rPr>
          <w:rFonts w:ascii="Verdana" w:hAnsi="Verdana" w:cstheme="minorHAnsi"/>
          <w:bCs/>
          <w:sz w:val="20"/>
          <w:szCs w:val="20"/>
        </w:rPr>
        <w:t>ly measured by GC-MS the Pro,</w:t>
      </w:r>
      <w:r w:rsidRPr="005E1119">
        <w:rPr>
          <w:rFonts w:ascii="Verdana" w:hAnsi="Verdana" w:cstheme="minorHAnsi"/>
          <w:bCs/>
          <w:sz w:val="20"/>
          <w:szCs w:val="20"/>
        </w:rPr>
        <w:t xml:space="preserve"> OH-Pro</w:t>
      </w:r>
      <w:r w:rsidR="00484EF8" w:rsidRPr="005E1119">
        <w:rPr>
          <w:rFonts w:ascii="Verdana" w:hAnsi="Verdana" w:cstheme="minorHAnsi"/>
          <w:bCs/>
          <w:sz w:val="20"/>
          <w:szCs w:val="20"/>
        </w:rPr>
        <w:t>, D-5-</w:t>
      </w:r>
      <w:proofErr w:type="gramStart"/>
      <w:r w:rsidR="00484EF8" w:rsidRPr="005E1119">
        <w:rPr>
          <w:rFonts w:ascii="Verdana" w:hAnsi="Verdana" w:cstheme="minorHAnsi"/>
          <w:bCs/>
          <w:sz w:val="20"/>
          <w:szCs w:val="20"/>
        </w:rPr>
        <w:t>Lys</w:t>
      </w:r>
      <w:proofErr w:type="gramEnd"/>
      <w:r w:rsidR="00484EF8" w:rsidRPr="005E1119">
        <w:rPr>
          <w:rFonts w:ascii="Verdana" w:hAnsi="Verdana" w:cstheme="minorHAnsi"/>
          <w:bCs/>
          <w:sz w:val="20"/>
          <w:szCs w:val="20"/>
        </w:rPr>
        <w:t xml:space="preserve"> and L-5-OH-Lys </w:t>
      </w:r>
      <w:r w:rsidRPr="005E1119">
        <w:rPr>
          <w:rFonts w:ascii="Verdana" w:hAnsi="Verdana"/>
          <w:sz w:val="20"/>
          <w:szCs w:val="20"/>
        </w:rPr>
        <w:t xml:space="preserve">concentrations in </w:t>
      </w:r>
      <w:r w:rsidR="00D67AAE" w:rsidRPr="005E1119">
        <w:rPr>
          <w:rFonts w:ascii="Verdana" w:hAnsi="Verdana"/>
          <w:sz w:val="20"/>
          <w:szCs w:val="20"/>
        </w:rPr>
        <w:t xml:space="preserve">the </w:t>
      </w:r>
      <w:r w:rsidRPr="005E1119">
        <w:rPr>
          <w:rFonts w:ascii="Verdana" w:hAnsi="Verdana"/>
          <w:sz w:val="20"/>
          <w:szCs w:val="20"/>
        </w:rPr>
        <w:t xml:space="preserve">previously collected </w:t>
      </w:r>
      <w:r w:rsidR="00D67AAE" w:rsidRPr="005E1119">
        <w:rPr>
          <w:rFonts w:ascii="Verdana" w:hAnsi="Verdana"/>
          <w:sz w:val="20"/>
          <w:szCs w:val="20"/>
        </w:rPr>
        <w:t>serum</w:t>
      </w:r>
      <w:r w:rsidRPr="005E1119">
        <w:rPr>
          <w:rFonts w:ascii="Verdana" w:hAnsi="Verdana"/>
          <w:sz w:val="20"/>
          <w:szCs w:val="20"/>
        </w:rPr>
        <w:t xml:space="preserve"> </w:t>
      </w:r>
      <w:r w:rsidR="00484EF8" w:rsidRPr="005E1119">
        <w:rPr>
          <w:rFonts w:ascii="Verdana" w:hAnsi="Verdana"/>
          <w:sz w:val="20"/>
          <w:szCs w:val="20"/>
        </w:rPr>
        <w:t xml:space="preserve">and urine </w:t>
      </w:r>
      <w:r w:rsidRPr="005E1119">
        <w:rPr>
          <w:rFonts w:ascii="Verdana" w:hAnsi="Verdana"/>
          <w:sz w:val="20"/>
          <w:szCs w:val="20"/>
        </w:rPr>
        <w:t xml:space="preserve">samples </w:t>
      </w:r>
      <w:r w:rsidRPr="005E1119">
        <w:rPr>
          <w:rFonts w:ascii="Verdana" w:hAnsi="Verdana" w:cstheme="minorHAnsi"/>
          <w:bCs/>
          <w:sz w:val="20"/>
          <w:szCs w:val="20"/>
        </w:rPr>
        <w:t>(Hafner et al. 2016).</w:t>
      </w:r>
    </w:p>
    <w:p w14:paraId="6CE634C7" w14:textId="7085FFB8" w:rsidR="00400139" w:rsidRPr="005E1119" w:rsidRDefault="00400139" w:rsidP="00400139">
      <w:pPr>
        <w:pStyle w:val="NoSpacing"/>
        <w:spacing w:line="480" w:lineRule="auto"/>
        <w:ind w:firstLine="708"/>
        <w:jc w:val="both"/>
        <w:rPr>
          <w:rFonts w:ascii="Verdana" w:hAnsi="Verdana" w:cstheme="minorHAnsi"/>
          <w:bCs/>
          <w:sz w:val="20"/>
          <w:szCs w:val="20"/>
        </w:rPr>
      </w:pPr>
      <w:r w:rsidRPr="005E1119">
        <w:rPr>
          <w:rFonts w:ascii="Verdana" w:hAnsi="Verdana" w:cstheme="minorHAnsi"/>
          <w:bCs/>
          <w:sz w:val="20"/>
          <w:szCs w:val="20"/>
        </w:rPr>
        <w:t xml:space="preserve">Patients received metformin (MET group) or L-citrulline (CITR group) as the first treatments (Scheme </w:t>
      </w:r>
      <w:r w:rsidR="00D67AAE" w:rsidRPr="005E1119">
        <w:rPr>
          <w:rFonts w:ascii="Verdana" w:hAnsi="Verdana" w:cstheme="minorHAnsi"/>
          <w:bCs/>
          <w:sz w:val="20"/>
          <w:szCs w:val="20"/>
        </w:rPr>
        <w:t>S</w:t>
      </w:r>
      <w:r w:rsidRPr="005E1119">
        <w:rPr>
          <w:rFonts w:ascii="Verdana" w:hAnsi="Verdana" w:cstheme="minorHAnsi"/>
          <w:bCs/>
          <w:sz w:val="20"/>
          <w:szCs w:val="20"/>
        </w:rPr>
        <w:t>1). Subsequently, both groups received a combination of the drugs. The study d</w:t>
      </w:r>
      <w:r w:rsidR="00D67AAE" w:rsidRPr="005E1119">
        <w:rPr>
          <w:rFonts w:ascii="Verdana" w:hAnsi="Verdana" w:cstheme="minorHAnsi"/>
          <w:bCs/>
          <w:sz w:val="20"/>
          <w:szCs w:val="20"/>
        </w:rPr>
        <w:t>esign is illustrated in Scheme S1</w:t>
      </w:r>
      <w:r w:rsidRPr="005E1119">
        <w:rPr>
          <w:rFonts w:ascii="Verdana" w:hAnsi="Verdana" w:cstheme="minorHAnsi"/>
          <w:bCs/>
          <w:sz w:val="20"/>
          <w:szCs w:val="20"/>
        </w:rPr>
        <w:t xml:space="preserve">. Blood and urine were collected immediately prior to the first treatment (Visit I, day 0). Patients were </w:t>
      </w:r>
      <w:r w:rsidR="004505A1" w:rsidRPr="005E1119">
        <w:rPr>
          <w:rFonts w:ascii="Verdana" w:hAnsi="Verdana" w:cstheme="minorHAnsi"/>
          <w:bCs/>
          <w:sz w:val="20"/>
          <w:szCs w:val="20"/>
        </w:rPr>
        <w:t xml:space="preserve">then </w:t>
      </w:r>
      <w:r w:rsidRPr="005E1119">
        <w:rPr>
          <w:rFonts w:ascii="Verdana" w:hAnsi="Verdana" w:cstheme="minorHAnsi"/>
          <w:bCs/>
          <w:sz w:val="20"/>
          <w:szCs w:val="20"/>
        </w:rPr>
        <w:t xml:space="preserve">treated for six weeks either with 500 mg metformin (Sandoz Pharmaceuticals AG, </w:t>
      </w:r>
      <w:proofErr w:type="spellStart"/>
      <w:r w:rsidRPr="005E1119">
        <w:rPr>
          <w:rFonts w:ascii="Verdana" w:hAnsi="Verdana" w:cstheme="minorHAnsi"/>
          <w:bCs/>
          <w:sz w:val="20"/>
          <w:szCs w:val="20"/>
        </w:rPr>
        <w:t>Rotkreuz</w:t>
      </w:r>
      <w:proofErr w:type="spellEnd"/>
      <w:r w:rsidRPr="005E1119">
        <w:rPr>
          <w:rFonts w:ascii="Verdana" w:hAnsi="Verdana" w:cstheme="minorHAnsi"/>
          <w:bCs/>
          <w:sz w:val="20"/>
          <w:szCs w:val="20"/>
        </w:rPr>
        <w:t xml:space="preserve">, Switzerland) thrice a day (MET Group) or with 5000 mg L-citrulline (L-citrulline drinking solution; </w:t>
      </w:r>
      <w:proofErr w:type="spellStart"/>
      <w:r w:rsidRPr="005E1119">
        <w:rPr>
          <w:rFonts w:ascii="Verdana" w:hAnsi="Verdana" w:cstheme="minorHAnsi"/>
          <w:bCs/>
          <w:sz w:val="20"/>
          <w:szCs w:val="20"/>
        </w:rPr>
        <w:t>Selectchemie</w:t>
      </w:r>
      <w:proofErr w:type="spellEnd"/>
      <w:r w:rsidRPr="005E1119">
        <w:rPr>
          <w:rFonts w:ascii="Verdana" w:hAnsi="Verdana" w:cstheme="minorHAnsi"/>
          <w:bCs/>
          <w:sz w:val="20"/>
          <w:szCs w:val="20"/>
        </w:rPr>
        <w:t xml:space="preserve"> </w:t>
      </w:r>
      <w:proofErr w:type="spellStart"/>
      <w:r w:rsidRPr="005E1119">
        <w:rPr>
          <w:rFonts w:ascii="Verdana" w:hAnsi="Verdana" w:cstheme="minorHAnsi"/>
          <w:bCs/>
          <w:sz w:val="20"/>
          <w:szCs w:val="20"/>
        </w:rPr>
        <w:t>Zuerich</w:t>
      </w:r>
      <w:proofErr w:type="spellEnd"/>
      <w:r w:rsidRPr="005E1119">
        <w:rPr>
          <w:rFonts w:ascii="Verdana" w:hAnsi="Verdana" w:cstheme="minorHAnsi"/>
          <w:bCs/>
          <w:sz w:val="20"/>
          <w:szCs w:val="20"/>
        </w:rPr>
        <w:t>, Switzerland) thrice a day (CITR Group). At the end of this period, blood and urine samples were collected (Visit II, 6 weeks). Then, patients received both drugs at the same time, i.e., 3 × 500 mg metformin + 3 × 5 g L-citrulline for 6 weeks of treatment. Analogous, blood, and urine samples were collected immediately after the end of the combined medication (Visit III, week 12). The study was performed at the University of Basel Children’s Hospital (UKBB) as described previously in detail</w:t>
      </w:r>
      <w:r w:rsidR="004505A1" w:rsidRPr="005E1119">
        <w:rPr>
          <w:rFonts w:ascii="Verdana" w:hAnsi="Verdana" w:cstheme="minorHAnsi"/>
          <w:bCs/>
          <w:sz w:val="20"/>
          <w:szCs w:val="20"/>
        </w:rPr>
        <w:t xml:space="preserve"> (Hafner et al. 2016; Hanff et al. 2018)</w:t>
      </w:r>
      <w:r w:rsidRPr="005E1119">
        <w:rPr>
          <w:rFonts w:ascii="Verdana" w:hAnsi="Verdana" w:cstheme="minorHAnsi"/>
          <w:bCs/>
          <w:sz w:val="20"/>
          <w:szCs w:val="20"/>
        </w:rPr>
        <w:t xml:space="preserve">. For the present study, serum and urine samples were available from 10 patients of the MET group and 9 patients from the CITR group for the measurement of metformin (Scheme </w:t>
      </w:r>
      <w:r w:rsidR="004505A1" w:rsidRPr="005E1119">
        <w:rPr>
          <w:rFonts w:ascii="Verdana" w:hAnsi="Verdana" w:cstheme="minorHAnsi"/>
          <w:bCs/>
          <w:sz w:val="20"/>
          <w:szCs w:val="20"/>
        </w:rPr>
        <w:t>S</w:t>
      </w:r>
      <w:r w:rsidRPr="005E1119">
        <w:rPr>
          <w:rFonts w:ascii="Verdana" w:hAnsi="Verdana" w:cstheme="minorHAnsi"/>
          <w:bCs/>
          <w:sz w:val="20"/>
          <w:szCs w:val="20"/>
        </w:rPr>
        <w:t>1).</w:t>
      </w:r>
    </w:p>
    <w:p w14:paraId="0FBE1239" w14:textId="1956556C" w:rsidR="00A34DAD" w:rsidRPr="005E1119" w:rsidRDefault="00E301A6" w:rsidP="00A34DAD">
      <w:pPr>
        <w:pStyle w:val="MDPI52figure"/>
        <w:rPr>
          <w:color w:val="auto"/>
        </w:rPr>
      </w:pPr>
      <w:r w:rsidRPr="005E1119">
        <w:rPr>
          <w:noProof/>
          <w:color w:val="auto"/>
          <w:lang w:val="de-DE" w:bidi="ar-SA"/>
        </w:rPr>
        <w:lastRenderedPageBreak/>
        <w:drawing>
          <wp:inline distT="0" distB="0" distL="0" distR="0" wp14:anchorId="2017DF83" wp14:editId="268900A6">
            <wp:extent cx="7143750" cy="4018360"/>
            <wp:effectExtent l="0" t="0" r="0" b="127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83909" cy="4040949"/>
                    </a:xfrm>
                    <a:prstGeom prst="rect">
                      <a:avLst/>
                    </a:prstGeom>
                  </pic:spPr>
                </pic:pic>
              </a:graphicData>
            </a:graphic>
          </wp:inline>
        </w:drawing>
      </w:r>
    </w:p>
    <w:p w14:paraId="6F1D9903" w14:textId="77777777" w:rsidR="00C17600" w:rsidRPr="005E1119" w:rsidRDefault="00C17600" w:rsidP="00400139">
      <w:pPr>
        <w:pStyle w:val="MDPI51figurecaption"/>
        <w:spacing w:line="480" w:lineRule="auto"/>
        <w:ind w:left="0"/>
        <w:jc w:val="both"/>
        <w:rPr>
          <w:rFonts w:ascii="Verdana" w:hAnsi="Verdana"/>
          <w:color w:val="auto"/>
          <w:sz w:val="20"/>
        </w:rPr>
      </w:pPr>
    </w:p>
    <w:p w14:paraId="09CDDCCB" w14:textId="66413866" w:rsidR="00A34DAD" w:rsidRPr="005E1119" w:rsidRDefault="00400139" w:rsidP="00400139">
      <w:pPr>
        <w:pStyle w:val="MDPI51figurecaption"/>
        <w:spacing w:line="480" w:lineRule="auto"/>
        <w:ind w:left="0"/>
        <w:jc w:val="both"/>
        <w:rPr>
          <w:rFonts w:ascii="Verdana" w:hAnsi="Verdana"/>
          <w:color w:val="auto"/>
          <w:sz w:val="20"/>
        </w:rPr>
      </w:pPr>
      <w:r w:rsidRPr="005E1119">
        <w:rPr>
          <w:rFonts w:ascii="Verdana" w:hAnsi="Verdana"/>
          <w:color w:val="auto"/>
          <w:sz w:val="20"/>
        </w:rPr>
        <w:t xml:space="preserve">Scheme </w:t>
      </w:r>
      <w:r w:rsidR="00D67AAE" w:rsidRPr="005E1119">
        <w:rPr>
          <w:rFonts w:ascii="Verdana" w:hAnsi="Verdana"/>
          <w:color w:val="auto"/>
          <w:sz w:val="20"/>
        </w:rPr>
        <w:t>S</w:t>
      </w:r>
      <w:r w:rsidRPr="005E1119">
        <w:rPr>
          <w:rFonts w:ascii="Verdana" w:hAnsi="Verdana"/>
          <w:color w:val="auto"/>
          <w:sz w:val="20"/>
        </w:rPr>
        <w:t>1</w:t>
      </w:r>
      <w:r w:rsidR="00A34DAD" w:rsidRPr="005E1119">
        <w:rPr>
          <w:rFonts w:ascii="Verdana" w:hAnsi="Verdana"/>
          <w:color w:val="auto"/>
          <w:sz w:val="20"/>
        </w:rPr>
        <w:t>.</w:t>
      </w:r>
      <w:r w:rsidR="00A34DAD" w:rsidRPr="005E1119">
        <w:rPr>
          <w:rFonts w:ascii="Verdana" w:hAnsi="Verdana"/>
          <w:b/>
          <w:color w:val="auto"/>
          <w:sz w:val="20"/>
        </w:rPr>
        <w:t xml:space="preserve"> </w:t>
      </w:r>
      <w:r w:rsidR="00A34DAD" w:rsidRPr="005E1119">
        <w:rPr>
          <w:rFonts w:ascii="Verdana" w:hAnsi="Verdana"/>
          <w:color w:val="auto"/>
          <w:sz w:val="20"/>
        </w:rPr>
        <w:t>Study design on the effects of metformin and L-citrulline (for six weeks) and their combination (for six weeks) in patients with Becker muscular dystrophy (BMD). For more details, see the text</w:t>
      </w:r>
      <w:r w:rsidRPr="005E1119">
        <w:rPr>
          <w:rFonts w:ascii="Verdana" w:hAnsi="Verdana"/>
          <w:color w:val="auto"/>
          <w:sz w:val="20"/>
        </w:rPr>
        <w:t xml:space="preserve"> above</w:t>
      </w:r>
      <w:r w:rsidR="00A34DAD" w:rsidRPr="005E1119">
        <w:rPr>
          <w:rFonts w:ascii="Verdana" w:hAnsi="Verdana"/>
          <w:color w:val="auto"/>
          <w:sz w:val="20"/>
        </w:rPr>
        <w:t>.</w:t>
      </w:r>
    </w:p>
    <w:p w14:paraId="241FD529" w14:textId="77777777" w:rsidR="00C17600" w:rsidRPr="005E1119" w:rsidRDefault="00C17600" w:rsidP="00EE7C52">
      <w:pPr>
        <w:spacing w:line="480" w:lineRule="auto"/>
        <w:ind w:firstLine="720"/>
        <w:jc w:val="both"/>
        <w:rPr>
          <w:rFonts w:ascii="Verdana" w:hAnsi="Verdana"/>
          <w:sz w:val="20"/>
          <w:szCs w:val="20"/>
          <w:lang w:val="en-US"/>
        </w:rPr>
      </w:pPr>
    </w:p>
    <w:p w14:paraId="7B86FCF4" w14:textId="711F8A7D" w:rsidR="005B6BA2" w:rsidRPr="005E1119" w:rsidRDefault="00EE7C52" w:rsidP="004B16DE">
      <w:pPr>
        <w:spacing w:line="480" w:lineRule="auto"/>
        <w:ind w:firstLine="720"/>
        <w:jc w:val="both"/>
        <w:rPr>
          <w:rFonts w:ascii="Verdana" w:hAnsi="Verdana"/>
          <w:sz w:val="20"/>
          <w:szCs w:val="20"/>
          <w:lang w:val="en-US"/>
        </w:rPr>
      </w:pPr>
      <w:r w:rsidRPr="005E1119">
        <w:rPr>
          <w:rFonts w:ascii="Verdana" w:hAnsi="Verdana"/>
          <w:sz w:val="20"/>
          <w:szCs w:val="20"/>
          <w:lang w:val="en-US"/>
        </w:rPr>
        <w:lastRenderedPageBreak/>
        <w:t xml:space="preserve">In serum samples of untreated BMD patients (Hafner et al. 2016), we newly determined Pro and OH-Pro and calculated their molar ratio. There were no statistically significant differences for OH-Pro, Pro and the Pro/OH-Pro molar ratio between the 3 visits in the study groups (data not shown). At baseline (Visit I), median values were 8.52 µM for OH-Pro, 181 µM for Pro, and 23.9 for the Pro/OH-Pro ratio. These data and previous results (Hanff et al. 2018) suggest that BMD patients have unaltered amino acid profiles including Pro and OH-Pro. The present data also suggest that metformin (3×500 mg per day), L-citrulline (3×5000 mg per day) and their combination does not change the Pro/OH-Pro balance in the BMD patients. </w:t>
      </w:r>
    </w:p>
    <w:p w14:paraId="51BE84EE" w14:textId="77777777" w:rsidR="005B6BA2" w:rsidRPr="005E1119" w:rsidRDefault="005B6BA2" w:rsidP="00E22E9F">
      <w:pPr>
        <w:spacing w:line="480" w:lineRule="auto"/>
        <w:jc w:val="both"/>
        <w:rPr>
          <w:rFonts w:ascii="Verdana" w:hAnsi="Verdana"/>
          <w:sz w:val="20"/>
          <w:szCs w:val="20"/>
          <w:lang w:val="en-US"/>
        </w:rPr>
      </w:pPr>
    </w:p>
    <w:sectPr w:rsidR="005B6BA2" w:rsidRPr="005E1119" w:rsidSect="00C25BA9">
      <w:footerReference w:type="default" r:id="rId1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75AD4" w14:textId="77777777" w:rsidR="00402565" w:rsidRDefault="00402565" w:rsidP="00CE3212">
      <w:pPr>
        <w:spacing w:after="0" w:line="240" w:lineRule="auto"/>
      </w:pPr>
      <w:r>
        <w:separator/>
      </w:r>
    </w:p>
  </w:endnote>
  <w:endnote w:type="continuationSeparator" w:id="0">
    <w:p w14:paraId="1E475F26" w14:textId="77777777" w:rsidR="00402565" w:rsidRDefault="00402565" w:rsidP="00C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713238"/>
      <w:docPartObj>
        <w:docPartGallery w:val="Page Numbers (Bottom of Page)"/>
        <w:docPartUnique/>
      </w:docPartObj>
    </w:sdtPr>
    <w:sdtEndPr/>
    <w:sdtContent>
      <w:p w14:paraId="56641110" w14:textId="00465CCE" w:rsidR="00EE7C52" w:rsidRDefault="00EE7C52">
        <w:pPr>
          <w:pStyle w:val="Footer"/>
          <w:jc w:val="right"/>
        </w:pPr>
        <w:r>
          <w:fldChar w:fldCharType="begin"/>
        </w:r>
        <w:r>
          <w:instrText>PAGE   \* MERGEFORMAT</w:instrText>
        </w:r>
        <w:r>
          <w:fldChar w:fldCharType="separate"/>
        </w:r>
        <w:r w:rsidR="003C4641">
          <w:rPr>
            <w:noProof/>
          </w:rPr>
          <w:t>6</w:t>
        </w:r>
        <w:r>
          <w:fldChar w:fldCharType="end"/>
        </w:r>
      </w:p>
    </w:sdtContent>
  </w:sdt>
  <w:p w14:paraId="08E2E9F9" w14:textId="77777777" w:rsidR="00EE7C52" w:rsidRDefault="00EE7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32891" w14:textId="77777777" w:rsidR="00402565" w:rsidRDefault="00402565" w:rsidP="00CE3212">
      <w:pPr>
        <w:spacing w:after="0" w:line="240" w:lineRule="auto"/>
      </w:pPr>
      <w:r>
        <w:separator/>
      </w:r>
    </w:p>
  </w:footnote>
  <w:footnote w:type="continuationSeparator" w:id="0">
    <w:p w14:paraId="4F7990CE" w14:textId="77777777" w:rsidR="00402565" w:rsidRDefault="00402565" w:rsidP="00CE32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F1B78"/>
    <w:multiLevelType w:val="hybridMultilevel"/>
    <w:tmpl w:val="1794D5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56357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D70"/>
    <w:rsid w:val="00014EC8"/>
    <w:rsid w:val="00026784"/>
    <w:rsid w:val="00031FF4"/>
    <w:rsid w:val="00065F35"/>
    <w:rsid w:val="000945E1"/>
    <w:rsid w:val="0009464A"/>
    <w:rsid w:val="000C0A1C"/>
    <w:rsid w:val="000C31FE"/>
    <w:rsid w:val="000D7E89"/>
    <w:rsid w:val="00102600"/>
    <w:rsid w:val="001040B6"/>
    <w:rsid w:val="00114F44"/>
    <w:rsid w:val="00122BC1"/>
    <w:rsid w:val="001420D3"/>
    <w:rsid w:val="001735A9"/>
    <w:rsid w:val="0017773D"/>
    <w:rsid w:val="00181343"/>
    <w:rsid w:val="00181D5B"/>
    <w:rsid w:val="00186D9B"/>
    <w:rsid w:val="001B5EB6"/>
    <w:rsid w:val="001E6063"/>
    <w:rsid w:val="00250109"/>
    <w:rsid w:val="0025569D"/>
    <w:rsid w:val="002B1CF6"/>
    <w:rsid w:val="002E53E2"/>
    <w:rsid w:val="0030516C"/>
    <w:rsid w:val="00326C59"/>
    <w:rsid w:val="00371917"/>
    <w:rsid w:val="00384233"/>
    <w:rsid w:val="003B4446"/>
    <w:rsid w:val="003C4641"/>
    <w:rsid w:val="003D6425"/>
    <w:rsid w:val="003F51E9"/>
    <w:rsid w:val="00400139"/>
    <w:rsid w:val="00402565"/>
    <w:rsid w:val="0042662F"/>
    <w:rsid w:val="00432DC4"/>
    <w:rsid w:val="004424E1"/>
    <w:rsid w:val="004505A1"/>
    <w:rsid w:val="00473AD1"/>
    <w:rsid w:val="00484EF8"/>
    <w:rsid w:val="004A0A90"/>
    <w:rsid w:val="004B16DE"/>
    <w:rsid w:val="004D1BD4"/>
    <w:rsid w:val="004D33F0"/>
    <w:rsid w:val="004E73AC"/>
    <w:rsid w:val="004F1DC0"/>
    <w:rsid w:val="00505E8E"/>
    <w:rsid w:val="0054019B"/>
    <w:rsid w:val="00546B88"/>
    <w:rsid w:val="00547B1B"/>
    <w:rsid w:val="0056547E"/>
    <w:rsid w:val="00597BED"/>
    <w:rsid w:val="005B6BA2"/>
    <w:rsid w:val="005E1119"/>
    <w:rsid w:val="005E3D19"/>
    <w:rsid w:val="0060674C"/>
    <w:rsid w:val="0061761C"/>
    <w:rsid w:val="0062601B"/>
    <w:rsid w:val="006275F2"/>
    <w:rsid w:val="0063560A"/>
    <w:rsid w:val="00643AC8"/>
    <w:rsid w:val="00684CD1"/>
    <w:rsid w:val="006D748E"/>
    <w:rsid w:val="006F3F87"/>
    <w:rsid w:val="00722DDC"/>
    <w:rsid w:val="00746037"/>
    <w:rsid w:val="00765D62"/>
    <w:rsid w:val="007D22E2"/>
    <w:rsid w:val="007E006C"/>
    <w:rsid w:val="007E06CC"/>
    <w:rsid w:val="007E7DC0"/>
    <w:rsid w:val="007F4F5A"/>
    <w:rsid w:val="007F7D74"/>
    <w:rsid w:val="00805B84"/>
    <w:rsid w:val="008156A0"/>
    <w:rsid w:val="00853F97"/>
    <w:rsid w:val="00863280"/>
    <w:rsid w:val="00882D70"/>
    <w:rsid w:val="008C1C5C"/>
    <w:rsid w:val="00925A0A"/>
    <w:rsid w:val="009760DA"/>
    <w:rsid w:val="00976B53"/>
    <w:rsid w:val="00980CF9"/>
    <w:rsid w:val="0098615F"/>
    <w:rsid w:val="009C7898"/>
    <w:rsid w:val="009C7F01"/>
    <w:rsid w:val="009D52DC"/>
    <w:rsid w:val="00A10930"/>
    <w:rsid w:val="00A25715"/>
    <w:rsid w:val="00A34DAD"/>
    <w:rsid w:val="00A36E01"/>
    <w:rsid w:val="00A4167D"/>
    <w:rsid w:val="00A50732"/>
    <w:rsid w:val="00A7718F"/>
    <w:rsid w:val="00A829B2"/>
    <w:rsid w:val="00B80891"/>
    <w:rsid w:val="00B85E8F"/>
    <w:rsid w:val="00BD03BB"/>
    <w:rsid w:val="00BE0D5B"/>
    <w:rsid w:val="00BF0E19"/>
    <w:rsid w:val="00C071B4"/>
    <w:rsid w:val="00C15ECE"/>
    <w:rsid w:val="00C17600"/>
    <w:rsid w:val="00C25BA9"/>
    <w:rsid w:val="00C4540B"/>
    <w:rsid w:val="00C46830"/>
    <w:rsid w:val="00C522A1"/>
    <w:rsid w:val="00CE3212"/>
    <w:rsid w:val="00CF7E00"/>
    <w:rsid w:val="00D54504"/>
    <w:rsid w:val="00D67AAE"/>
    <w:rsid w:val="00D81141"/>
    <w:rsid w:val="00DA2E45"/>
    <w:rsid w:val="00DE58C7"/>
    <w:rsid w:val="00DF69E0"/>
    <w:rsid w:val="00E22E9F"/>
    <w:rsid w:val="00E301A6"/>
    <w:rsid w:val="00E554DF"/>
    <w:rsid w:val="00E55D8D"/>
    <w:rsid w:val="00EC6C02"/>
    <w:rsid w:val="00ED633B"/>
    <w:rsid w:val="00EE7C52"/>
    <w:rsid w:val="00EF1AAB"/>
    <w:rsid w:val="00EF4B6B"/>
    <w:rsid w:val="00F0187A"/>
    <w:rsid w:val="00F91D83"/>
    <w:rsid w:val="00FD4200"/>
    <w:rsid w:val="00FD5D83"/>
    <w:rsid w:val="00FE51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9018C"/>
  <w15:chartTrackingRefBased/>
  <w15:docId w15:val="{23CAECBE-513B-4771-9ED9-E9B1E863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25BA9"/>
    <w:pPr>
      <w:spacing w:after="0" w:line="240" w:lineRule="auto"/>
    </w:pPr>
    <w:rPr>
      <w:lang w:val="en-US"/>
    </w:rPr>
  </w:style>
  <w:style w:type="character" w:customStyle="1" w:styleId="NoSpacingChar">
    <w:name w:val="No Spacing Char"/>
    <w:link w:val="NoSpacing"/>
    <w:uiPriority w:val="1"/>
    <w:rsid w:val="00C25BA9"/>
    <w:rPr>
      <w:lang w:val="en-US"/>
    </w:rPr>
  </w:style>
  <w:style w:type="table" w:styleId="TableGrid">
    <w:name w:val="Table Grid"/>
    <w:basedOn w:val="TableNormal"/>
    <w:uiPriority w:val="59"/>
    <w:rsid w:val="00C25B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5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5BA9"/>
    <w:rPr>
      <w:rFonts w:ascii="Tahoma" w:hAnsi="Tahoma" w:cs="Tahoma"/>
      <w:sz w:val="16"/>
      <w:szCs w:val="16"/>
    </w:rPr>
  </w:style>
  <w:style w:type="table" w:styleId="GridTable1Light-Accent1">
    <w:name w:val="Grid Table 1 Light Accent 1"/>
    <w:basedOn w:val="TableNormal"/>
    <w:uiPriority w:val="46"/>
    <w:rsid w:val="00C4540B"/>
    <w:pPr>
      <w:spacing w:after="0" w:line="240" w:lineRule="auto"/>
    </w:pPr>
    <w:rPr>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B5EB6"/>
    <w:rPr>
      <w:sz w:val="16"/>
      <w:szCs w:val="16"/>
    </w:rPr>
  </w:style>
  <w:style w:type="paragraph" w:styleId="CommentText">
    <w:name w:val="annotation text"/>
    <w:basedOn w:val="Normal"/>
    <w:link w:val="CommentTextChar"/>
    <w:uiPriority w:val="99"/>
    <w:unhideWhenUsed/>
    <w:rsid w:val="001B5EB6"/>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1B5EB6"/>
    <w:rPr>
      <w:sz w:val="20"/>
      <w:szCs w:val="20"/>
      <w:lang w:val="en-US"/>
    </w:rPr>
  </w:style>
  <w:style w:type="paragraph" w:styleId="ListParagraph">
    <w:name w:val="List Paragraph"/>
    <w:basedOn w:val="Normal"/>
    <w:uiPriority w:val="34"/>
    <w:qFormat/>
    <w:rsid w:val="00D81141"/>
    <w:pPr>
      <w:ind w:left="720"/>
      <w:contextualSpacing/>
    </w:pPr>
  </w:style>
  <w:style w:type="paragraph" w:customStyle="1" w:styleId="MDPI51figurecaption">
    <w:name w:val="MDPI_5.1_figure_caption"/>
    <w:qFormat/>
    <w:rsid w:val="00A34DAD"/>
    <w:pPr>
      <w:adjustRightInd w:val="0"/>
      <w:snapToGrid w:val="0"/>
      <w:spacing w:before="120" w:after="240" w:line="228" w:lineRule="auto"/>
      <w:ind w:left="2608"/>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A34DAD"/>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styleId="Header">
    <w:name w:val="header"/>
    <w:basedOn w:val="Normal"/>
    <w:link w:val="HeaderChar"/>
    <w:uiPriority w:val="99"/>
    <w:unhideWhenUsed/>
    <w:rsid w:val="00CE32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3212"/>
  </w:style>
  <w:style w:type="paragraph" w:styleId="Footer">
    <w:name w:val="footer"/>
    <w:basedOn w:val="Normal"/>
    <w:link w:val="FooterChar"/>
    <w:uiPriority w:val="99"/>
    <w:unhideWhenUsed/>
    <w:rsid w:val="00CE32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3212"/>
  </w:style>
  <w:style w:type="paragraph" w:styleId="CommentSubject">
    <w:name w:val="annotation subject"/>
    <w:basedOn w:val="CommentText"/>
    <w:next w:val="CommentText"/>
    <w:link w:val="CommentSubjectChar"/>
    <w:uiPriority w:val="99"/>
    <w:semiHidden/>
    <w:unhideWhenUsed/>
    <w:rsid w:val="00114F44"/>
    <w:pPr>
      <w:spacing w:after="160"/>
    </w:pPr>
    <w:rPr>
      <w:b/>
      <w:bCs/>
      <w:lang w:val="de-DE"/>
    </w:rPr>
  </w:style>
  <w:style w:type="character" w:customStyle="1" w:styleId="CommentSubjectChar">
    <w:name w:val="Comment Subject Char"/>
    <w:basedOn w:val="CommentTextChar"/>
    <w:link w:val="CommentSubject"/>
    <w:uiPriority w:val="99"/>
    <w:semiHidden/>
    <w:rsid w:val="00114F44"/>
    <w:rPr>
      <w:b/>
      <w:bCs/>
      <w:sz w:val="20"/>
      <w:szCs w:val="20"/>
      <w:lang w:val="en-US"/>
    </w:rPr>
  </w:style>
  <w:style w:type="paragraph" w:styleId="Revision">
    <w:name w:val="Revision"/>
    <w:hidden/>
    <w:uiPriority w:val="99"/>
    <w:semiHidden/>
    <w:rsid w:val="00114F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04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329F8-1923-45C1-AF3C-EF055916D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790</Words>
  <Characters>4414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MHH</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Tsikas, Dimitrios Prof. Dr.</dc:creator>
  <cp:keywords/>
  <dc:description/>
  <cp:lastModifiedBy>Ananthajothi Chithiraikani</cp:lastModifiedBy>
  <cp:revision>4</cp:revision>
  <cp:lastPrinted>2023-04-03T14:17:00Z</cp:lastPrinted>
  <dcterms:created xsi:type="dcterms:W3CDTF">2024-01-30T10:51:00Z</dcterms:created>
  <dcterms:modified xsi:type="dcterms:W3CDTF">2024-03-04T16:44:00Z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7e38bfbd36ab39c29bb6d36578602e4869da71297cdff307a2824e31c89ae952</vt:lpwstr>
  </property>
</Properties>
</file>