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70A3" w14:textId="77777777" w:rsidR="007B4936" w:rsidRPr="002339AF" w:rsidRDefault="00A7150A" w:rsidP="007B49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S2 </w:t>
      </w:r>
      <w:r w:rsidR="007B4936" w:rsidRPr="002339AF">
        <w:rPr>
          <w:rFonts w:ascii="Times New Roman" w:hAnsi="Times New Roman" w:cs="Times New Roman"/>
          <w:color w:val="000000" w:themeColor="text1"/>
          <w:sz w:val="24"/>
          <w:szCs w:val="24"/>
        </w:rPr>
        <w:t>Characteristics of included studies (Category B and C)</w:t>
      </w:r>
    </w:p>
    <w:p w14:paraId="2C78DD81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</w:p>
    <w:p w14:paraId="33D671DC" w14:textId="60BEA22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Study Name: Bucci et al.1990 (No.1)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C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6813D5DE" w14:textId="77777777" w:rsidTr="006700A8">
        <w:tc>
          <w:tcPr>
            <w:tcW w:w="2689" w:type="dxa"/>
          </w:tcPr>
          <w:p w14:paraId="44DAD02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197029B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Open-label, dose-escalation study, single dose</w:t>
            </w:r>
          </w:p>
          <w:p w14:paraId="7EFDC24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(washout 3weeks)</w:t>
            </w:r>
          </w:p>
        </w:tc>
      </w:tr>
      <w:tr w:rsidR="007B4936" w:rsidRPr="002339AF" w14:paraId="6E4E31DA" w14:textId="77777777" w:rsidTr="006700A8">
        <w:tc>
          <w:tcPr>
            <w:tcW w:w="2689" w:type="dxa"/>
          </w:tcPr>
          <w:p w14:paraId="5C00940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1D3B4CA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Bodybuilder, n= 12 (Male: 9, Female:3) </w:t>
            </w:r>
          </w:p>
          <w:p w14:paraId="06F8451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M 28 yrs, F 34 yrs</w:t>
            </w:r>
          </w:p>
          <w:p w14:paraId="7D7E389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M 74.7 kg, F 58.2 kg</w:t>
            </w:r>
          </w:p>
        </w:tc>
      </w:tr>
      <w:tr w:rsidR="007B4936" w:rsidRPr="002339AF" w14:paraId="3E5BCE8C" w14:textId="77777777" w:rsidTr="006700A8">
        <w:tc>
          <w:tcPr>
            <w:tcW w:w="2689" w:type="dxa"/>
          </w:tcPr>
          <w:p w14:paraId="48DB642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239E95B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15E2945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L-Orn HCL 40, 100, 170 mg/kg</w:t>
            </w:r>
          </w:p>
          <w:p w14:paraId="306218B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none</w:t>
            </w:r>
          </w:p>
        </w:tc>
      </w:tr>
      <w:tr w:rsidR="007B4936" w:rsidRPr="002339AF" w14:paraId="3C32DC15" w14:textId="77777777" w:rsidTr="006700A8">
        <w:tc>
          <w:tcPr>
            <w:tcW w:w="2689" w:type="dxa"/>
          </w:tcPr>
          <w:p w14:paraId="630F9A1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6896436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Blood sample:</w:t>
            </w:r>
          </w:p>
          <w:p w14:paraId="67A4E6B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serum L-Orn conc., serum growth factor conc.</w:t>
            </w:r>
          </w:p>
        </w:tc>
      </w:tr>
      <w:tr w:rsidR="007B4936" w:rsidRPr="002339AF" w14:paraId="2A0C8170" w14:textId="77777777" w:rsidTr="006700A8">
        <w:tc>
          <w:tcPr>
            <w:tcW w:w="2689" w:type="dxa"/>
          </w:tcPr>
          <w:p w14:paraId="0631EBE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44346B7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single 170 mg/kg dose caused gastrointestinal symptoms in all of them. The authors suggest that even athletes should not receive a single dose of 170 mg/kg.</w:t>
            </w:r>
          </w:p>
        </w:tc>
      </w:tr>
      <w:tr w:rsidR="007B4936" w:rsidRPr="002339AF" w14:paraId="7874A489" w14:textId="77777777" w:rsidTr="006700A8">
        <w:tc>
          <w:tcPr>
            <w:tcW w:w="8488" w:type="dxa"/>
            <w:gridSpan w:val="3"/>
          </w:tcPr>
          <w:p w14:paraId="3CCE762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797DFE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0DE2C32A" w14:textId="77777777" w:rsidTr="006700A8">
        <w:tc>
          <w:tcPr>
            <w:tcW w:w="2689" w:type="dxa"/>
          </w:tcPr>
          <w:p w14:paraId="2DD907E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7A1093D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69055D8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6DCEB754" w14:textId="77777777" w:rsidTr="006700A8">
        <w:tc>
          <w:tcPr>
            <w:tcW w:w="2689" w:type="dxa"/>
          </w:tcPr>
          <w:p w14:paraId="4F65ED09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144356C0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7663CD7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65DD8701" w14:textId="77777777" w:rsidTr="006700A8">
        <w:tc>
          <w:tcPr>
            <w:tcW w:w="2689" w:type="dxa"/>
          </w:tcPr>
          <w:p w14:paraId="2E5C150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1D9F0BE7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7998616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4A083279" w14:textId="77777777" w:rsidTr="006700A8">
        <w:tc>
          <w:tcPr>
            <w:tcW w:w="2689" w:type="dxa"/>
          </w:tcPr>
          <w:p w14:paraId="7E91226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20E2B37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340BF6C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51468AD5" w14:textId="77777777" w:rsidTr="006700A8">
        <w:tc>
          <w:tcPr>
            <w:tcW w:w="2689" w:type="dxa"/>
          </w:tcPr>
          <w:p w14:paraId="37852C8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0B0A8925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2E3C103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46E3361D" w14:textId="77777777" w:rsidTr="006700A8">
        <w:tc>
          <w:tcPr>
            <w:tcW w:w="2689" w:type="dxa"/>
          </w:tcPr>
          <w:p w14:paraId="1A48F57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7BFD4871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3ED1071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The reason for the Dropout is clearly stated. </w:t>
            </w:r>
          </w:p>
          <w:p w14:paraId="7409064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1) Reasons not related to the study: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</w:t>
            </w:r>
          </w:p>
          <w:p w14:paraId="1943536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2) Protocol breaches: 3</w:t>
            </w:r>
          </w:p>
        </w:tc>
      </w:tr>
      <w:tr w:rsidR="007B4936" w:rsidRPr="002339AF" w14:paraId="1D3C8AB6" w14:textId="77777777" w:rsidTr="006700A8">
        <w:tc>
          <w:tcPr>
            <w:tcW w:w="2689" w:type="dxa"/>
          </w:tcPr>
          <w:p w14:paraId="159FCA0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Selective reporting </w:t>
            </w:r>
          </w:p>
          <w:p w14:paraId="2E156F8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0764DF8C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43E0AC3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59E583FC" w14:textId="77777777" w:rsidTr="006700A8">
        <w:tc>
          <w:tcPr>
            <w:tcW w:w="2689" w:type="dxa"/>
          </w:tcPr>
          <w:p w14:paraId="36A226D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05B8947F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15257AD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noted</w:t>
            </w:r>
          </w:p>
        </w:tc>
      </w:tr>
    </w:tbl>
    <w:p w14:paraId="55052F24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</w:p>
    <w:p w14:paraId="42EE54B1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  <w:br w:type="page"/>
      </w:r>
    </w:p>
    <w:p w14:paraId="4C33D142" w14:textId="6A2C193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Study Name: </w:t>
      </w:r>
      <w:proofErr w:type="spellStart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Cynober</w:t>
      </w:r>
      <w:proofErr w:type="spellEnd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et al.1990 (Continued) (No.13)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27AAEAF9" w14:textId="77777777" w:rsidTr="006700A8">
        <w:tc>
          <w:tcPr>
            <w:tcW w:w="2689" w:type="dxa"/>
          </w:tcPr>
          <w:p w14:paraId="7AEFAB5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578D04B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Open-label, crossover study, single dose</w:t>
            </w:r>
          </w:p>
          <w:p w14:paraId="57F9DD4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(washout 15days)</w:t>
            </w:r>
          </w:p>
        </w:tc>
      </w:tr>
      <w:tr w:rsidR="007B4936" w:rsidRPr="002339AF" w14:paraId="4E2D929B" w14:textId="77777777" w:rsidTr="006700A8">
        <w:tc>
          <w:tcPr>
            <w:tcW w:w="2689" w:type="dxa"/>
          </w:tcPr>
          <w:p w14:paraId="630527C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57D4B90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6 healthy subjects(male:6)</w:t>
            </w:r>
          </w:p>
          <w:p w14:paraId="16CB9F1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28±1 yrs.</w:t>
            </w:r>
          </w:p>
          <w:p w14:paraId="1CA3ACE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weight:73±2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㎏</w:t>
            </w:r>
          </w:p>
        </w:tc>
      </w:tr>
      <w:tr w:rsidR="007B4936" w:rsidRPr="002339AF" w14:paraId="53E5BDCA" w14:textId="77777777" w:rsidTr="006700A8">
        <w:tc>
          <w:tcPr>
            <w:tcW w:w="2689" w:type="dxa"/>
          </w:tcPr>
          <w:p w14:paraId="455E18F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45F1126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powder each diluted in 200 ml of water</w:t>
            </w:r>
          </w:p>
          <w:p w14:paraId="4C5BBC4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Treatment:10g of OKG hydrochloride(ORN6.4g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、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αKG 3.6g), </w:t>
            </w:r>
          </w:p>
          <w:p w14:paraId="7651E45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6.4g ornithine hydrochloride, 3.6gα-ketoglutarate calcium salt</w:t>
            </w:r>
          </w:p>
          <w:p w14:paraId="3EB2294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none</w:t>
            </w:r>
          </w:p>
        </w:tc>
      </w:tr>
      <w:tr w:rsidR="007B4936" w:rsidRPr="002339AF" w14:paraId="02707AAF" w14:textId="77777777" w:rsidTr="006700A8">
        <w:tc>
          <w:tcPr>
            <w:tcW w:w="2689" w:type="dxa"/>
          </w:tcPr>
          <w:p w14:paraId="2FAECF0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6049989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Blood sample (plasma amino acid, plasmaαKG, insulin, glucagon), Urine (urinary elimination of ORN, glutamine, citrulline), Hormone (plasma insulin)</w:t>
            </w:r>
          </w:p>
        </w:tc>
      </w:tr>
      <w:tr w:rsidR="007B4936" w:rsidRPr="002339AF" w14:paraId="294D0D44" w14:textId="77777777" w:rsidTr="006700A8">
        <w:tc>
          <w:tcPr>
            <w:tcW w:w="2689" w:type="dxa"/>
          </w:tcPr>
          <w:p w14:paraId="301F2F2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376142D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of the subjects suffered nausea or diarrhea</w:t>
            </w:r>
          </w:p>
        </w:tc>
      </w:tr>
      <w:tr w:rsidR="007B4936" w:rsidRPr="002339AF" w14:paraId="0441A621" w14:textId="77777777" w:rsidTr="006700A8">
        <w:tc>
          <w:tcPr>
            <w:tcW w:w="8488" w:type="dxa"/>
            <w:gridSpan w:val="3"/>
          </w:tcPr>
          <w:p w14:paraId="0C02AC2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D93A58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70E5E0A0" w14:textId="77777777" w:rsidTr="006700A8">
        <w:tc>
          <w:tcPr>
            <w:tcW w:w="2689" w:type="dxa"/>
          </w:tcPr>
          <w:p w14:paraId="658EE60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361C650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7A5D85E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0BE8B007" w14:textId="77777777" w:rsidTr="006700A8">
        <w:tc>
          <w:tcPr>
            <w:tcW w:w="2689" w:type="dxa"/>
          </w:tcPr>
          <w:p w14:paraId="3DE75CE0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6FE2D5D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6C336CF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674649DA" w14:textId="77777777" w:rsidTr="006700A8">
        <w:tc>
          <w:tcPr>
            <w:tcW w:w="2689" w:type="dxa"/>
          </w:tcPr>
          <w:p w14:paraId="78B5C419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7030DED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1DE14CA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4D7F8D64" w14:textId="77777777" w:rsidTr="006700A8">
        <w:tc>
          <w:tcPr>
            <w:tcW w:w="2689" w:type="dxa"/>
          </w:tcPr>
          <w:p w14:paraId="0E8C3053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3326AADB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6D75711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0F9C430E" w14:textId="77777777" w:rsidTr="006700A8">
        <w:tc>
          <w:tcPr>
            <w:tcW w:w="2689" w:type="dxa"/>
          </w:tcPr>
          <w:p w14:paraId="316004AE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4BA04866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5F064BF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7772DF70" w14:textId="77777777" w:rsidTr="006700A8">
        <w:tc>
          <w:tcPr>
            <w:tcW w:w="2689" w:type="dxa"/>
          </w:tcPr>
          <w:p w14:paraId="78C5362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40BAFCE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60855DF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subjects completed the study protocol scheduled.</w:t>
            </w:r>
          </w:p>
        </w:tc>
      </w:tr>
      <w:tr w:rsidR="007B4936" w:rsidRPr="002339AF" w14:paraId="188C105D" w14:textId="77777777" w:rsidTr="006700A8">
        <w:tc>
          <w:tcPr>
            <w:tcW w:w="2689" w:type="dxa"/>
          </w:tcPr>
          <w:p w14:paraId="0CF2BE8E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Selective reporting </w:t>
            </w:r>
          </w:p>
          <w:p w14:paraId="57851298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(reporting bias)</w:t>
            </w:r>
          </w:p>
        </w:tc>
        <w:tc>
          <w:tcPr>
            <w:tcW w:w="2126" w:type="dxa"/>
            <w:vAlign w:val="center"/>
          </w:tcPr>
          <w:p w14:paraId="2727363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Low</w:t>
            </w:r>
          </w:p>
        </w:tc>
        <w:tc>
          <w:tcPr>
            <w:tcW w:w="3673" w:type="dxa"/>
          </w:tcPr>
          <w:p w14:paraId="2657FCD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All data collection was done according to the study plan and all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results were reported.</w:t>
            </w:r>
          </w:p>
        </w:tc>
      </w:tr>
      <w:tr w:rsidR="007B4936" w:rsidRPr="002339AF" w14:paraId="478143B9" w14:textId="77777777" w:rsidTr="006700A8">
        <w:tc>
          <w:tcPr>
            <w:tcW w:w="2689" w:type="dxa"/>
          </w:tcPr>
          <w:p w14:paraId="505C791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Other bias</w:t>
            </w:r>
          </w:p>
        </w:tc>
        <w:tc>
          <w:tcPr>
            <w:tcW w:w="2126" w:type="dxa"/>
            <w:vAlign w:val="center"/>
          </w:tcPr>
          <w:p w14:paraId="069ED8EE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16F4C6F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noted</w:t>
            </w:r>
          </w:p>
        </w:tc>
      </w:tr>
    </w:tbl>
    <w:p w14:paraId="450FFC2E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</w:p>
    <w:p w14:paraId="114A40BD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  <w:br w:type="page"/>
      </w:r>
    </w:p>
    <w:p w14:paraId="68A245D6" w14:textId="7CF0FC03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>Study Name: Fukuda et al. 2018 (Continued) (No.9)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0DCBB17A" w14:textId="77777777" w:rsidTr="006700A8">
        <w:tc>
          <w:tcPr>
            <w:tcW w:w="2689" w:type="dxa"/>
          </w:tcPr>
          <w:p w14:paraId="345DFEE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1508CDC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randomized, double-blind and placebo-controlled crossover study</w:t>
            </w:r>
          </w:p>
        </w:tc>
      </w:tr>
      <w:tr w:rsidR="007B4936" w:rsidRPr="002339AF" w14:paraId="64FDD13E" w14:textId="77777777" w:rsidTr="006700A8">
        <w:tc>
          <w:tcPr>
            <w:tcW w:w="2689" w:type="dxa"/>
          </w:tcPr>
          <w:p w14:paraId="5A6448C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54498BC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28 healthy adults (Male:22, Female:6)</w:t>
            </w:r>
          </w:p>
          <w:p w14:paraId="2484510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Aged from 24 to 61 yrs</w:t>
            </w:r>
          </w:p>
          <w:p w14:paraId="0326079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Detectable levels of melatonin in saliva(&gt;7pg/ml) or had rhythmicity of saliva melatonin levels</w:t>
            </w:r>
          </w:p>
        </w:tc>
      </w:tr>
      <w:tr w:rsidR="007B4936" w:rsidRPr="002339AF" w14:paraId="76972E88" w14:textId="77777777" w:rsidTr="006700A8">
        <w:tc>
          <w:tcPr>
            <w:tcW w:w="2689" w:type="dxa"/>
          </w:tcPr>
          <w:p w14:paraId="785129D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5CBFFB2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4C13927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L-Orn HCl 500 mg (L-Orn 400mg), cellulose 160 mg</w:t>
            </w:r>
          </w:p>
          <w:p w14:paraId="25E5A92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cellulose 560 mg</w:t>
            </w:r>
          </w:p>
        </w:tc>
      </w:tr>
      <w:tr w:rsidR="007B4936" w:rsidRPr="002339AF" w14:paraId="4B5A9E4F" w14:textId="77777777" w:rsidTr="006700A8">
        <w:tc>
          <w:tcPr>
            <w:tcW w:w="2689" w:type="dxa"/>
          </w:tcPr>
          <w:p w14:paraId="20E110C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754DF91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Central circadian clock, Dim Light Melatonin Onset</w:t>
            </w:r>
          </w:p>
        </w:tc>
      </w:tr>
      <w:tr w:rsidR="007B4936" w:rsidRPr="002339AF" w14:paraId="1F472893" w14:textId="77777777" w:rsidTr="006700A8">
        <w:tc>
          <w:tcPr>
            <w:tcW w:w="2689" w:type="dxa"/>
          </w:tcPr>
          <w:p w14:paraId="6E780F5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0EF18A3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Two adverse events: the symptoms of a cold, chest pain.</w:t>
            </w:r>
          </w:p>
          <w:p w14:paraId="63506BD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supervising doctor judged that neither event was related to the test supplements and both subjects recovered.</w:t>
            </w:r>
          </w:p>
        </w:tc>
      </w:tr>
      <w:tr w:rsidR="007B4936" w:rsidRPr="002339AF" w14:paraId="1B08FBA3" w14:textId="77777777" w:rsidTr="006700A8">
        <w:tc>
          <w:tcPr>
            <w:tcW w:w="8488" w:type="dxa"/>
            <w:gridSpan w:val="3"/>
          </w:tcPr>
          <w:p w14:paraId="07EC4BB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F21B42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2EB1F272" w14:textId="77777777" w:rsidTr="006700A8">
        <w:tc>
          <w:tcPr>
            <w:tcW w:w="2689" w:type="dxa"/>
          </w:tcPr>
          <w:p w14:paraId="42AA49E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19E2B4E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2943F24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7E4C32CA" w14:textId="77777777" w:rsidTr="006700A8">
        <w:tc>
          <w:tcPr>
            <w:tcW w:w="2689" w:type="dxa"/>
            <w:vAlign w:val="center"/>
          </w:tcPr>
          <w:p w14:paraId="7BAECDC9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7C199812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7CEBD4B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Using a random number table</w:t>
            </w:r>
          </w:p>
        </w:tc>
      </w:tr>
      <w:tr w:rsidR="007B4936" w:rsidRPr="002339AF" w14:paraId="620E89DF" w14:textId="77777777" w:rsidTr="006700A8">
        <w:tc>
          <w:tcPr>
            <w:tcW w:w="2689" w:type="dxa"/>
            <w:vAlign w:val="center"/>
          </w:tcPr>
          <w:p w14:paraId="4C45662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1D6C6F8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63FFA94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allocation information was concealed from subjects and researchers by an independent party until data validation had been completed.</w:t>
            </w:r>
          </w:p>
        </w:tc>
      </w:tr>
      <w:tr w:rsidR="007B4936" w:rsidRPr="002339AF" w14:paraId="636F428D" w14:textId="77777777" w:rsidTr="006700A8">
        <w:tc>
          <w:tcPr>
            <w:tcW w:w="2689" w:type="dxa"/>
            <w:vAlign w:val="center"/>
          </w:tcPr>
          <w:p w14:paraId="62CC11DE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49D65407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3E627D57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22448910" w14:textId="77777777" w:rsidTr="006700A8">
        <w:tc>
          <w:tcPr>
            <w:tcW w:w="2689" w:type="dxa"/>
            <w:vAlign w:val="center"/>
          </w:tcPr>
          <w:p w14:paraId="3E591428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7A6722D0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61AF6F0F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31458ACF" w14:textId="77777777" w:rsidTr="006700A8">
        <w:tc>
          <w:tcPr>
            <w:tcW w:w="2689" w:type="dxa"/>
            <w:vAlign w:val="center"/>
          </w:tcPr>
          <w:p w14:paraId="3A4AF2E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68550AF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219376E9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One patient in the placebo group withdrew withdraw due to cold symptoms. No imbalance occurred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that would have affected the entire study.</w:t>
            </w:r>
          </w:p>
        </w:tc>
      </w:tr>
      <w:tr w:rsidR="007B4936" w:rsidRPr="002339AF" w14:paraId="2C33DB5E" w14:textId="77777777" w:rsidTr="006700A8">
        <w:tc>
          <w:tcPr>
            <w:tcW w:w="2689" w:type="dxa"/>
            <w:vAlign w:val="center"/>
          </w:tcPr>
          <w:p w14:paraId="53EAE99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Selective reporting </w:t>
            </w:r>
          </w:p>
          <w:p w14:paraId="760FF6C8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5D7B47F2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5D84015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469BE4FE" w14:textId="77777777" w:rsidTr="006700A8">
        <w:tc>
          <w:tcPr>
            <w:tcW w:w="2689" w:type="dxa"/>
            <w:vAlign w:val="center"/>
          </w:tcPr>
          <w:p w14:paraId="5C73758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547151E0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1A5EEC4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authors are affiliated with and have a conflict of interest with the company that manufactures and sells L-Orn products.</w:t>
            </w:r>
          </w:p>
        </w:tc>
      </w:tr>
    </w:tbl>
    <w:p w14:paraId="65ACC5C1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302B6304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</w:p>
    <w:p w14:paraId="23577064" w14:textId="77777777" w:rsidR="00B2459A" w:rsidRPr="002339AF" w:rsidRDefault="00B2459A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 w:type="page"/>
      </w:r>
    </w:p>
    <w:p w14:paraId="0B826B7F" w14:textId="7579D020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Study Name: </w:t>
      </w:r>
      <w:proofErr w:type="spellStart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Herranz</w:t>
      </w:r>
      <w:proofErr w:type="spellEnd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Jordán et al. 1993 (Continued) (No.19)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4759EA4F" w14:textId="77777777" w:rsidTr="006700A8">
        <w:tc>
          <w:tcPr>
            <w:tcW w:w="2689" w:type="dxa"/>
          </w:tcPr>
          <w:p w14:paraId="25628ED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510EFF0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randomized, double-blind study</w:t>
            </w:r>
          </w:p>
        </w:tc>
      </w:tr>
      <w:tr w:rsidR="007B4936" w:rsidRPr="002339AF" w14:paraId="761E8AE7" w14:textId="77777777" w:rsidTr="006700A8">
        <w:tc>
          <w:tcPr>
            <w:tcW w:w="2689" w:type="dxa"/>
          </w:tcPr>
          <w:p w14:paraId="5F7EB8D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1B859EF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Healthy prepubertal children of short stature, n=81</w:t>
            </w:r>
          </w:p>
          <w:p w14:paraId="702F5C0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Aged from 2 to 12 yrs</w:t>
            </w:r>
          </w:p>
          <w:p w14:paraId="63EAD95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not described</w:t>
            </w:r>
          </w:p>
          <w:p w14:paraId="43A0425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study started with 95 children: 8 were lost to follow-up and 6 were excluded during the study for other reasons, and 81 were completed.</w:t>
            </w:r>
          </w:p>
        </w:tc>
      </w:tr>
      <w:tr w:rsidR="007B4936" w:rsidRPr="002339AF" w14:paraId="4BE085A6" w14:textId="77777777" w:rsidTr="006700A8">
        <w:tc>
          <w:tcPr>
            <w:tcW w:w="2689" w:type="dxa"/>
          </w:tcPr>
          <w:p w14:paraId="0CC3A4B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4892265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29D5C41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2g/time of OKG</w:t>
            </w:r>
          </w:p>
          <w:p w14:paraId="08D0F3E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dose of 2g twice a day, 3 alternate days a week, 53 weeks.</w:t>
            </w:r>
          </w:p>
          <w:p w14:paraId="5329082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capsules with lactose powder or soybean oil</w:t>
            </w:r>
          </w:p>
          <w:p w14:paraId="682AC55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For 1 year</w:t>
            </w:r>
          </w:p>
        </w:tc>
      </w:tr>
      <w:tr w:rsidR="007B4936" w:rsidRPr="002339AF" w14:paraId="37791BC3" w14:textId="77777777" w:rsidTr="006700A8">
        <w:tc>
          <w:tcPr>
            <w:tcW w:w="2689" w:type="dxa"/>
          </w:tcPr>
          <w:p w14:paraId="7F74073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2146E2D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It was performed quarterly clinical controls(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１年に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回臨床検査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), always by the same observer, recording height, weight, blood pressure (BP), pubertal signs and other possible signs of pubertal growth.</w:t>
            </w:r>
          </w:p>
        </w:tc>
      </w:tr>
      <w:tr w:rsidR="007B4936" w:rsidRPr="002339AF" w14:paraId="6F02E840" w14:textId="77777777" w:rsidTr="006700A8">
        <w:tc>
          <w:tcPr>
            <w:tcW w:w="2689" w:type="dxa"/>
          </w:tcPr>
          <w:p w14:paraId="3C2AD08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518E5F7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OKG group did not produce side-effects.</w:t>
            </w:r>
          </w:p>
          <w:p w14:paraId="5DF27B8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This group increased appetite in 4 children, and in one child it produced nausea after ingestion of the drug.</w:t>
            </w:r>
          </w:p>
          <w:p w14:paraId="3A79D59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Placebo increased appetite in 9 children, and two slept more than usual in them.</w:t>
            </w:r>
          </w:p>
        </w:tc>
      </w:tr>
      <w:tr w:rsidR="007B4936" w:rsidRPr="002339AF" w14:paraId="1516932A" w14:textId="77777777" w:rsidTr="006700A8">
        <w:tc>
          <w:tcPr>
            <w:tcW w:w="8488" w:type="dxa"/>
            <w:gridSpan w:val="3"/>
          </w:tcPr>
          <w:p w14:paraId="5D94D18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31368EF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2781C0C1" w14:textId="77777777" w:rsidTr="006700A8">
        <w:tc>
          <w:tcPr>
            <w:tcW w:w="2689" w:type="dxa"/>
          </w:tcPr>
          <w:p w14:paraId="1E185D0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27B63DF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15743E2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503B2EBF" w14:textId="77777777" w:rsidTr="006700A8">
        <w:tc>
          <w:tcPr>
            <w:tcW w:w="2689" w:type="dxa"/>
          </w:tcPr>
          <w:p w14:paraId="37CC6A6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3819E2E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5422A5B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3284E2B8" w14:textId="77777777" w:rsidTr="006700A8">
        <w:tc>
          <w:tcPr>
            <w:tcW w:w="2689" w:type="dxa"/>
          </w:tcPr>
          <w:p w14:paraId="097D3F1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24EAFA5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6592243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52C326DC" w14:textId="77777777" w:rsidTr="006700A8">
        <w:tc>
          <w:tcPr>
            <w:tcW w:w="2689" w:type="dxa"/>
          </w:tcPr>
          <w:p w14:paraId="2EFA8D47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5D0AADD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7DBCE5A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2FF0ABFF" w14:textId="77777777" w:rsidTr="006700A8">
        <w:tc>
          <w:tcPr>
            <w:tcW w:w="2689" w:type="dxa"/>
          </w:tcPr>
          <w:p w14:paraId="23B6B50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334C28C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0BC56CE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051C4BA4" w14:textId="77777777" w:rsidTr="006700A8">
        <w:tc>
          <w:tcPr>
            <w:tcW w:w="2689" w:type="dxa"/>
          </w:tcPr>
          <w:p w14:paraId="3F031EB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75BD49F5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79CB3E2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subjects completed the study protocol scheduled.</w:t>
            </w:r>
          </w:p>
        </w:tc>
      </w:tr>
      <w:tr w:rsidR="007B4936" w:rsidRPr="002339AF" w14:paraId="044297B7" w14:textId="77777777" w:rsidTr="006700A8">
        <w:tc>
          <w:tcPr>
            <w:tcW w:w="2689" w:type="dxa"/>
          </w:tcPr>
          <w:p w14:paraId="298E9497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Selective reporting </w:t>
            </w:r>
          </w:p>
          <w:p w14:paraId="5DE73FA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0B8262A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240F913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150D0803" w14:textId="77777777" w:rsidTr="006700A8">
        <w:tc>
          <w:tcPr>
            <w:tcW w:w="2689" w:type="dxa"/>
          </w:tcPr>
          <w:p w14:paraId="09C30BD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1AA91D9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64E089A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noted</w:t>
            </w:r>
          </w:p>
        </w:tc>
      </w:tr>
    </w:tbl>
    <w:p w14:paraId="2FF90DBE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009103C6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 w:type="page"/>
      </w:r>
    </w:p>
    <w:p w14:paraId="564A7CEC" w14:textId="6E7B5709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Study Name: </w:t>
      </w:r>
      <w:proofErr w:type="spellStart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Kirisako</w:t>
      </w:r>
      <w:proofErr w:type="spellEnd"/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et al 2012 (Continued) (No.4)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3390"/>
      </w:tblGrid>
      <w:tr w:rsidR="007B4936" w:rsidRPr="002339AF" w14:paraId="4A81D97D" w14:textId="77777777" w:rsidTr="006700A8">
        <w:tc>
          <w:tcPr>
            <w:tcW w:w="2689" w:type="dxa"/>
          </w:tcPr>
          <w:p w14:paraId="02A75A3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693C547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placebo controlled, double-blind, randomized, parallel-group study.</w:t>
            </w:r>
          </w:p>
        </w:tc>
      </w:tr>
      <w:tr w:rsidR="007B4936" w:rsidRPr="002339AF" w14:paraId="01109C0D" w14:textId="77777777" w:rsidTr="006700A8">
        <w:tc>
          <w:tcPr>
            <w:tcW w:w="2689" w:type="dxa"/>
          </w:tcPr>
          <w:p w14:paraId="728162F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68BF177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40 heathy Japanese women who complained of skin problems and felt fatigue. </w:t>
            </w:r>
          </w:p>
          <w:p w14:paraId="05F419C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43.5±1.4 yrs</w:t>
            </w:r>
          </w:p>
          <w:p w14:paraId="008ECB0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not described</w:t>
            </w:r>
          </w:p>
        </w:tc>
      </w:tr>
      <w:tr w:rsidR="007B4936" w:rsidRPr="002339AF" w14:paraId="060DE849" w14:textId="77777777" w:rsidTr="006700A8">
        <w:tc>
          <w:tcPr>
            <w:tcW w:w="2689" w:type="dxa"/>
          </w:tcPr>
          <w:p w14:paraId="753F488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17CE7C6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6786873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400mg of ornithine (500mg as ornithine HCl, treatment has also included 160mg of cellulose)</w:t>
            </w:r>
          </w:p>
          <w:p w14:paraId="2EFDBA4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cellulose (560mg)</w:t>
            </w:r>
          </w:p>
          <w:p w14:paraId="56E0B85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Intake between after dinner and going to bed, for 8weeks</w:t>
            </w:r>
          </w:p>
        </w:tc>
      </w:tr>
      <w:tr w:rsidR="007B4936" w:rsidRPr="002339AF" w14:paraId="77B1D2EE" w14:textId="77777777" w:rsidTr="006700A8">
        <w:tc>
          <w:tcPr>
            <w:tcW w:w="2689" w:type="dxa"/>
          </w:tcPr>
          <w:p w14:paraId="5E94EED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129BA26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Health Status Questionnaire, visual analog scale: VAS, Anti-Aging Quality of Life Common Questionnaire, and skin function tests.</w:t>
            </w:r>
          </w:p>
        </w:tc>
      </w:tr>
      <w:tr w:rsidR="007B4936" w:rsidRPr="002339AF" w14:paraId="300F6257" w14:textId="77777777" w:rsidTr="006700A8">
        <w:tc>
          <w:tcPr>
            <w:tcW w:w="2689" w:type="dxa"/>
          </w:tcPr>
          <w:p w14:paraId="7BF5F74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261C8B0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39 subjects excepting one in ornithine group who dropped out the trial (30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th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day, personal reason). Mean age: 44.5±1.9(N=39). Since no safety-threatening events were observed, the dosage was judged to be acceptable.</w:t>
            </w:r>
          </w:p>
        </w:tc>
      </w:tr>
      <w:tr w:rsidR="007B4936" w:rsidRPr="002339AF" w14:paraId="2BD1730E" w14:textId="77777777" w:rsidTr="006700A8">
        <w:tc>
          <w:tcPr>
            <w:tcW w:w="8488" w:type="dxa"/>
            <w:gridSpan w:val="3"/>
          </w:tcPr>
          <w:p w14:paraId="593C7DA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0ADEFB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1D58A72C" w14:textId="77777777" w:rsidTr="006700A8">
        <w:tc>
          <w:tcPr>
            <w:tcW w:w="2689" w:type="dxa"/>
          </w:tcPr>
          <w:p w14:paraId="1D37AF70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409" w:type="dxa"/>
          </w:tcPr>
          <w:p w14:paraId="7C52286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390" w:type="dxa"/>
          </w:tcPr>
          <w:p w14:paraId="76E3D46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2B048A52" w14:textId="77777777" w:rsidTr="006700A8">
        <w:tc>
          <w:tcPr>
            <w:tcW w:w="2689" w:type="dxa"/>
            <w:vAlign w:val="center"/>
          </w:tcPr>
          <w:p w14:paraId="6D121388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409" w:type="dxa"/>
            <w:vAlign w:val="center"/>
          </w:tcPr>
          <w:p w14:paraId="69842C5C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390" w:type="dxa"/>
            <w:vAlign w:val="center"/>
          </w:tcPr>
          <w:p w14:paraId="0EA6AB4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4D066B10" w14:textId="77777777" w:rsidTr="006700A8">
        <w:tc>
          <w:tcPr>
            <w:tcW w:w="2689" w:type="dxa"/>
            <w:vAlign w:val="center"/>
          </w:tcPr>
          <w:p w14:paraId="683B3DF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409" w:type="dxa"/>
            <w:vAlign w:val="center"/>
          </w:tcPr>
          <w:p w14:paraId="43C5D05A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390" w:type="dxa"/>
            <w:vAlign w:val="center"/>
          </w:tcPr>
          <w:p w14:paraId="16D6E47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628AAC74" w14:textId="77777777" w:rsidTr="006700A8">
        <w:tc>
          <w:tcPr>
            <w:tcW w:w="2689" w:type="dxa"/>
            <w:vAlign w:val="center"/>
          </w:tcPr>
          <w:p w14:paraId="0A461E8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409" w:type="dxa"/>
            <w:vAlign w:val="center"/>
          </w:tcPr>
          <w:p w14:paraId="3F0CFE9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390" w:type="dxa"/>
            <w:vAlign w:val="center"/>
          </w:tcPr>
          <w:p w14:paraId="7090153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staff and subjects were blinded to intervention assignments throughout the study period.</w:t>
            </w:r>
          </w:p>
        </w:tc>
      </w:tr>
      <w:tr w:rsidR="007B4936" w:rsidRPr="002339AF" w14:paraId="58254068" w14:textId="77777777" w:rsidTr="006700A8">
        <w:tc>
          <w:tcPr>
            <w:tcW w:w="2689" w:type="dxa"/>
            <w:vAlign w:val="center"/>
          </w:tcPr>
          <w:p w14:paraId="7D06D77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409" w:type="dxa"/>
            <w:vAlign w:val="center"/>
          </w:tcPr>
          <w:p w14:paraId="0A84338B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390" w:type="dxa"/>
            <w:vAlign w:val="center"/>
          </w:tcPr>
          <w:p w14:paraId="0CBA0A2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staff and subjects were blinded to intervention assignments throughout the study period.</w:t>
            </w:r>
          </w:p>
        </w:tc>
      </w:tr>
      <w:tr w:rsidR="007B4936" w:rsidRPr="002339AF" w14:paraId="1547F384" w14:textId="77777777" w:rsidTr="006700A8">
        <w:tc>
          <w:tcPr>
            <w:tcW w:w="2689" w:type="dxa"/>
            <w:vAlign w:val="center"/>
          </w:tcPr>
          <w:p w14:paraId="2824AA6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Incomplete outcome data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(attrition bias)</w:t>
            </w:r>
          </w:p>
        </w:tc>
        <w:tc>
          <w:tcPr>
            <w:tcW w:w="2409" w:type="dxa"/>
            <w:vAlign w:val="center"/>
          </w:tcPr>
          <w:p w14:paraId="21A9017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Low</w:t>
            </w:r>
          </w:p>
        </w:tc>
        <w:tc>
          <w:tcPr>
            <w:tcW w:w="3390" w:type="dxa"/>
            <w:vAlign w:val="center"/>
          </w:tcPr>
          <w:p w14:paraId="6BAADF5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All subjects completed the study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protocol scheduled.</w:t>
            </w:r>
          </w:p>
        </w:tc>
      </w:tr>
      <w:tr w:rsidR="007B4936" w:rsidRPr="002339AF" w14:paraId="546D384F" w14:textId="77777777" w:rsidTr="006700A8">
        <w:tc>
          <w:tcPr>
            <w:tcW w:w="2689" w:type="dxa"/>
            <w:vAlign w:val="center"/>
          </w:tcPr>
          <w:p w14:paraId="0455C4D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Selective reporting </w:t>
            </w:r>
          </w:p>
          <w:p w14:paraId="696CC37E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409" w:type="dxa"/>
            <w:vAlign w:val="center"/>
          </w:tcPr>
          <w:p w14:paraId="0C94A7BF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390" w:type="dxa"/>
            <w:vAlign w:val="center"/>
          </w:tcPr>
          <w:p w14:paraId="3DF3FE3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79E47501" w14:textId="77777777" w:rsidTr="006700A8">
        <w:tc>
          <w:tcPr>
            <w:tcW w:w="2689" w:type="dxa"/>
            <w:vAlign w:val="center"/>
          </w:tcPr>
          <w:p w14:paraId="7D1619D8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409" w:type="dxa"/>
            <w:vAlign w:val="center"/>
          </w:tcPr>
          <w:p w14:paraId="53EA69EE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390" w:type="dxa"/>
            <w:vAlign w:val="center"/>
          </w:tcPr>
          <w:p w14:paraId="62EEB00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authors are affiliated with and have a conflict of interest with the company that manufactures and sells L-Orn.</w:t>
            </w:r>
          </w:p>
        </w:tc>
      </w:tr>
    </w:tbl>
    <w:p w14:paraId="4C698D7D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</w:p>
    <w:p w14:paraId="0865E46F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  <w:br w:type="page"/>
      </w:r>
    </w:p>
    <w:p w14:paraId="47F918A4" w14:textId="4589CFB4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1"/>
          <w:szCs w:val="24"/>
        </w:rPr>
        <w:lastRenderedPageBreak/>
        <w:t>S</w:t>
      </w: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tudy Name: Miura et al. 2023 (Continued) (No.14)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0CD04291" w14:textId="77777777" w:rsidTr="006700A8">
        <w:tc>
          <w:tcPr>
            <w:tcW w:w="2689" w:type="dxa"/>
          </w:tcPr>
          <w:p w14:paraId="3A332CC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5848FED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366762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Wash-out 2-week</w:t>
            </w:r>
          </w:p>
        </w:tc>
      </w:tr>
      <w:tr w:rsidR="007B4936" w:rsidRPr="002339AF" w14:paraId="7A8A8CE7" w14:textId="77777777" w:rsidTr="006700A8">
        <w:tc>
          <w:tcPr>
            <w:tcW w:w="2689" w:type="dxa"/>
          </w:tcPr>
          <w:p w14:paraId="2C965A3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1F0FC9E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Healthy male adults, n=60</w:t>
            </w:r>
          </w:p>
          <w:p w14:paraId="3BC12ED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41.4±1.5 yrs</w:t>
            </w:r>
          </w:p>
          <w:p w14:paraId="7D2E76A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70.2+1.0 kg</w:t>
            </w:r>
          </w:p>
        </w:tc>
      </w:tr>
      <w:tr w:rsidR="007B4936" w:rsidRPr="002339AF" w14:paraId="771176F6" w14:textId="77777777" w:rsidTr="006700A8">
        <w:tc>
          <w:tcPr>
            <w:tcW w:w="2689" w:type="dxa"/>
          </w:tcPr>
          <w:p w14:paraId="304C689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7E55274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23D067A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ornithine hydrochloride 3.2, 6, 9.2, and 12 g/day</w:t>
            </w:r>
          </w:p>
          <w:p w14:paraId="0D25F0A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citrulline 6, 12,18, and 24 g/day</w:t>
            </w:r>
          </w:p>
          <w:p w14:paraId="038DEED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For 4 weeks</w:t>
            </w:r>
          </w:p>
        </w:tc>
      </w:tr>
      <w:tr w:rsidR="007B4936" w:rsidRPr="002339AF" w14:paraId="111A5A3B" w14:textId="77777777" w:rsidTr="006700A8">
        <w:tc>
          <w:tcPr>
            <w:tcW w:w="2689" w:type="dxa"/>
          </w:tcPr>
          <w:p w14:paraId="740DC40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4F26731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Vitals, abroad spectrum of circulating biochemical analytes, body weight, sleep quality, and mental self-assessment.</w:t>
            </w:r>
          </w:p>
        </w:tc>
      </w:tr>
      <w:tr w:rsidR="007B4936" w:rsidRPr="002339AF" w14:paraId="2E776E26" w14:textId="77777777" w:rsidTr="006700A8">
        <w:tc>
          <w:tcPr>
            <w:tcW w:w="2689" w:type="dxa"/>
          </w:tcPr>
          <w:p w14:paraId="3B043C3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2C87A97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 the ORN group, 7 subjects in total were withdrawn (4 at the discretion of the investigator after receiving requests by the subjects due to causes unrelated to the study, 3 had breached the consumption protocol for the capsule intake)</w:t>
            </w:r>
          </w:p>
          <w:p w14:paraId="6B7DABCC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 the CIT group, 7 subjects in total also were withdrawn with same number of subjects and reasons.</w:t>
            </w:r>
          </w:p>
          <w:p w14:paraId="4F34A25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Completed intervention under the protocol is ornithine group n=23, citrulline group n=23.</w:t>
            </w:r>
          </w:p>
          <w:p w14:paraId="314435A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20CBFA6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Adverse events</w:t>
            </w:r>
          </w:p>
          <w:p w14:paraId="4C52F38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During the ORN supplementation, 16 adverse events were identified in 10 subjects (5 events of gastrointestinal symptoms, 3 events of COVID-19 vaccination side effects, 2 events of common cold-like symptoms, and 1 event each of headache, fatigue, bone fracture, hematuria, exanthema, and drowsiness). One event of gastrointestinal symptoms occurred at the highest dose (12g/kg).</w:t>
            </w:r>
          </w:p>
          <w:p w14:paraId="25544F6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During the CIT supplementation, 24 adverse events were identified in 11 subjects (6 events of COVID-19 vaccination side effects, 4 events of headache, 3 events each of gastrointestinal symptoms, fracture, arthralgia, and common cold-like symptoms, and 1 event each of giddiness and exanthema).</w:t>
            </w:r>
          </w:p>
        </w:tc>
      </w:tr>
      <w:tr w:rsidR="007B4936" w:rsidRPr="002339AF" w14:paraId="4B15ED18" w14:textId="77777777" w:rsidTr="006700A8">
        <w:tc>
          <w:tcPr>
            <w:tcW w:w="8488" w:type="dxa"/>
            <w:gridSpan w:val="3"/>
          </w:tcPr>
          <w:p w14:paraId="36C97D1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6AD0108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419DF7F0" w14:textId="77777777" w:rsidTr="006700A8">
        <w:tc>
          <w:tcPr>
            <w:tcW w:w="2689" w:type="dxa"/>
          </w:tcPr>
          <w:p w14:paraId="23358F7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58CD37E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53E6357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3114E124" w14:textId="77777777" w:rsidTr="006700A8">
        <w:tc>
          <w:tcPr>
            <w:tcW w:w="2689" w:type="dxa"/>
          </w:tcPr>
          <w:p w14:paraId="643D86A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2762C387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12F3E13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174A3098" w14:textId="77777777" w:rsidTr="006700A8">
        <w:tc>
          <w:tcPr>
            <w:tcW w:w="2689" w:type="dxa"/>
          </w:tcPr>
          <w:p w14:paraId="090DDED9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742AEA3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2D6859C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44321DE3" w14:textId="77777777" w:rsidTr="006700A8">
        <w:tc>
          <w:tcPr>
            <w:tcW w:w="2689" w:type="dxa"/>
          </w:tcPr>
          <w:p w14:paraId="1436FB4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1C51C3C2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07CFA67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1C66A404" w14:textId="77777777" w:rsidTr="006700A8">
        <w:tc>
          <w:tcPr>
            <w:tcW w:w="2689" w:type="dxa"/>
          </w:tcPr>
          <w:p w14:paraId="51B1749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1FD1B61F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4B4475C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7AE675E8" w14:textId="77777777" w:rsidTr="006700A8">
        <w:tc>
          <w:tcPr>
            <w:tcW w:w="2689" w:type="dxa"/>
          </w:tcPr>
          <w:p w14:paraId="28AEEFB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5A2E22A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36F45A3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The reason for the Dropout is clearly stated. </w:t>
            </w:r>
          </w:p>
          <w:p w14:paraId="5735483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1) Reasons not related to the study: 4</w:t>
            </w:r>
          </w:p>
          <w:p w14:paraId="321F6EB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2) Protocol breaches: 3</w:t>
            </w:r>
          </w:p>
        </w:tc>
      </w:tr>
      <w:tr w:rsidR="007B4936" w:rsidRPr="002339AF" w14:paraId="5A94DED4" w14:textId="77777777" w:rsidTr="006700A8">
        <w:tc>
          <w:tcPr>
            <w:tcW w:w="2689" w:type="dxa"/>
          </w:tcPr>
          <w:p w14:paraId="76463DE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Selective reporting </w:t>
            </w:r>
          </w:p>
          <w:p w14:paraId="7FC224E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560FA017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307D864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03ECCABD" w14:textId="77777777" w:rsidTr="006700A8">
        <w:tc>
          <w:tcPr>
            <w:tcW w:w="2689" w:type="dxa"/>
          </w:tcPr>
          <w:p w14:paraId="1C355C1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461A6F2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7F2685E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noted</w:t>
            </w:r>
          </w:p>
        </w:tc>
      </w:tr>
    </w:tbl>
    <w:p w14:paraId="2E2A6F08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2CF24C7D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 w:type="page"/>
      </w:r>
    </w:p>
    <w:p w14:paraId="666D354B" w14:textId="2B30683C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>Study Name: Miyake et al 2014 (Continued) (No.8)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6EA21CCC" w14:textId="77777777" w:rsidTr="006700A8">
        <w:tc>
          <w:tcPr>
            <w:tcW w:w="2689" w:type="dxa"/>
          </w:tcPr>
          <w:p w14:paraId="06A26EF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2086CE3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randomized, double-blind and placebo-controlled study</w:t>
            </w:r>
          </w:p>
        </w:tc>
      </w:tr>
      <w:tr w:rsidR="007B4936" w:rsidRPr="002339AF" w14:paraId="0069870A" w14:textId="77777777" w:rsidTr="006700A8">
        <w:tc>
          <w:tcPr>
            <w:tcW w:w="2689" w:type="dxa"/>
          </w:tcPr>
          <w:p w14:paraId="5C37B1D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5FAFAA4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52 apparently healthy Japanese adults who had previously felt slight stress as well as fatigue. (Male:26(ORN: 10), Female: 26(ORN: 16).</w:t>
            </w:r>
          </w:p>
          <w:p w14:paraId="71243FB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ORN 43.31yrs, Pla 43.38yrs</w:t>
            </w:r>
          </w:p>
          <w:p w14:paraId="16ACDB6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no description</w:t>
            </w:r>
          </w:p>
        </w:tc>
      </w:tr>
      <w:tr w:rsidR="007B4936" w:rsidRPr="002339AF" w14:paraId="671A0048" w14:textId="77777777" w:rsidTr="006700A8">
        <w:tc>
          <w:tcPr>
            <w:tcW w:w="2689" w:type="dxa"/>
          </w:tcPr>
          <w:p w14:paraId="6B6E39D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7EADB137" w14:textId="77777777" w:rsidR="007B4936" w:rsidRPr="002339AF" w:rsidRDefault="007B4936" w:rsidP="006700A8">
            <w:pPr>
              <w:widowControl w:val="0"/>
              <w:tabs>
                <w:tab w:val="center" w:pos="2791"/>
              </w:tabs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hard capsule</w:t>
            </w:r>
          </w:p>
          <w:p w14:paraId="6874778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500mg/day of L-ornithine monohydrochloride and 160mg of microcrystalline cellulose (400mg/day L-ornithine)</w:t>
            </w:r>
          </w:p>
          <w:p w14:paraId="571B3DB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560mg of microcrystalline cellulose (FD-301)</w:t>
            </w:r>
          </w:p>
          <w:p w14:paraId="4B1B084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2 capsules, for 8 weeks</w:t>
            </w:r>
          </w:p>
        </w:tc>
      </w:tr>
      <w:tr w:rsidR="007B4936" w:rsidRPr="002339AF" w14:paraId="24DF6A5A" w14:textId="77777777" w:rsidTr="006700A8">
        <w:tc>
          <w:tcPr>
            <w:tcW w:w="2689" w:type="dxa"/>
          </w:tcPr>
          <w:p w14:paraId="6B89BE9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1E61B16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Serum, the Profile of Mood States (POMS), Athens Insomnia </w:t>
            </w:r>
            <w:proofErr w:type="spellStart"/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Scake</w:t>
            </w:r>
            <w:proofErr w:type="spellEnd"/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(AIS), </w:t>
            </w:r>
            <w:proofErr w:type="spellStart"/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Ogri</w:t>
            </w:r>
            <w:proofErr w:type="spellEnd"/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-Shirakawa-Azumi sleep inventory MA version (OSA-MA).</w:t>
            </w:r>
          </w:p>
        </w:tc>
      </w:tr>
      <w:tr w:rsidR="007B4936" w:rsidRPr="002339AF" w14:paraId="1FA52412" w14:textId="77777777" w:rsidTr="006700A8">
        <w:tc>
          <w:tcPr>
            <w:tcW w:w="2689" w:type="dxa"/>
          </w:tcPr>
          <w:p w14:paraId="29FFBF6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535FDCC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During the 8 study weeks of the study, no adverse events were observed.</w:t>
            </w:r>
          </w:p>
        </w:tc>
      </w:tr>
      <w:tr w:rsidR="007B4936" w:rsidRPr="002339AF" w14:paraId="5A887A2D" w14:textId="77777777" w:rsidTr="006700A8">
        <w:tc>
          <w:tcPr>
            <w:tcW w:w="8488" w:type="dxa"/>
            <w:gridSpan w:val="3"/>
          </w:tcPr>
          <w:p w14:paraId="1D658A5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B7960E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619ED44E" w14:textId="77777777" w:rsidTr="006700A8">
        <w:tc>
          <w:tcPr>
            <w:tcW w:w="2689" w:type="dxa"/>
          </w:tcPr>
          <w:p w14:paraId="40C409E2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3BBBEE6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33B5D45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6E2DEDD0" w14:textId="77777777" w:rsidTr="006700A8">
        <w:tc>
          <w:tcPr>
            <w:tcW w:w="2689" w:type="dxa"/>
            <w:vAlign w:val="center"/>
          </w:tcPr>
          <w:p w14:paraId="2543ACF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304F90DE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7775684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009AF376" w14:textId="77777777" w:rsidTr="006700A8">
        <w:tc>
          <w:tcPr>
            <w:tcW w:w="2689" w:type="dxa"/>
            <w:vAlign w:val="center"/>
          </w:tcPr>
          <w:p w14:paraId="7309412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4515EB2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74EB43F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24C650DB" w14:textId="77777777" w:rsidTr="006700A8">
        <w:tc>
          <w:tcPr>
            <w:tcW w:w="2689" w:type="dxa"/>
            <w:vAlign w:val="center"/>
          </w:tcPr>
          <w:p w14:paraId="537AA73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236EEA4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711DF17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63F59CAA" w14:textId="77777777" w:rsidTr="006700A8">
        <w:tc>
          <w:tcPr>
            <w:tcW w:w="2689" w:type="dxa"/>
            <w:vAlign w:val="center"/>
          </w:tcPr>
          <w:p w14:paraId="6718B28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3986D8F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053F2ED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609251D8" w14:textId="77777777" w:rsidTr="006700A8">
        <w:tc>
          <w:tcPr>
            <w:tcW w:w="2689" w:type="dxa"/>
            <w:vAlign w:val="center"/>
          </w:tcPr>
          <w:p w14:paraId="6088116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5F118379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3DEDA2F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subjects completed the study protocol scheduled.</w:t>
            </w:r>
          </w:p>
        </w:tc>
      </w:tr>
      <w:tr w:rsidR="007B4936" w:rsidRPr="002339AF" w14:paraId="6CCD1F66" w14:textId="77777777" w:rsidTr="006700A8">
        <w:tc>
          <w:tcPr>
            <w:tcW w:w="2689" w:type="dxa"/>
            <w:vAlign w:val="center"/>
          </w:tcPr>
          <w:p w14:paraId="685AC36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Selective reporting </w:t>
            </w:r>
          </w:p>
          <w:p w14:paraId="7D08256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3C8EF2F3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530B1FB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2339AF" w14:paraId="0C8BEAA3" w14:textId="77777777" w:rsidTr="006700A8">
        <w:tc>
          <w:tcPr>
            <w:tcW w:w="2689" w:type="dxa"/>
            <w:vAlign w:val="center"/>
          </w:tcPr>
          <w:p w14:paraId="143A7D6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22EA6B55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673" w:type="dxa"/>
            <w:vAlign w:val="center"/>
          </w:tcPr>
          <w:p w14:paraId="1624603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authors are affiliated with and have a conflict of interest with the company that manufactures and sells L-Orn products.</w:t>
            </w:r>
          </w:p>
        </w:tc>
      </w:tr>
    </w:tbl>
    <w:p w14:paraId="6EB51BB8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34F55E00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 w:type="page"/>
      </w:r>
    </w:p>
    <w:p w14:paraId="4423FF17" w14:textId="6BAE7A11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>Study Name: Morita et al.2013 (Continued) (No.5)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3815"/>
      </w:tblGrid>
      <w:tr w:rsidR="007B4936" w:rsidRPr="002339AF" w14:paraId="1BFB10C6" w14:textId="77777777" w:rsidTr="006700A8">
        <w:tc>
          <w:tcPr>
            <w:tcW w:w="2689" w:type="dxa"/>
          </w:tcPr>
          <w:p w14:paraId="33FDEE1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2FA304C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An Open-label Trial</w:t>
            </w:r>
          </w:p>
        </w:tc>
      </w:tr>
      <w:tr w:rsidR="007B4936" w:rsidRPr="002339AF" w14:paraId="2FAA18AA" w14:textId="77777777" w:rsidTr="006700A8">
        <w:tc>
          <w:tcPr>
            <w:tcW w:w="2689" w:type="dxa"/>
          </w:tcPr>
          <w:p w14:paraId="09BF448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09B515F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16 healthy subjects (male: 8, female: 8)</w:t>
            </w:r>
          </w:p>
          <w:p w14:paraId="031932B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47.9±2.9 yrs</w:t>
            </w:r>
          </w:p>
          <w:p w14:paraId="78BAC1C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59.8±2.3 kg</w:t>
            </w:r>
          </w:p>
        </w:tc>
      </w:tr>
      <w:tr w:rsidR="007B4936" w:rsidRPr="002339AF" w14:paraId="71EF6844" w14:textId="77777777" w:rsidTr="006700A8">
        <w:tc>
          <w:tcPr>
            <w:tcW w:w="2689" w:type="dxa"/>
          </w:tcPr>
          <w:p w14:paraId="2B8102E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0F594D4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6FF5A1A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3.0g/day of ORN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HCl (2.4g/d of Orn)</w:t>
            </w:r>
          </w:p>
          <w:p w14:paraId="3D48A61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Comparison: non</w:t>
            </w:r>
          </w:p>
          <w:p w14:paraId="2717BEC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For 3 months</w:t>
            </w:r>
          </w:p>
          <w:p w14:paraId="54FFBC8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1.0g ORN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HCl (0.8g as Orn) loading for the kinetic tests</w:t>
            </w:r>
          </w:p>
        </w:tc>
      </w:tr>
      <w:tr w:rsidR="007B4936" w:rsidRPr="002339AF" w14:paraId="0EBE2F3D" w14:textId="77777777" w:rsidTr="006700A8">
        <w:tc>
          <w:tcPr>
            <w:tcW w:w="2689" w:type="dxa"/>
          </w:tcPr>
          <w:p w14:paraId="087FFCE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3115071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Plasma Orn, clinical and biological indices, pharmacokinetic parameters (1.0g oral ORN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HCl loading), changes in retinal function by flash electroretinography (ERG).</w:t>
            </w:r>
          </w:p>
        </w:tc>
      </w:tr>
      <w:tr w:rsidR="007B4936" w:rsidRPr="002339AF" w14:paraId="497B9DD4" w14:textId="77777777" w:rsidTr="006700A8">
        <w:tc>
          <w:tcPr>
            <w:tcW w:w="2689" w:type="dxa"/>
          </w:tcPr>
          <w:p w14:paraId="3126F2E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3E4072A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None of the subjects experienced clinically relevant or any other side effects during the study. </w:t>
            </w:r>
          </w:p>
        </w:tc>
      </w:tr>
      <w:tr w:rsidR="007B4936" w:rsidRPr="002339AF" w14:paraId="6C6DA19D" w14:textId="77777777" w:rsidTr="006700A8">
        <w:tc>
          <w:tcPr>
            <w:tcW w:w="8488" w:type="dxa"/>
            <w:gridSpan w:val="3"/>
          </w:tcPr>
          <w:p w14:paraId="26629F1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307DFD5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7A68F473" w14:textId="77777777" w:rsidTr="006700A8">
        <w:tc>
          <w:tcPr>
            <w:tcW w:w="2689" w:type="dxa"/>
            <w:vAlign w:val="center"/>
          </w:tcPr>
          <w:p w14:paraId="44DDF32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1984" w:type="dxa"/>
            <w:vAlign w:val="center"/>
          </w:tcPr>
          <w:p w14:paraId="11C6076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815" w:type="dxa"/>
            <w:vAlign w:val="center"/>
          </w:tcPr>
          <w:p w14:paraId="75167A9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79A6D130" w14:textId="77777777" w:rsidTr="006700A8">
        <w:tc>
          <w:tcPr>
            <w:tcW w:w="2689" w:type="dxa"/>
            <w:vAlign w:val="center"/>
          </w:tcPr>
          <w:p w14:paraId="2776CFA6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Random sequence generation (selection bias)</w:t>
            </w:r>
          </w:p>
        </w:tc>
        <w:tc>
          <w:tcPr>
            <w:tcW w:w="1984" w:type="dxa"/>
            <w:vAlign w:val="center"/>
          </w:tcPr>
          <w:p w14:paraId="1408CE20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815" w:type="dxa"/>
            <w:vAlign w:val="center"/>
          </w:tcPr>
          <w:p w14:paraId="30D86BA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629754B1" w14:textId="77777777" w:rsidTr="006700A8">
        <w:tc>
          <w:tcPr>
            <w:tcW w:w="2689" w:type="dxa"/>
            <w:vAlign w:val="center"/>
          </w:tcPr>
          <w:p w14:paraId="0FB4116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1984" w:type="dxa"/>
            <w:vAlign w:val="center"/>
          </w:tcPr>
          <w:p w14:paraId="0A0B824B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815" w:type="dxa"/>
            <w:vAlign w:val="center"/>
          </w:tcPr>
          <w:p w14:paraId="769238B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62CA8DFB" w14:textId="77777777" w:rsidTr="006700A8">
        <w:tc>
          <w:tcPr>
            <w:tcW w:w="2689" w:type="dxa"/>
            <w:vAlign w:val="center"/>
          </w:tcPr>
          <w:p w14:paraId="629906C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1984" w:type="dxa"/>
            <w:vAlign w:val="center"/>
          </w:tcPr>
          <w:p w14:paraId="23A50F01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815" w:type="dxa"/>
            <w:vAlign w:val="center"/>
          </w:tcPr>
          <w:p w14:paraId="0E3D5AA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6B2C12D5" w14:textId="77777777" w:rsidTr="006700A8">
        <w:tc>
          <w:tcPr>
            <w:tcW w:w="2689" w:type="dxa"/>
            <w:vAlign w:val="center"/>
          </w:tcPr>
          <w:p w14:paraId="0FB5B891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1984" w:type="dxa"/>
            <w:vAlign w:val="center"/>
          </w:tcPr>
          <w:p w14:paraId="4976591C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815" w:type="dxa"/>
            <w:vAlign w:val="center"/>
          </w:tcPr>
          <w:p w14:paraId="5C45571E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Open-label study</w:t>
            </w:r>
          </w:p>
        </w:tc>
      </w:tr>
      <w:tr w:rsidR="007B4936" w:rsidRPr="002339AF" w14:paraId="096AE307" w14:textId="77777777" w:rsidTr="006700A8">
        <w:tc>
          <w:tcPr>
            <w:tcW w:w="2689" w:type="dxa"/>
            <w:vAlign w:val="center"/>
          </w:tcPr>
          <w:p w14:paraId="14DB55A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1984" w:type="dxa"/>
            <w:vAlign w:val="center"/>
          </w:tcPr>
          <w:p w14:paraId="3D721DF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815" w:type="dxa"/>
            <w:vAlign w:val="center"/>
          </w:tcPr>
          <w:p w14:paraId="5DF48A4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subjects completed the study protocol scheduled.</w:t>
            </w:r>
          </w:p>
        </w:tc>
      </w:tr>
      <w:tr w:rsidR="007B4936" w:rsidRPr="002339AF" w14:paraId="638BB62D" w14:textId="77777777" w:rsidTr="006700A8">
        <w:tc>
          <w:tcPr>
            <w:tcW w:w="2689" w:type="dxa"/>
            <w:vAlign w:val="center"/>
          </w:tcPr>
          <w:p w14:paraId="64942D5A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Selective reporting </w:t>
            </w:r>
          </w:p>
          <w:p w14:paraId="239CBD2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(reporting bias)</w:t>
            </w:r>
          </w:p>
        </w:tc>
        <w:tc>
          <w:tcPr>
            <w:tcW w:w="1984" w:type="dxa"/>
            <w:vAlign w:val="center"/>
          </w:tcPr>
          <w:p w14:paraId="4F1214E7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Low</w:t>
            </w:r>
          </w:p>
        </w:tc>
        <w:tc>
          <w:tcPr>
            <w:tcW w:w="3815" w:type="dxa"/>
            <w:vAlign w:val="center"/>
          </w:tcPr>
          <w:p w14:paraId="03B8CC8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All data collection was done according to the study plan and all 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results were reported.</w:t>
            </w:r>
          </w:p>
        </w:tc>
      </w:tr>
      <w:tr w:rsidR="007B4936" w:rsidRPr="002339AF" w14:paraId="329AE1A7" w14:textId="77777777" w:rsidTr="006700A8">
        <w:tc>
          <w:tcPr>
            <w:tcW w:w="2689" w:type="dxa"/>
            <w:vAlign w:val="center"/>
          </w:tcPr>
          <w:p w14:paraId="01D8D9B5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Other bias</w:t>
            </w:r>
          </w:p>
        </w:tc>
        <w:tc>
          <w:tcPr>
            <w:tcW w:w="1984" w:type="dxa"/>
            <w:vAlign w:val="center"/>
          </w:tcPr>
          <w:p w14:paraId="7724A3CE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High</w:t>
            </w:r>
          </w:p>
        </w:tc>
        <w:tc>
          <w:tcPr>
            <w:tcW w:w="3815" w:type="dxa"/>
            <w:vAlign w:val="center"/>
          </w:tcPr>
          <w:p w14:paraId="53AD18B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The authors are affiliated with and have a conflict of interest with the company that manufactures and sells L-Orn.</w:t>
            </w:r>
          </w:p>
        </w:tc>
      </w:tr>
    </w:tbl>
    <w:p w14:paraId="7ACF9915" w14:textId="77777777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0930BD88" w14:textId="77777777" w:rsidR="007B4936" w:rsidRPr="002339A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br w:type="page"/>
      </w:r>
    </w:p>
    <w:p w14:paraId="2DE3CA79" w14:textId="210BFBD0" w:rsidR="007B4936" w:rsidRPr="002339A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>Study Name: Tsai BH et al 1997 (Continued) (No.11)</w:t>
      </w:r>
      <w:r w:rsidR="009C4758" w:rsidRPr="002339AF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Category B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3673"/>
      </w:tblGrid>
      <w:tr w:rsidR="007B4936" w:rsidRPr="002339AF" w14:paraId="6F759832" w14:textId="77777777" w:rsidTr="006700A8">
        <w:tc>
          <w:tcPr>
            <w:tcW w:w="2689" w:type="dxa"/>
          </w:tcPr>
          <w:p w14:paraId="16DB430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5799" w:type="dxa"/>
            <w:gridSpan w:val="2"/>
          </w:tcPr>
          <w:p w14:paraId="74A7FAF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placebo controlled, double-blind, randomized, crossover study</w:t>
            </w:r>
          </w:p>
          <w:p w14:paraId="6B532314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(Wash-out 30days)</w:t>
            </w:r>
          </w:p>
        </w:tc>
      </w:tr>
      <w:tr w:rsidR="007B4936" w:rsidRPr="002339AF" w14:paraId="313335D7" w14:textId="77777777" w:rsidTr="006700A8">
        <w:tc>
          <w:tcPr>
            <w:tcW w:w="2689" w:type="dxa"/>
          </w:tcPr>
          <w:p w14:paraId="0D5C9F9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Participants</w:t>
            </w:r>
          </w:p>
        </w:tc>
        <w:tc>
          <w:tcPr>
            <w:tcW w:w="5799" w:type="dxa"/>
            <w:gridSpan w:val="2"/>
          </w:tcPr>
          <w:p w14:paraId="35632D3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Athlete, n= 10 (Male: 10) </w:t>
            </w:r>
          </w:p>
          <w:p w14:paraId="38CA43C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age: 20 yrs. (19-21yrs)</w:t>
            </w:r>
          </w:p>
          <w:p w14:paraId="429767B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body weight: 73.3kg</w:t>
            </w:r>
          </w:p>
          <w:p w14:paraId="45719378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mean height: 165.7cm</w:t>
            </w:r>
          </w:p>
        </w:tc>
      </w:tr>
      <w:tr w:rsidR="007B4936" w:rsidRPr="002339AF" w14:paraId="6F7B7509" w14:textId="77777777" w:rsidTr="006700A8">
        <w:tc>
          <w:tcPr>
            <w:tcW w:w="2689" w:type="dxa"/>
          </w:tcPr>
          <w:p w14:paraId="14A54B6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Interventions</w:t>
            </w:r>
          </w:p>
        </w:tc>
        <w:tc>
          <w:tcPr>
            <w:tcW w:w="5799" w:type="dxa"/>
            <w:gridSpan w:val="2"/>
          </w:tcPr>
          <w:p w14:paraId="24498CA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Type: capsule</w:t>
            </w:r>
          </w:p>
          <w:p w14:paraId="34A58FE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Treatment: 20mg/kg/day of ORN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HCl </w:t>
            </w:r>
          </w:p>
          <w:p w14:paraId="4E8F45D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20mg/kg/day of ARG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・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HCl </w:t>
            </w:r>
          </w:p>
          <w:p w14:paraId="69776BF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Filled in two different colored capsules were taken each per daily before training and at bedtime.</w:t>
            </w:r>
          </w:p>
          <w:p w14:paraId="2577117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Comparison: 40mg/kg/day of D-glucose (anhydrous) </w:t>
            </w:r>
          </w:p>
          <w:p w14:paraId="63E6F247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 placebo was similarly administered in a daily dose of 40mg/kg in two colored capsules.</w:t>
            </w:r>
          </w:p>
          <w:p w14:paraId="2DE9700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For 30 days</w:t>
            </w:r>
          </w:p>
        </w:tc>
      </w:tr>
      <w:tr w:rsidR="007B4936" w:rsidRPr="002339AF" w14:paraId="73AE6D43" w14:textId="77777777" w:rsidTr="006700A8">
        <w:tc>
          <w:tcPr>
            <w:tcW w:w="2689" w:type="dxa"/>
          </w:tcPr>
          <w:p w14:paraId="6E45D8D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Outcomes</w:t>
            </w:r>
          </w:p>
        </w:tc>
        <w:tc>
          <w:tcPr>
            <w:tcW w:w="5799" w:type="dxa"/>
            <w:gridSpan w:val="2"/>
          </w:tcPr>
          <w:p w14:paraId="089BE88D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Body weight, height, fat free mass, back muscle strength, leg power and anaerobic power</w:t>
            </w:r>
          </w:p>
          <w:p w14:paraId="6035313A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Healthy safety was checked by measuring blood GOT(AST), GPT(ALT), creatinine, BUN</w:t>
            </w:r>
          </w:p>
        </w:tc>
      </w:tr>
      <w:tr w:rsidR="007B4936" w:rsidRPr="002339AF" w14:paraId="4FFF00F9" w14:textId="77777777" w:rsidTr="006700A8">
        <w:tc>
          <w:tcPr>
            <w:tcW w:w="2689" w:type="dxa"/>
          </w:tcPr>
          <w:p w14:paraId="05A2927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Note</w:t>
            </w:r>
          </w:p>
        </w:tc>
        <w:tc>
          <w:tcPr>
            <w:tcW w:w="5799" w:type="dxa"/>
            <w:gridSpan w:val="2"/>
          </w:tcPr>
          <w:p w14:paraId="48D97AB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ill effect on the athletes throughout the experimental period.</w:t>
            </w:r>
          </w:p>
          <w:p w14:paraId="5A4624CF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Creatinine levels were significantly greater in the amino acid group at post-test than at pre-test, but not in the placebo group, and urea nitrogen levels were also significantly greater at post-test than at pre-test. Amino acid supplementation increased creatinine and urea nitrogen, indicating the potential for kidney stress, and more careful health evaluation is warranted when considering higher doses of amino acids. </w:t>
            </w:r>
          </w:p>
        </w:tc>
      </w:tr>
      <w:tr w:rsidR="007B4936" w:rsidRPr="002339AF" w14:paraId="42B81083" w14:textId="77777777" w:rsidTr="006700A8">
        <w:tc>
          <w:tcPr>
            <w:tcW w:w="8488" w:type="dxa"/>
            <w:gridSpan w:val="3"/>
          </w:tcPr>
          <w:p w14:paraId="04D54041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40EB165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Risk of Bias</w:t>
            </w:r>
          </w:p>
        </w:tc>
      </w:tr>
      <w:tr w:rsidR="007B4936" w:rsidRPr="002339AF" w14:paraId="3F3DD700" w14:textId="77777777" w:rsidTr="006700A8">
        <w:tc>
          <w:tcPr>
            <w:tcW w:w="2689" w:type="dxa"/>
          </w:tcPr>
          <w:p w14:paraId="2A5E3A7F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Bias</w:t>
            </w:r>
          </w:p>
        </w:tc>
        <w:tc>
          <w:tcPr>
            <w:tcW w:w="2126" w:type="dxa"/>
          </w:tcPr>
          <w:p w14:paraId="7BF6E9DB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Author’s judgement</w:t>
            </w:r>
          </w:p>
        </w:tc>
        <w:tc>
          <w:tcPr>
            <w:tcW w:w="3673" w:type="dxa"/>
          </w:tcPr>
          <w:p w14:paraId="4A7680F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Support for judgement</w:t>
            </w:r>
          </w:p>
        </w:tc>
      </w:tr>
      <w:tr w:rsidR="007B4936" w:rsidRPr="002339AF" w14:paraId="04BD7E2E" w14:textId="77777777" w:rsidTr="006700A8">
        <w:tc>
          <w:tcPr>
            <w:tcW w:w="2689" w:type="dxa"/>
            <w:vAlign w:val="center"/>
          </w:tcPr>
          <w:p w14:paraId="426DE3FB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Random sequence generation (selection bias)</w:t>
            </w:r>
          </w:p>
        </w:tc>
        <w:tc>
          <w:tcPr>
            <w:tcW w:w="2126" w:type="dxa"/>
            <w:vAlign w:val="center"/>
          </w:tcPr>
          <w:p w14:paraId="0CCFEAE1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1F727349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1D3F804B" w14:textId="77777777" w:rsidTr="006700A8">
        <w:tc>
          <w:tcPr>
            <w:tcW w:w="2689" w:type="dxa"/>
            <w:vAlign w:val="center"/>
          </w:tcPr>
          <w:p w14:paraId="749E6933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Allocation concealment</w:t>
            </w: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 (selection bias)</w:t>
            </w:r>
          </w:p>
        </w:tc>
        <w:tc>
          <w:tcPr>
            <w:tcW w:w="2126" w:type="dxa"/>
            <w:vAlign w:val="center"/>
          </w:tcPr>
          <w:p w14:paraId="7C36B61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Unclear</w:t>
            </w:r>
          </w:p>
        </w:tc>
        <w:tc>
          <w:tcPr>
            <w:tcW w:w="3673" w:type="dxa"/>
            <w:vAlign w:val="center"/>
          </w:tcPr>
          <w:p w14:paraId="59F4BE90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 further details</w:t>
            </w:r>
          </w:p>
        </w:tc>
      </w:tr>
      <w:tr w:rsidR="007B4936" w:rsidRPr="002339AF" w14:paraId="7B061D50" w14:textId="77777777" w:rsidTr="006700A8">
        <w:tc>
          <w:tcPr>
            <w:tcW w:w="2689" w:type="dxa"/>
            <w:vAlign w:val="center"/>
          </w:tcPr>
          <w:p w14:paraId="282978E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participants and personnel (performance bias)</w:t>
            </w:r>
          </w:p>
        </w:tc>
        <w:tc>
          <w:tcPr>
            <w:tcW w:w="2126" w:type="dxa"/>
            <w:vAlign w:val="center"/>
          </w:tcPr>
          <w:p w14:paraId="5A0F8CC8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2198B93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624C2433" w14:textId="77777777" w:rsidTr="006700A8">
        <w:tc>
          <w:tcPr>
            <w:tcW w:w="2689" w:type="dxa"/>
            <w:vAlign w:val="center"/>
          </w:tcPr>
          <w:p w14:paraId="349F77F4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Blinding of outcome assessment (detection bias)</w:t>
            </w:r>
          </w:p>
        </w:tc>
        <w:tc>
          <w:tcPr>
            <w:tcW w:w="2126" w:type="dxa"/>
            <w:vAlign w:val="center"/>
          </w:tcPr>
          <w:p w14:paraId="64C9A913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27682B26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researchers and subjects were blinded to intervention assignments throughout the study period.</w:t>
            </w:r>
          </w:p>
        </w:tc>
      </w:tr>
      <w:tr w:rsidR="007B4936" w:rsidRPr="002339AF" w14:paraId="6AC328AB" w14:textId="77777777" w:rsidTr="006700A8">
        <w:tc>
          <w:tcPr>
            <w:tcW w:w="2689" w:type="dxa"/>
            <w:vAlign w:val="center"/>
          </w:tcPr>
          <w:p w14:paraId="1E1598BD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Incomplete outcome data (attrition bias)</w:t>
            </w:r>
          </w:p>
        </w:tc>
        <w:tc>
          <w:tcPr>
            <w:tcW w:w="2126" w:type="dxa"/>
            <w:vAlign w:val="center"/>
          </w:tcPr>
          <w:p w14:paraId="3D9146D4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09570763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subjects completed the study protocol scheduled.</w:t>
            </w:r>
          </w:p>
        </w:tc>
      </w:tr>
      <w:tr w:rsidR="007B4936" w:rsidRPr="002339AF" w14:paraId="68A72E2C" w14:textId="77777777" w:rsidTr="006700A8">
        <w:tc>
          <w:tcPr>
            <w:tcW w:w="2689" w:type="dxa"/>
            <w:vAlign w:val="center"/>
          </w:tcPr>
          <w:p w14:paraId="5BFC21CE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Selective reporting </w:t>
            </w:r>
          </w:p>
          <w:p w14:paraId="72A9B513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(reporting bias)</w:t>
            </w:r>
          </w:p>
        </w:tc>
        <w:tc>
          <w:tcPr>
            <w:tcW w:w="2126" w:type="dxa"/>
            <w:vAlign w:val="center"/>
          </w:tcPr>
          <w:p w14:paraId="7394808D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</w:tcPr>
          <w:p w14:paraId="23149BBC" w14:textId="77777777" w:rsidR="007B4936" w:rsidRPr="002339AF" w:rsidRDefault="007B4936" w:rsidP="006700A8">
            <w:pPr>
              <w:widowControl w:val="0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All data collection was done according to the study plan and all results were reported.</w:t>
            </w:r>
          </w:p>
        </w:tc>
      </w:tr>
      <w:tr w:rsidR="007B4936" w:rsidRPr="00FF2CFF" w14:paraId="6B5F4D43" w14:textId="77777777" w:rsidTr="006700A8">
        <w:tc>
          <w:tcPr>
            <w:tcW w:w="2689" w:type="dxa"/>
            <w:vAlign w:val="center"/>
          </w:tcPr>
          <w:p w14:paraId="70A334A2" w14:textId="77777777" w:rsidR="007B4936" w:rsidRPr="002339A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Other bias</w:t>
            </w:r>
          </w:p>
        </w:tc>
        <w:tc>
          <w:tcPr>
            <w:tcW w:w="2126" w:type="dxa"/>
            <w:vAlign w:val="center"/>
          </w:tcPr>
          <w:p w14:paraId="40272536" w14:textId="77777777" w:rsidR="007B4936" w:rsidRPr="002339AF" w:rsidRDefault="007B4936" w:rsidP="006700A8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  <w:tc>
          <w:tcPr>
            <w:tcW w:w="3673" w:type="dxa"/>
            <w:vAlign w:val="center"/>
          </w:tcPr>
          <w:p w14:paraId="38CB53EC" w14:textId="77777777" w:rsidR="007B4936" w:rsidRPr="00FF2CFF" w:rsidRDefault="007B4936" w:rsidP="006700A8">
            <w:pPr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39AF">
              <w:rPr>
                <w:rFonts w:ascii="Times New Roman" w:hAnsi="Times New Roman" w:cs="Times New Roman"/>
                <w:color w:val="000000" w:themeColor="text1"/>
                <w:sz w:val="24"/>
              </w:rPr>
              <w:t>None noted</w:t>
            </w:r>
          </w:p>
        </w:tc>
      </w:tr>
    </w:tbl>
    <w:p w14:paraId="4223FCF3" w14:textId="77777777" w:rsidR="007B4936" w:rsidRPr="00FF2CFF" w:rsidRDefault="007B4936" w:rsidP="007B493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79ABC89F" w14:textId="77777777" w:rsidR="007B4936" w:rsidRPr="00FF2CFF" w:rsidRDefault="007B4936" w:rsidP="007B4936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14:paraId="4E3C6D81" w14:textId="77777777" w:rsidR="007B4936" w:rsidRPr="00FF2CFF" w:rsidRDefault="007B4936" w:rsidP="007B4936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41BD82" w14:textId="77777777" w:rsidR="007B4936" w:rsidRPr="00FF2CFF" w:rsidRDefault="007B4936" w:rsidP="007B4936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1027A7" w14:textId="77777777" w:rsidR="00355924" w:rsidRDefault="00355924"/>
    <w:sectPr w:rsidR="00355924" w:rsidSect="00BE1EE0">
      <w:pgSz w:w="11900" w:h="16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0A0E" w14:textId="77777777" w:rsidR="00DE5B33" w:rsidRDefault="00DE5B33">
      <w:pPr>
        <w:spacing w:after="0" w:line="240" w:lineRule="auto"/>
      </w:pPr>
      <w:r>
        <w:separator/>
      </w:r>
    </w:p>
  </w:endnote>
  <w:endnote w:type="continuationSeparator" w:id="0">
    <w:p w14:paraId="6F600C26" w14:textId="77777777" w:rsidR="00DE5B33" w:rsidRDefault="00DE5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3C8CE" w14:textId="77777777" w:rsidR="00DE5B33" w:rsidRDefault="00DE5B33">
      <w:pPr>
        <w:spacing w:after="0" w:line="240" w:lineRule="auto"/>
      </w:pPr>
      <w:r>
        <w:separator/>
      </w:r>
    </w:p>
  </w:footnote>
  <w:footnote w:type="continuationSeparator" w:id="0">
    <w:p w14:paraId="33533A20" w14:textId="77777777" w:rsidR="00DE5B33" w:rsidRDefault="00DE5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36"/>
    <w:rsid w:val="001D311D"/>
    <w:rsid w:val="002339AF"/>
    <w:rsid w:val="00280FD5"/>
    <w:rsid w:val="00302CA5"/>
    <w:rsid w:val="00327CC7"/>
    <w:rsid w:val="00355924"/>
    <w:rsid w:val="003D2C4A"/>
    <w:rsid w:val="003F13BC"/>
    <w:rsid w:val="00721E6B"/>
    <w:rsid w:val="00740821"/>
    <w:rsid w:val="007B4936"/>
    <w:rsid w:val="00806B7C"/>
    <w:rsid w:val="00840565"/>
    <w:rsid w:val="00932631"/>
    <w:rsid w:val="009C4758"/>
    <w:rsid w:val="00A7150A"/>
    <w:rsid w:val="00B2459A"/>
    <w:rsid w:val="00BC0737"/>
    <w:rsid w:val="00C33E5F"/>
    <w:rsid w:val="00C50AD9"/>
    <w:rsid w:val="00C73495"/>
    <w:rsid w:val="00D2652A"/>
    <w:rsid w:val="00D879F4"/>
    <w:rsid w:val="00DA2B1C"/>
    <w:rsid w:val="00DE5B33"/>
    <w:rsid w:val="00E060FF"/>
    <w:rsid w:val="00E828B8"/>
    <w:rsid w:val="00EA4CE2"/>
    <w:rsid w:val="00F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728D5"/>
  <w15:chartTrackingRefBased/>
  <w15:docId w15:val="{741B85FA-1191-5F40-800C-C6E432ED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936"/>
    <w:pPr>
      <w:spacing w:after="160" w:line="259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4936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936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936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936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49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49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49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49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493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4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936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49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936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  <w:szCs w:val="24"/>
    </w:rPr>
  </w:style>
  <w:style w:type="character" w:customStyle="1" w:styleId="a8">
    <w:name w:val="引用文 (文字)"/>
    <w:basedOn w:val="a0"/>
    <w:link w:val="a7"/>
    <w:uiPriority w:val="29"/>
    <w:rsid w:val="007B49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936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szCs w:val="24"/>
    </w:rPr>
  </w:style>
  <w:style w:type="character" w:styleId="21">
    <w:name w:val="Intense Emphasis"/>
    <w:basedOn w:val="a0"/>
    <w:uiPriority w:val="21"/>
    <w:qFormat/>
    <w:rsid w:val="007B49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493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szCs w:val="24"/>
    </w:rPr>
  </w:style>
  <w:style w:type="character" w:customStyle="1" w:styleId="23">
    <w:name w:val="引用文 2 (文字)"/>
    <w:basedOn w:val="a0"/>
    <w:link w:val="22"/>
    <w:uiPriority w:val="30"/>
    <w:rsid w:val="007B49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4936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7B49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4936"/>
    <w:rPr>
      <w:kern w:val="0"/>
      <w:sz w:val="22"/>
      <w:szCs w:val="22"/>
    </w:rPr>
  </w:style>
  <w:style w:type="table" w:customStyle="1" w:styleId="11">
    <w:name w:val="表 (格子)1"/>
    <w:basedOn w:val="a1"/>
    <w:next w:val="ac"/>
    <w:uiPriority w:val="39"/>
    <w:rsid w:val="007B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B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A2B1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A2B1C"/>
    <w:rPr>
      <w:kern w:val="0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C50AD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50AD9"/>
  </w:style>
  <w:style w:type="character" w:customStyle="1" w:styleId="af1">
    <w:name w:val="コメント文字列 (文字)"/>
    <w:basedOn w:val="a0"/>
    <w:link w:val="af0"/>
    <w:uiPriority w:val="99"/>
    <w:rsid w:val="00C50AD9"/>
    <w:rPr>
      <w:kern w:val="0"/>
      <w:sz w:val="22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0AD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50AD9"/>
    <w:rPr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Hayamizu Kohsuke</dc:creator>
  <cp:keywords/>
  <dc:description/>
  <cp:lastModifiedBy>Kohsuke Hayamizu</cp:lastModifiedBy>
  <cp:revision>6</cp:revision>
  <cp:lastPrinted>2025-03-06T02:35:00Z</cp:lastPrinted>
  <dcterms:created xsi:type="dcterms:W3CDTF">2024-11-13T23:53:00Z</dcterms:created>
  <dcterms:modified xsi:type="dcterms:W3CDTF">2025-03-06T02:35:00Z</dcterms:modified>
</cp:coreProperties>
</file>