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496" w:rsidRDefault="005B6A02" w:rsidP="009F66AD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3496">
        <w:rPr>
          <w:rFonts w:ascii="Times New Roman" w:hAnsi="Times New Roman" w:cs="Times New Roman"/>
          <w:color w:val="000000" w:themeColor="text1"/>
          <w:sz w:val="24"/>
          <w:szCs w:val="24"/>
        </w:rPr>
        <w:t>Supplementary Tables</w:t>
      </w:r>
      <w:bookmarkStart w:id="0" w:name="_GoBack"/>
      <w:bookmarkEnd w:id="0"/>
    </w:p>
    <w:p w:rsidR="009F66AD" w:rsidRPr="009F66AD" w:rsidRDefault="009F66AD" w:rsidP="009F66AD"/>
    <w:p w:rsidR="005A0A0B" w:rsidRPr="007C3496" w:rsidRDefault="005A0A0B" w:rsidP="005A0A0B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Table S1</w:t>
      </w:r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. </w:t>
      </w:r>
      <w:r w:rsidR="009F66AD">
        <w:rPr>
          <w:rFonts w:cs="Times New Roman"/>
          <w:b/>
          <w:color w:val="000000" w:themeColor="text1"/>
          <w:sz w:val="24"/>
          <w:szCs w:val="24"/>
        </w:rPr>
        <w:t xml:space="preserve">Details of </w:t>
      </w:r>
      <w:proofErr w:type="spellStart"/>
      <w:r w:rsidRPr="007C3496">
        <w:rPr>
          <w:rFonts w:cs="Times New Roman"/>
          <w:b/>
          <w:color w:val="000000" w:themeColor="text1"/>
          <w:sz w:val="24"/>
          <w:szCs w:val="24"/>
        </w:rPr>
        <w:t>RCNNricePPI</w:t>
      </w:r>
      <w:proofErr w:type="spellEnd"/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 model development and evaluation settings.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5A0A0B" w:rsidRPr="007C3496" w:rsidTr="00846640">
        <w:trPr>
          <w:tblHeader/>
          <w:jc w:val="center"/>
        </w:trPr>
        <w:tc>
          <w:tcPr>
            <w:tcW w:w="5112" w:type="dxa"/>
            <w:shd w:val="clear" w:color="auto" w:fill="D9EAF7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Component</w:t>
            </w:r>
          </w:p>
        </w:tc>
        <w:tc>
          <w:tcPr>
            <w:tcW w:w="5112" w:type="dxa"/>
            <w:shd w:val="clear" w:color="auto" w:fill="D9EAF7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Final setting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Protein representation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Pre-trained Word2Vec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embeddings</w:t>
            </w:r>
            <w:proofErr w:type="spellEnd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 based on the 20 standard amino acids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Embedding dimension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Maximum sequence length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2,000 residues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Proteins exceeding maximum length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13 of 4,421 (0.29%)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Feature extraction blocks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4 Conv1D +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MaxPooling</w:t>
            </w:r>
            <w:proofErr w:type="spellEnd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 blocks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Conv1D kernel size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MaxPooling</w:t>
            </w:r>
            <w:proofErr w:type="spellEnd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 size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Sequence modeling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4 Bidirectional GRU blocks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GRU hidden dimension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Pooling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Global Average Pooling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Fusion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Element-wise multiplication of paired protein representations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Dense layer 1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100 units +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LeakyReLU</w:t>
            </w:r>
            <w:proofErr w:type="spellEnd"/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Dense layer 2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28 units +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LeakyReLU</w:t>
            </w:r>
            <w:proofErr w:type="spellEnd"/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Output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2-unit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Softmax</w:t>
            </w:r>
            <w:proofErr w:type="spellEnd"/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Optimizer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Adam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Initial learning rate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Batch size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Maximum epochs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Final training epochs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Loss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Categorical cross-entropy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Class weighting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Inverse-frequency weighting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Cross-validation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Balanced 5-fold protein-disjoint CV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Classification threshold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0.40, selected during CV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Independent test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3,186 pairs; held out from model development</w:t>
            </w:r>
          </w:p>
        </w:tc>
      </w:tr>
    </w:tbl>
    <w:p w:rsidR="009F66AD" w:rsidRDefault="009F66AD" w:rsidP="007C3496">
      <w:pPr>
        <w:rPr>
          <w:rFonts w:cs="Times New Roman"/>
          <w:b/>
          <w:color w:val="000000" w:themeColor="text1"/>
          <w:sz w:val="24"/>
          <w:szCs w:val="24"/>
        </w:rPr>
      </w:pPr>
    </w:p>
    <w:p w:rsidR="007C3496" w:rsidRPr="007C3496" w:rsidRDefault="007C3496" w:rsidP="007C3496">
      <w:pPr>
        <w:rPr>
          <w:rFonts w:cs="Times New Roman"/>
          <w:color w:val="000000" w:themeColor="text1"/>
          <w:sz w:val="24"/>
          <w:szCs w:val="24"/>
        </w:rPr>
      </w:pPr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Table S2. </w:t>
      </w:r>
      <w:r w:rsidR="009F66AD">
        <w:rPr>
          <w:rFonts w:cs="Times New Roman"/>
          <w:b/>
          <w:color w:val="000000" w:themeColor="text1"/>
          <w:sz w:val="24"/>
          <w:szCs w:val="24"/>
        </w:rPr>
        <w:t>Details of p</w:t>
      </w:r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rotein-disjoint </w:t>
      </w:r>
      <w:r w:rsidR="009F66AD">
        <w:rPr>
          <w:rFonts w:cs="Times New Roman"/>
          <w:b/>
          <w:color w:val="000000" w:themeColor="text1"/>
          <w:sz w:val="24"/>
          <w:szCs w:val="24"/>
        </w:rPr>
        <w:t xml:space="preserve">model </w:t>
      </w:r>
      <w:r w:rsidRPr="007C3496">
        <w:rPr>
          <w:rFonts w:cs="Times New Roman"/>
          <w:b/>
          <w:color w:val="000000" w:themeColor="text1"/>
          <w:sz w:val="24"/>
          <w:szCs w:val="24"/>
        </w:rPr>
        <w:t>development and independent test set composition.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2"/>
        <w:gridCol w:w="2042"/>
        <w:gridCol w:w="2043"/>
        <w:gridCol w:w="2044"/>
      </w:tblGrid>
      <w:tr w:rsidR="007C3496" w:rsidRPr="007C3496" w:rsidTr="005B6A02">
        <w:trPr>
          <w:tblHeader/>
          <w:jc w:val="center"/>
        </w:trPr>
        <w:tc>
          <w:tcPr>
            <w:tcW w:w="2045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Dataset</w:t>
            </w:r>
          </w:p>
        </w:tc>
        <w:tc>
          <w:tcPr>
            <w:tcW w:w="2045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PPI pairs</w:t>
            </w:r>
          </w:p>
        </w:tc>
        <w:tc>
          <w:tcPr>
            <w:tcW w:w="2045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2045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Proteins / Description</w:t>
            </w:r>
          </w:p>
        </w:tc>
      </w:tr>
      <w:tr w:rsidR="007C3496" w:rsidRPr="007C3496" w:rsidTr="005B6A02">
        <w:trPr>
          <w:jc w:val="center"/>
        </w:trPr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Model development set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3,488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294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3,194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3,001 proteins available for CV</w:t>
            </w:r>
          </w:p>
        </w:tc>
      </w:tr>
      <w:tr w:rsidR="007C3496" w:rsidRPr="007C3496" w:rsidTr="005B6A02">
        <w:trPr>
          <w:jc w:val="center"/>
        </w:trPr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Independent test set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3,186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272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2,914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Held-out test proteins; not used for model development or CV</w:t>
            </w:r>
          </w:p>
        </w:tc>
      </w:tr>
      <w:tr w:rsidR="007C3496" w:rsidRPr="007C3496" w:rsidTr="005B6A02">
        <w:trPr>
          <w:jc w:val="center"/>
        </w:trPr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Total cleaned dataset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6,674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566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6,108</w:t>
            </w:r>
          </w:p>
        </w:tc>
        <w:tc>
          <w:tcPr>
            <w:tcW w:w="2045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4,168 PPI proteins</w:t>
            </w:r>
          </w:p>
        </w:tc>
      </w:tr>
    </w:tbl>
    <w:p w:rsidR="007C3496" w:rsidRPr="007C3496" w:rsidRDefault="007C3496" w:rsidP="007C3496">
      <w:pPr>
        <w:rPr>
          <w:rFonts w:cs="Times New Roman"/>
          <w:color w:val="000000" w:themeColor="text1"/>
          <w:sz w:val="24"/>
          <w:szCs w:val="24"/>
        </w:rPr>
      </w:pPr>
      <w:r w:rsidRPr="007C3496">
        <w:rPr>
          <w:rFonts w:cs="Times New Roman"/>
          <w:b/>
          <w:color w:val="000000" w:themeColor="text1"/>
          <w:sz w:val="24"/>
          <w:szCs w:val="24"/>
        </w:rPr>
        <w:lastRenderedPageBreak/>
        <w:t xml:space="preserve">Table S3. </w:t>
      </w:r>
      <w:r w:rsidR="009F66AD">
        <w:rPr>
          <w:rFonts w:cs="Times New Roman"/>
          <w:b/>
          <w:color w:val="000000" w:themeColor="text1"/>
          <w:sz w:val="24"/>
          <w:szCs w:val="24"/>
        </w:rPr>
        <w:t>Details of f</w:t>
      </w:r>
      <w:r w:rsidRPr="007C3496">
        <w:rPr>
          <w:rFonts w:cs="Times New Roman"/>
          <w:b/>
          <w:color w:val="000000" w:themeColor="text1"/>
          <w:sz w:val="24"/>
          <w:szCs w:val="24"/>
        </w:rPr>
        <w:t>inal balanced protein-disjoint five-fold cross-validation fold distribution.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4"/>
        <w:gridCol w:w="1278"/>
        <w:gridCol w:w="1107"/>
        <w:gridCol w:w="1107"/>
        <w:gridCol w:w="1107"/>
        <w:gridCol w:w="1107"/>
        <w:gridCol w:w="1278"/>
        <w:gridCol w:w="1278"/>
        <w:gridCol w:w="1278"/>
      </w:tblGrid>
      <w:tr w:rsidR="007C3496" w:rsidRPr="007C3496" w:rsidTr="005B6A02">
        <w:trPr>
          <w:tblHeader/>
          <w:jc w:val="center"/>
        </w:trPr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Fold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Validation proteins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Training proteins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Training pairs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Training positive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Training negative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Validation pairs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Validation positive</w:t>
            </w:r>
          </w:p>
        </w:tc>
        <w:tc>
          <w:tcPr>
            <w:tcW w:w="113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Validation negative</w:t>
            </w:r>
          </w:p>
        </w:tc>
      </w:tr>
      <w:tr w:rsidR="007C3496" w:rsidRPr="007C3496" w:rsidTr="005B6A02">
        <w:trPr>
          <w:jc w:val="center"/>
        </w:trPr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601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2,229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2,226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187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2,039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1,262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1,155</w:t>
            </w:r>
          </w:p>
        </w:tc>
      </w:tr>
      <w:tr w:rsidR="007C3496" w:rsidRPr="007C3496" w:rsidTr="005B6A02">
        <w:trPr>
          <w:jc w:val="center"/>
        </w:trPr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2,223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2,282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187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2,095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1,206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1,099</w:t>
            </w:r>
          </w:p>
        </w:tc>
      </w:tr>
      <w:tr w:rsidR="007C3496" w:rsidRPr="007C3496" w:rsidTr="005B6A02">
        <w:trPr>
          <w:jc w:val="center"/>
        </w:trPr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2,223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2,235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2,046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1,253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1,148</w:t>
            </w:r>
          </w:p>
        </w:tc>
      </w:tr>
      <w:tr w:rsidR="007C3496" w:rsidRPr="007C3496" w:rsidTr="005B6A02">
        <w:trPr>
          <w:jc w:val="center"/>
        </w:trPr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2,204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2,194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191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2,003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1,294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1,191</w:t>
            </w:r>
          </w:p>
        </w:tc>
      </w:tr>
      <w:tr w:rsidR="007C3496" w:rsidRPr="007C3496" w:rsidTr="005B6A02">
        <w:trPr>
          <w:jc w:val="center"/>
        </w:trPr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2,223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2,230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2,041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1,258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13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1,153</w:t>
            </w:r>
          </w:p>
        </w:tc>
      </w:tr>
    </w:tbl>
    <w:p w:rsidR="007C3496" w:rsidRDefault="007C3496" w:rsidP="005A0A0B">
      <w:pPr>
        <w:spacing w:after="160"/>
        <w:jc w:val="both"/>
        <w:rPr>
          <w:rFonts w:cs="Times New Roman"/>
          <w:i/>
          <w:color w:val="000000" w:themeColor="text1"/>
          <w:sz w:val="24"/>
          <w:szCs w:val="24"/>
        </w:rPr>
      </w:pPr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Note. </w:t>
      </w:r>
      <w:r w:rsidRPr="007C3496">
        <w:rPr>
          <w:rFonts w:cs="Times New Roman"/>
          <w:i/>
          <w:color w:val="000000" w:themeColor="text1"/>
          <w:sz w:val="24"/>
          <w:szCs w:val="24"/>
        </w:rPr>
        <w:t>Within each fold, validation proteins and training proteins had zero overlap. Cross-fold pair representation is possible because the table summarizes protein-disjoint folds rather than assigning each pair to exactly one fold.</w:t>
      </w:r>
    </w:p>
    <w:p w:rsidR="00817A93" w:rsidRPr="00817A93" w:rsidRDefault="00817A93" w:rsidP="00817A93">
      <w:pPr>
        <w:spacing w:before="100" w:beforeAutospacing="1" w:after="100" w:afterAutospacing="1" w:line="360" w:lineRule="auto"/>
        <w:jc w:val="both"/>
        <w:rPr>
          <w:rFonts w:eastAsia="Times New Roman" w:cs="Times New Roman"/>
          <w:b/>
          <w:bCs/>
          <w:sz w:val="24"/>
          <w:szCs w:val="24"/>
          <w:lang w:eastAsia="en-IN" w:bidi="hi-IN"/>
        </w:rPr>
      </w:pPr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 xml:space="preserve">Table </w:t>
      </w:r>
      <w:r>
        <w:rPr>
          <w:rFonts w:eastAsia="Times New Roman" w:cs="Times New Roman"/>
          <w:b/>
          <w:bCs/>
          <w:sz w:val="24"/>
          <w:szCs w:val="24"/>
          <w:lang w:eastAsia="en-IN" w:bidi="hi-IN"/>
        </w:rPr>
        <w:t>S4</w:t>
      </w:r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>.</w:t>
      </w:r>
      <w:r w:rsidRPr="00817A93">
        <w:rPr>
          <w:rFonts w:eastAsia="Times New Roman" w:cs="Times New Roman"/>
          <w:sz w:val="24"/>
          <w:szCs w:val="24"/>
          <w:lang w:eastAsia="en-IN" w:bidi="hi-IN"/>
        </w:rPr>
        <w:t xml:space="preserve"> </w:t>
      </w:r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 xml:space="preserve">Performance of </w:t>
      </w:r>
      <w:proofErr w:type="spellStart"/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>RCNNricePPI</w:t>
      </w:r>
      <w:proofErr w:type="spellEnd"/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 xml:space="preserve"> on the independent protein-aware test set</w:t>
      </w:r>
      <w:r w:rsidRPr="00817A93">
        <w:rPr>
          <w:rFonts w:eastAsia="Times New Roman" w:cs="Times New Roman"/>
          <w:b/>
          <w:bCs/>
          <w:sz w:val="24"/>
          <w:szCs w:val="24"/>
          <w:lang w:val="en-IN" w:eastAsia="en-IN" w:bidi="hi-IN"/>
        </w:rPr>
        <w:t xml:space="preserve"> with bootstrap 95% confidence intervals.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3405"/>
        <w:gridCol w:w="3404"/>
        <w:gridCol w:w="3405"/>
      </w:tblGrid>
      <w:tr w:rsidR="00817A93" w:rsidRPr="00817A93" w:rsidTr="005055A8">
        <w:trPr>
          <w:tblHeader/>
          <w:jc w:val="center"/>
        </w:trPr>
        <w:tc>
          <w:tcPr>
            <w:tcW w:w="3408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  <w:t>Metric</w:t>
            </w:r>
          </w:p>
        </w:tc>
        <w:tc>
          <w:tcPr>
            <w:tcW w:w="3408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  <w:t>Estimate</w:t>
            </w:r>
          </w:p>
        </w:tc>
        <w:tc>
          <w:tcPr>
            <w:tcW w:w="3408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sz w:val="24"/>
                <w:szCs w:val="24"/>
                <w:lang w:eastAsia="en-IN" w:bidi="hi-IN"/>
              </w:rPr>
              <w:t>95% confidence interval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Accuracy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0.8995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0.8889–0.9102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Balanced accuracy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0.7447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0.7132–0.7752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Precision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0.4305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0.3789–0.4825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Recall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0.5581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0.4960–0.6192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F1-score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0.4857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0.4343–0.5329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MCC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0.4358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0.3824–0.4856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AUROC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0.8293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0.7991–0.8587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AUPRC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0.5335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0.4707–0.5913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Brier score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0.0710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0.0640–0.0781</w:t>
            </w:r>
          </w:p>
        </w:tc>
      </w:tr>
      <w:tr w:rsidR="00817A93" w:rsidRPr="00817A93" w:rsidTr="005055A8">
        <w:trPr>
          <w:jc w:val="center"/>
        </w:trPr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Classification threshold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0.40</w:t>
            </w:r>
          </w:p>
        </w:tc>
        <w:tc>
          <w:tcPr>
            <w:tcW w:w="3408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sz w:val="24"/>
                <w:szCs w:val="24"/>
                <w:lang w:eastAsia="en-IN" w:bidi="hi-IN"/>
              </w:rPr>
              <w:t>CV-selected fixed threshold</w:t>
            </w:r>
          </w:p>
        </w:tc>
      </w:tr>
    </w:tbl>
    <w:p w:rsidR="00817A93" w:rsidRPr="00817A93" w:rsidRDefault="00817A93" w:rsidP="005A0A0B">
      <w:pPr>
        <w:spacing w:after="160"/>
        <w:jc w:val="both"/>
        <w:rPr>
          <w:rFonts w:cs="Times New Roman"/>
          <w:iCs/>
          <w:color w:val="000000" w:themeColor="text1"/>
          <w:sz w:val="24"/>
          <w:szCs w:val="24"/>
        </w:rPr>
      </w:pPr>
    </w:p>
    <w:p w:rsidR="007C3496" w:rsidRPr="007C3496" w:rsidRDefault="00817A93" w:rsidP="007C3496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Table S5</w:t>
      </w:r>
      <w:r w:rsidR="007C3496" w:rsidRPr="007C3496">
        <w:rPr>
          <w:rFonts w:cs="Times New Roman"/>
          <w:b/>
          <w:color w:val="000000" w:themeColor="text1"/>
          <w:sz w:val="24"/>
          <w:szCs w:val="24"/>
        </w:rPr>
        <w:t>. Independent test confusion matrix and class-wise performance at the CV-selected classification threshold.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7C3496" w:rsidRPr="007C3496" w:rsidTr="005B6A02">
        <w:trPr>
          <w:tblHeader/>
          <w:jc w:val="center"/>
        </w:trPr>
        <w:tc>
          <w:tcPr>
            <w:tcW w:w="511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Measure</w:t>
            </w:r>
          </w:p>
        </w:tc>
        <w:tc>
          <w:tcPr>
            <w:tcW w:w="511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Value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True negatives (TN)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2,714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False positives (FP)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False negatives (FN)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120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True positives (TP)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Positive test samples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272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Negative test samples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2,914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Positive prevalence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0.085374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Random AUPRC baseline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0.085374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Classification threshold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0.40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No-interaction precision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0.9577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No-interaction recall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0.9314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No-interaction F1-score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0.9443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Interaction precision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0.4318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Interaction recall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0.5588</w:t>
            </w:r>
          </w:p>
        </w:tc>
      </w:tr>
      <w:tr w:rsidR="007C3496" w:rsidRPr="007C3496" w:rsidTr="005B6A02">
        <w:trPr>
          <w:jc w:val="center"/>
        </w:trPr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Interaction F1-score</w:t>
            </w:r>
          </w:p>
        </w:tc>
        <w:tc>
          <w:tcPr>
            <w:tcW w:w="511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0.4872</w:t>
            </w:r>
          </w:p>
        </w:tc>
      </w:tr>
    </w:tbl>
    <w:p w:rsidR="007C3496" w:rsidRPr="007C3496" w:rsidRDefault="007C3496" w:rsidP="005A0A0B">
      <w:pPr>
        <w:spacing w:after="160"/>
        <w:jc w:val="both"/>
        <w:rPr>
          <w:rFonts w:cs="Times New Roman"/>
          <w:color w:val="000000" w:themeColor="text1"/>
          <w:sz w:val="24"/>
          <w:szCs w:val="24"/>
        </w:rPr>
      </w:pPr>
      <w:r w:rsidRPr="007C3496">
        <w:rPr>
          <w:rFonts w:cs="Times New Roman"/>
          <w:b/>
          <w:color w:val="000000" w:themeColor="text1"/>
          <w:sz w:val="24"/>
          <w:szCs w:val="24"/>
        </w:rPr>
        <w:t xml:space="preserve">Note. </w:t>
      </w:r>
      <w:r w:rsidRPr="007C3496">
        <w:rPr>
          <w:rFonts w:cs="Times New Roman"/>
          <w:i/>
          <w:color w:val="000000" w:themeColor="text1"/>
          <w:sz w:val="24"/>
          <w:szCs w:val="24"/>
        </w:rPr>
        <w:t>Performance is reported at the fixed classification threshold of 0.40 selected from protein-disjoint cross-validation.</w:t>
      </w:r>
    </w:p>
    <w:p w:rsidR="007C3496" w:rsidRPr="007C3496" w:rsidRDefault="00981C5B" w:rsidP="007C3496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Table S</w:t>
      </w:r>
      <w:r w:rsidR="00817A93">
        <w:rPr>
          <w:rFonts w:cs="Times New Roman"/>
          <w:b/>
          <w:color w:val="000000" w:themeColor="text1"/>
          <w:sz w:val="24"/>
          <w:szCs w:val="24"/>
        </w:rPr>
        <w:t>6</w:t>
      </w:r>
      <w:r w:rsidR="007C3496" w:rsidRPr="007C3496">
        <w:rPr>
          <w:rFonts w:cs="Times New Roman"/>
          <w:b/>
          <w:color w:val="000000" w:themeColor="text1"/>
          <w:sz w:val="24"/>
          <w:szCs w:val="24"/>
        </w:rPr>
        <w:t>. Independent test performance stratified according to protein novelty.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6"/>
        <w:gridCol w:w="603"/>
        <w:gridCol w:w="788"/>
        <w:gridCol w:w="855"/>
        <w:gridCol w:w="912"/>
        <w:gridCol w:w="893"/>
        <w:gridCol w:w="893"/>
        <w:gridCol w:w="688"/>
        <w:gridCol w:w="688"/>
        <w:gridCol w:w="688"/>
        <w:gridCol w:w="845"/>
        <w:gridCol w:w="817"/>
        <w:gridCol w:w="688"/>
      </w:tblGrid>
      <w:tr w:rsidR="007C3496" w:rsidRPr="007C3496" w:rsidTr="005B6A02">
        <w:trPr>
          <w:tblHeader/>
          <w:jc w:val="center"/>
        </w:trPr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Scenario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Balanced accuracy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Precision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Recall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F1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MCC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AUROC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AUPRC</w:t>
            </w:r>
          </w:p>
        </w:tc>
        <w:tc>
          <w:tcPr>
            <w:tcW w:w="786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</w:tr>
      <w:tr w:rsidR="007C3496" w:rsidRPr="007C3496" w:rsidTr="005B6A02">
        <w:trPr>
          <w:jc w:val="center"/>
        </w:trPr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Both-seen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873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799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0.9038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0.8432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0.4597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0.7703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0.5758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0.5477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0.9259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0.7239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0.0573</w:t>
            </w:r>
          </w:p>
        </w:tc>
      </w:tr>
      <w:tr w:rsidR="007C3496" w:rsidRPr="007C3496" w:rsidTr="005B6A02">
        <w:trPr>
          <w:jc w:val="center"/>
        </w:trPr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One-unseen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2,042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1,867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0.8967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0.7156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0.4143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0.4971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0.4519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0.3974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0.7995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0.4778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0.0757</w:t>
            </w:r>
          </w:p>
        </w:tc>
      </w:tr>
      <w:tr w:rsidR="007C3496" w:rsidRPr="007C3496" w:rsidTr="005B6A02">
        <w:trPr>
          <w:jc w:val="center"/>
        </w:trPr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Both-unseen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271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248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0.9077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0.6538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0.4444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0.3478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0.3902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0.3441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0.7340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0.3283</w:t>
            </w:r>
          </w:p>
        </w:tc>
        <w:tc>
          <w:tcPr>
            <w:tcW w:w="786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0.0801</w:t>
            </w:r>
          </w:p>
        </w:tc>
      </w:tr>
    </w:tbl>
    <w:p w:rsidR="00817A93" w:rsidRPr="00817A93" w:rsidRDefault="00817A93" w:rsidP="00817A93">
      <w:pPr>
        <w:spacing w:before="100" w:beforeAutospacing="1" w:after="100" w:afterAutospacing="1" w:line="360" w:lineRule="auto"/>
        <w:jc w:val="both"/>
        <w:rPr>
          <w:rFonts w:eastAsia="Times New Roman" w:cs="Times New Roman"/>
          <w:b/>
          <w:bCs/>
          <w:sz w:val="24"/>
          <w:szCs w:val="24"/>
          <w:lang w:eastAsia="en-IN" w:bidi="hi-IN"/>
        </w:rPr>
      </w:pPr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 xml:space="preserve">Table S7. Comparative results of </w:t>
      </w:r>
      <w:proofErr w:type="spellStart"/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>RCNNricePPI</w:t>
      </w:r>
      <w:proofErr w:type="spellEnd"/>
      <w:r w:rsidRPr="00817A93">
        <w:rPr>
          <w:rFonts w:eastAsia="Times New Roman" w:cs="Times New Roman"/>
          <w:b/>
          <w:bCs/>
          <w:sz w:val="24"/>
          <w:szCs w:val="24"/>
          <w:lang w:eastAsia="en-IN" w:bidi="hi-IN"/>
        </w:rPr>
        <w:t xml:space="preserve"> with ablated deep-learning architectures and classical machine-learning baselines on the independent test set.</w:t>
      </w: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1305"/>
        <w:gridCol w:w="1163"/>
        <w:gridCol w:w="1045"/>
        <w:gridCol w:w="1045"/>
        <w:gridCol w:w="1172"/>
        <w:gridCol w:w="1149"/>
        <w:gridCol w:w="1045"/>
      </w:tblGrid>
      <w:tr w:rsidR="00817A93" w:rsidRPr="00817A93" w:rsidTr="005055A8">
        <w:trPr>
          <w:tblHeader/>
          <w:jc w:val="center"/>
        </w:trPr>
        <w:tc>
          <w:tcPr>
            <w:tcW w:w="1683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Model</w:t>
            </w:r>
          </w:p>
        </w:tc>
        <w:tc>
          <w:tcPr>
            <w:tcW w:w="1305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Accuracy</w:t>
            </w:r>
          </w:p>
        </w:tc>
        <w:tc>
          <w:tcPr>
            <w:tcW w:w="1132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Balanced accuracy</w:t>
            </w:r>
          </w:p>
        </w:tc>
        <w:tc>
          <w:tcPr>
            <w:tcW w:w="1045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F1</w:t>
            </w:r>
          </w:p>
        </w:tc>
        <w:tc>
          <w:tcPr>
            <w:tcW w:w="1045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MCC</w:t>
            </w:r>
          </w:p>
        </w:tc>
        <w:tc>
          <w:tcPr>
            <w:tcW w:w="1172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AUROC</w:t>
            </w:r>
          </w:p>
        </w:tc>
        <w:tc>
          <w:tcPr>
            <w:tcW w:w="1149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AUPRC</w:t>
            </w:r>
          </w:p>
        </w:tc>
        <w:tc>
          <w:tcPr>
            <w:tcW w:w="1045" w:type="dxa"/>
            <w:shd w:val="clear" w:color="auto" w:fill="D9EAF7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Brier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CNN-only</w:t>
            </w:r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0.6321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0.7172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0.2756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0.2458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0.7895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0.3717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0.1520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proofErr w:type="spellStart"/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BiGRU</w:t>
            </w:r>
            <w:proofErr w:type="spellEnd"/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-only</w:t>
            </w:r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0.3509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0.6218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0.1997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0.1526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0.7705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0.2681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0.2565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CNN-</w:t>
            </w:r>
            <w:proofErr w:type="spellStart"/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BiGRU</w:t>
            </w:r>
            <w:proofErr w:type="spellEnd"/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single-block</w:t>
            </w:r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0.5822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0.7033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0.2577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0.2275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0.7895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0.3491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0.1738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Logistic Regression</w:t>
            </w:r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0.6460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0.6965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0.2675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0.2243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0.7820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0.3191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0.1734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Random Forest</w:t>
            </w:r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0.9036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0.6573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0.3897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0.3391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0.8188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0.4158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color w:val="000000"/>
                <w:sz w:val="24"/>
                <w:szCs w:val="24"/>
                <w:lang w:eastAsia="en-IN" w:bidi="hi-IN"/>
              </w:rPr>
              <w:t>0.0720</w:t>
            </w:r>
          </w:p>
        </w:tc>
      </w:tr>
      <w:tr w:rsidR="00817A93" w:rsidRPr="00817A93" w:rsidTr="005055A8">
        <w:trPr>
          <w:jc w:val="center"/>
        </w:trPr>
        <w:tc>
          <w:tcPr>
            <w:tcW w:w="1683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proofErr w:type="spellStart"/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RCNNricePPI</w:t>
            </w:r>
            <w:proofErr w:type="spellEnd"/>
          </w:p>
        </w:tc>
        <w:tc>
          <w:tcPr>
            <w:tcW w:w="130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0.8996</w:t>
            </w:r>
          </w:p>
        </w:tc>
        <w:tc>
          <w:tcPr>
            <w:tcW w:w="113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0.7451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0.4872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0.4369</w:t>
            </w:r>
          </w:p>
        </w:tc>
        <w:tc>
          <w:tcPr>
            <w:tcW w:w="1172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0.8295</w:t>
            </w:r>
          </w:p>
        </w:tc>
        <w:tc>
          <w:tcPr>
            <w:tcW w:w="1149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0.5341</w:t>
            </w:r>
          </w:p>
        </w:tc>
        <w:tc>
          <w:tcPr>
            <w:tcW w:w="1045" w:type="dxa"/>
            <w:vAlign w:val="center"/>
          </w:tcPr>
          <w:p w:rsidR="00817A93" w:rsidRPr="00817A93" w:rsidRDefault="00817A93" w:rsidP="00817A93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</w:pPr>
            <w:r w:rsidRPr="00817A9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0.0710</w:t>
            </w:r>
          </w:p>
        </w:tc>
      </w:tr>
    </w:tbl>
    <w:p w:rsidR="00817A93" w:rsidRPr="007C3496" w:rsidRDefault="00817A93" w:rsidP="005A0A0B">
      <w:pPr>
        <w:spacing w:after="160"/>
        <w:rPr>
          <w:rFonts w:cs="Times New Roman"/>
          <w:color w:val="000000" w:themeColor="text1"/>
          <w:sz w:val="24"/>
          <w:szCs w:val="24"/>
        </w:rPr>
      </w:pPr>
    </w:p>
    <w:p w:rsidR="00A24345" w:rsidRDefault="009F66AD" w:rsidP="009F66AD">
      <w:pPr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   </w:t>
      </w:r>
    </w:p>
    <w:p w:rsidR="005A0A0B" w:rsidRPr="007C3496" w:rsidRDefault="009F66AD" w:rsidP="009F66AD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lastRenderedPageBreak/>
        <w:t xml:space="preserve"> </w:t>
      </w:r>
      <w:r w:rsidR="005A0A0B" w:rsidRPr="007C3496">
        <w:rPr>
          <w:rFonts w:cs="Times New Roman"/>
          <w:b/>
          <w:color w:val="000000" w:themeColor="text1"/>
          <w:sz w:val="24"/>
          <w:szCs w:val="24"/>
        </w:rPr>
        <w:t>Table S</w:t>
      </w:r>
      <w:r w:rsidR="00817A93">
        <w:rPr>
          <w:rFonts w:cs="Times New Roman"/>
          <w:b/>
          <w:color w:val="000000" w:themeColor="text1"/>
          <w:sz w:val="24"/>
          <w:szCs w:val="24"/>
        </w:rPr>
        <w:t>8</w:t>
      </w:r>
      <w:r w:rsidR="005A0A0B" w:rsidRPr="007C3496">
        <w:rPr>
          <w:rFonts w:cs="Times New Roman"/>
          <w:b/>
          <w:color w:val="000000" w:themeColor="text1"/>
          <w:sz w:val="24"/>
          <w:szCs w:val="24"/>
        </w:rPr>
        <w:t>. Summary of the residue-level gradient attribution analysis.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5A0A0B" w:rsidRPr="007C3496" w:rsidTr="00846640">
        <w:trPr>
          <w:tblHeader/>
          <w:jc w:val="center"/>
        </w:trPr>
        <w:tc>
          <w:tcPr>
            <w:tcW w:w="5112" w:type="dxa"/>
            <w:shd w:val="clear" w:color="auto" w:fill="D9EAF7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Component</w:t>
            </w:r>
          </w:p>
        </w:tc>
        <w:tc>
          <w:tcPr>
            <w:tcW w:w="5112" w:type="dxa"/>
            <w:shd w:val="clear" w:color="auto" w:fill="D9EAF7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Attribution approach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Gradient-based residue-level attribution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Prediction quantity differentiated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Predicted interaction probability with respect to input residue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embeddings</w:t>
            </w:r>
            <w:proofErr w:type="spellEnd"/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Residue importance score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Relative contribution of individual sequence positions based on gradient magnitude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Input representation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Amino-acid embedding representation used by the trained </w:t>
            </w:r>
            <w:proofErr w:type="spellStart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RCNNricePPI</w:t>
            </w:r>
            <w:proofErr w:type="spellEnd"/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 xml:space="preserve"> model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Reported output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Top-attributed residues/positions for selected independent test protein pairs</w:t>
            </w:r>
          </w:p>
        </w:tc>
      </w:tr>
      <w:tr w:rsidR="005A0A0B" w:rsidRPr="007C3496" w:rsidTr="00846640">
        <w:trPr>
          <w:jc w:val="center"/>
        </w:trPr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Interpretation</w:t>
            </w:r>
          </w:p>
        </w:tc>
        <w:tc>
          <w:tcPr>
            <w:tcW w:w="5112" w:type="dxa"/>
            <w:vAlign w:val="center"/>
          </w:tcPr>
          <w:p w:rsidR="005A0A0B" w:rsidRPr="007C3496" w:rsidRDefault="005A0A0B" w:rsidP="0084664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Model-specific computational attribution; not evidence of experimentally validated interaction interfaces</w:t>
            </w:r>
          </w:p>
        </w:tc>
      </w:tr>
    </w:tbl>
    <w:p w:rsidR="009F66AD" w:rsidRDefault="009F66AD" w:rsidP="007C3496">
      <w:pPr>
        <w:rPr>
          <w:rFonts w:cs="Times New Roman"/>
          <w:b/>
          <w:color w:val="000000" w:themeColor="text1"/>
          <w:sz w:val="24"/>
          <w:szCs w:val="24"/>
        </w:rPr>
      </w:pPr>
    </w:p>
    <w:p w:rsidR="007C3496" w:rsidRPr="007C3496" w:rsidRDefault="00526F2D" w:rsidP="007C3496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Tab</w:t>
      </w:r>
      <w:r w:rsidR="00817A93">
        <w:rPr>
          <w:rFonts w:cs="Times New Roman"/>
          <w:b/>
          <w:color w:val="000000" w:themeColor="text1"/>
          <w:sz w:val="24"/>
          <w:szCs w:val="24"/>
        </w:rPr>
        <w:t>le S9</w:t>
      </w:r>
      <w:r w:rsidR="007C3496" w:rsidRPr="007C3496">
        <w:rPr>
          <w:rFonts w:cs="Times New Roman"/>
          <w:b/>
          <w:color w:val="000000" w:themeColor="text1"/>
          <w:sz w:val="24"/>
          <w:szCs w:val="24"/>
        </w:rPr>
        <w:t>. Sensitivity analysis for truncation of proteins exceeding the maximum sequence length.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96"/>
        <w:gridCol w:w="828"/>
        <w:gridCol w:w="811"/>
        <w:gridCol w:w="811"/>
        <w:gridCol w:w="631"/>
        <w:gridCol w:w="631"/>
        <w:gridCol w:w="631"/>
        <w:gridCol w:w="769"/>
        <w:gridCol w:w="744"/>
        <w:gridCol w:w="631"/>
        <w:gridCol w:w="426"/>
        <w:gridCol w:w="401"/>
        <w:gridCol w:w="417"/>
        <w:gridCol w:w="409"/>
        <w:gridCol w:w="878"/>
      </w:tblGrid>
      <w:tr w:rsidR="007C3496" w:rsidRPr="007C3496" w:rsidTr="005B6A02">
        <w:trPr>
          <w:tblHeader/>
          <w:jc w:val="center"/>
        </w:trPr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Representation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Accuracy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Balanced accuracy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Precision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Recall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F1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MCC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AUROC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AUPRC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Brier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FP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FN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TP</w:t>
            </w:r>
          </w:p>
        </w:tc>
        <w:tc>
          <w:tcPr>
            <w:tcW w:w="682" w:type="dxa"/>
            <w:shd w:val="clear" w:color="auto" w:fill="D9EAF7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b/>
                <w:color w:val="000000" w:themeColor="text1"/>
                <w:sz w:val="24"/>
                <w:szCs w:val="24"/>
              </w:rPr>
              <w:t>Threshold</w:t>
            </w:r>
          </w:p>
        </w:tc>
      </w:tr>
      <w:tr w:rsidR="007C3496" w:rsidRPr="007C3496" w:rsidTr="005B6A02">
        <w:trPr>
          <w:jc w:val="center"/>
        </w:trPr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Primary N-terminal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0.8750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0.6429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0.3333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0.3419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0.9683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0.8056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0.0555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0.40</w:t>
            </w:r>
          </w:p>
        </w:tc>
      </w:tr>
      <w:tr w:rsidR="007C3496" w:rsidRPr="007C3496" w:rsidTr="005B6A02">
        <w:trPr>
          <w:jc w:val="center"/>
        </w:trPr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Alternative C-terminal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0.9167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0.6667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1.0000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0.3333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0.5517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1.0000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1.0000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0.0472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2" w:type="dxa"/>
            <w:vAlign w:val="center"/>
          </w:tcPr>
          <w:p w:rsidR="007C3496" w:rsidRPr="007C3496" w:rsidRDefault="007C3496" w:rsidP="005B6A0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C3496">
              <w:rPr>
                <w:rFonts w:cs="Times New Roman"/>
                <w:color w:val="000000" w:themeColor="text1"/>
                <w:sz w:val="24"/>
                <w:szCs w:val="24"/>
              </w:rPr>
              <w:t>0.40</w:t>
            </w:r>
          </w:p>
        </w:tc>
      </w:tr>
    </w:tbl>
    <w:p w:rsidR="007C3496" w:rsidRPr="005A0A0B" w:rsidRDefault="007C3496" w:rsidP="005A0A0B">
      <w:pPr>
        <w:spacing w:after="160"/>
        <w:rPr>
          <w:rFonts w:cs="Times New Roman"/>
          <w:i/>
          <w:color w:val="000000" w:themeColor="text1"/>
          <w:sz w:val="24"/>
          <w:szCs w:val="24"/>
        </w:rPr>
      </w:pPr>
    </w:p>
    <w:sectPr w:rsidR="007C3496" w:rsidRPr="005A0A0B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5D27"/>
    <w:rsid w:val="00526F2D"/>
    <w:rsid w:val="005A0A0B"/>
    <w:rsid w:val="005B6A02"/>
    <w:rsid w:val="006F4CE5"/>
    <w:rsid w:val="007C3496"/>
    <w:rsid w:val="00817A93"/>
    <w:rsid w:val="00981C5B"/>
    <w:rsid w:val="009F66AD"/>
    <w:rsid w:val="00A24345"/>
    <w:rsid w:val="00AA1D8D"/>
    <w:rsid w:val="00B47730"/>
    <w:rsid w:val="00BA5E8B"/>
    <w:rsid w:val="00CB0664"/>
    <w:rsid w:val="00FA0F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F6BB24"/>
  <w14:defaultImageDpi w14:val="300"/>
  <w15:docId w15:val="{5F7B6207-28D2-493C-8D0E-0C07ADB6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1">
    <w:name w:val="Table Grid1"/>
    <w:basedOn w:val="TableNormal"/>
    <w:next w:val="TableGrid"/>
    <w:uiPriority w:val="59"/>
    <w:rsid w:val="0081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1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22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61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2046F6-5589-4354-AC17-C9C7C9965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2026-08-24T07:40:00Z</dcterms:created>
  <dcterms:modified xsi:type="dcterms:W3CDTF">2026-08-27T03:51:00Z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cbebdd50-b00d-4cb3-b420-e7349475fdec</vt:lpwstr>
  </property>
</Properties>
</file>