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D245E" w14:textId="77777777" w:rsidR="00BE4ECD" w:rsidRPr="00BE4ECD" w:rsidRDefault="00BE4ECD" w:rsidP="00BE4ECD">
      <w:pPr>
        <w:spacing w:line="360" w:lineRule="auto"/>
        <w:jc w:val="both"/>
        <w:rPr>
          <w:rFonts w:ascii="Times New Roman" w:hAnsi="Times New Roman" w:cs="Times New Roman"/>
          <w:b/>
          <w:bCs/>
          <w:lang w:val="en-US"/>
        </w:rPr>
      </w:pPr>
      <w:bookmarkStart w:id="0" w:name="RANGE!A1:N101"/>
      <w:r w:rsidRPr="00BE4ECD">
        <w:rPr>
          <w:rFonts w:ascii="Times New Roman" w:hAnsi="Times New Roman" w:cs="Times New Roman"/>
          <w:b/>
          <w:bCs/>
          <w:lang w:val="en-US"/>
        </w:rPr>
        <w:t>SUPPLEMENTARY MATERIAL</w:t>
      </w:r>
    </w:p>
    <w:p w14:paraId="5218CEF0" w14:textId="77777777" w:rsidR="00BE4ECD" w:rsidRPr="00BE4ECD" w:rsidRDefault="00BE4ECD" w:rsidP="00BE4ECD">
      <w:pPr>
        <w:spacing w:line="360" w:lineRule="auto"/>
        <w:jc w:val="both"/>
        <w:rPr>
          <w:rFonts w:ascii="Times New Roman" w:hAnsi="Times New Roman" w:cs="Times New Roman"/>
          <w:b/>
          <w:bCs/>
          <w:lang w:val="en-US"/>
        </w:rPr>
      </w:pPr>
    </w:p>
    <w:p w14:paraId="1CC7AE26" w14:textId="756C794D" w:rsidR="00BE4ECD" w:rsidRPr="00BE4ECD" w:rsidRDefault="00BE4ECD" w:rsidP="00BE4ECD">
      <w:pPr>
        <w:spacing w:line="360" w:lineRule="auto"/>
        <w:jc w:val="both"/>
        <w:rPr>
          <w:rFonts w:ascii="Times New Roman" w:hAnsi="Times New Roman" w:cs="Times New Roman"/>
          <w:b/>
          <w:bCs/>
          <w:lang w:val="en-US"/>
        </w:rPr>
      </w:pPr>
      <w:r w:rsidRPr="00BE4ECD">
        <w:rPr>
          <w:rFonts w:ascii="Times New Roman" w:hAnsi="Times New Roman" w:cs="Times New Roman"/>
          <w:b/>
          <w:bCs/>
          <w:lang w:val="en-US"/>
        </w:rPr>
        <w:t>Table 1. Results of the systematic review on returning to work after maternity leave</w:t>
      </w:r>
    </w:p>
    <w:tbl>
      <w:tblPr>
        <w:tblW w:w="14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
        <w:gridCol w:w="1160"/>
        <w:gridCol w:w="1356"/>
        <w:gridCol w:w="1394"/>
        <w:gridCol w:w="1503"/>
        <w:gridCol w:w="1333"/>
        <w:gridCol w:w="2159"/>
        <w:gridCol w:w="2254"/>
        <w:gridCol w:w="1691"/>
        <w:gridCol w:w="1074"/>
      </w:tblGrid>
      <w:tr w:rsidR="00BE4ECD" w:rsidRPr="00650150" w14:paraId="7C4468EB" w14:textId="77777777" w:rsidTr="00B74BD6">
        <w:tc>
          <w:tcPr>
            <w:tcW w:w="308" w:type="dxa"/>
            <w:shd w:val="clear" w:color="auto" w:fill="auto"/>
            <w:hideMark/>
          </w:tcPr>
          <w:p w14:paraId="33709CEE" w14:textId="77777777" w:rsidR="00BE4ECD" w:rsidRPr="00650150" w:rsidRDefault="00BE4ECD" w:rsidP="00E564C0">
            <w:pPr>
              <w:jc w:val="center"/>
              <w:rPr>
                <w:rFonts w:ascii="Times New Roman" w:eastAsia="Times New Roman" w:hAnsi="Times New Roman" w:cs="Times New Roman"/>
                <w:b/>
                <w:bCs/>
                <w:sz w:val="20"/>
                <w:szCs w:val="20"/>
              </w:rPr>
            </w:pPr>
            <w:r w:rsidRPr="00650150">
              <w:rPr>
                <w:rFonts w:ascii="Times New Roman" w:eastAsia="Times New Roman" w:hAnsi="Times New Roman" w:cs="Times New Roman"/>
                <w:b/>
                <w:bCs/>
                <w:sz w:val="20"/>
                <w:szCs w:val="20"/>
              </w:rPr>
              <w:t>ID</w:t>
            </w:r>
          </w:p>
        </w:tc>
        <w:tc>
          <w:tcPr>
            <w:tcW w:w="1165" w:type="dxa"/>
            <w:shd w:val="clear" w:color="auto" w:fill="auto"/>
            <w:hideMark/>
          </w:tcPr>
          <w:p w14:paraId="024127FD" w14:textId="77777777" w:rsidR="00BE4ECD" w:rsidRPr="00650150" w:rsidRDefault="00BE4ECD" w:rsidP="00E564C0">
            <w:pPr>
              <w:jc w:val="center"/>
              <w:rPr>
                <w:rFonts w:ascii="Times New Roman" w:eastAsia="Times New Roman" w:hAnsi="Times New Roman" w:cs="Times New Roman"/>
                <w:b/>
                <w:bCs/>
                <w:sz w:val="20"/>
                <w:szCs w:val="20"/>
              </w:rPr>
            </w:pPr>
            <w:r w:rsidRPr="00650150">
              <w:rPr>
                <w:rFonts w:ascii="Times New Roman" w:eastAsia="Times New Roman" w:hAnsi="Times New Roman" w:cs="Times New Roman"/>
                <w:b/>
                <w:bCs/>
                <w:sz w:val="20"/>
                <w:szCs w:val="20"/>
              </w:rPr>
              <w:t>Year of publication</w:t>
            </w:r>
          </w:p>
        </w:tc>
        <w:tc>
          <w:tcPr>
            <w:tcW w:w="1358" w:type="dxa"/>
            <w:shd w:val="clear" w:color="auto" w:fill="auto"/>
            <w:hideMark/>
          </w:tcPr>
          <w:p w14:paraId="18A7BA01" w14:textId="77777777" w:rsidR="00BE4ECD" w:rsidRPr="00650150" w:rsidRDefault="00BE4ECD" w:rsidP="00E564C0">
            <w:pPr>
              <w:jc w:val="center"/>
              <w:rPr>
                <w:rFonts w:ascii="Times New Roman" w:eastAsia="Times New Roman" w:hAnsi="Times New Roman" w:cs="Times New Roman"/>
                <w:b/>
                <w:bCs/>
                <w:sz w:val="20"/>
                <w:szCs w:val="20"/>
              </w:rPr>
            </w:pPr>
            <w:r w:rsidRPr="00650150">
              <w:rPr>
                <w:rFonts w:ascii="Times New Roman" w:eastAsia="Times New Roman" w:hAnsi="Times New Roman" w:cs="Times New Roman"/>
                <w:b/>
                <w:bCs/>
                <w:sz w:val="20"/>
                <w:szCs w:val="20"/>
              </w:rPr>
              <w:t>Authors</w:t>
            </w:r>
          </w:p>
        </w:tc>
        <w:tc>
          <w:tcPr>
            <w:tcW w:w="1399" w:type="dxa"/>
            <w:shd w:val="clear" w:color="auto" w:fill="auto"/>
            <w:hideMark/>
          </w:tcPr>
          <w:p w14:paraId="75976877" w14:textId="77777777" w:rsidR="00BE4ECD" w:rsidRPr="00650150" w:rsidRDefault="00BE4ECD" w:rsidP="00E564C0">
            <w:pPr>
              <w:jc w:val="center"/>
              <w:rPr>
                <w:rFonts w:ascii="Times New Roman" w:eastAsia="Times New Roman" w:hAnsi="Times New Roman" w:cs="Times New Roman"/>
                <w:b/>
                <w:bCs/>
                <w:sz w:val="20"/>
                <w:szCs w:val="20"/>
              </w:rPr>
            </w:pPr>
            <w:r w:rsidRPr="00650150">
              <w:rPr>
                <w:rFonts w:ascii="Times New Roman" w:eastAsia="Times New Roman" w:hAnsi="Times New Roman" w:cs="Times New Roman"/>
                <w:b/>
                <w:bCs/>
                <w:sz w:val="20"/>
                <w:szCs w:val="20"/>
              </w:rPr>
              <w:t>Title</w:t>
            </w:r>
          </w:p>
        </w:tc>
        <w:tc>
          <w:tcPr>
            <w:tcW w:w="1510" w:type="dxa"/>
            <w:shd w:val="clear" w:color="auto" w:fill="auto"/>
            <w:hideMark/>
          </w:tcPr>
          <w:p w14:paraId="4C8FA599" w14:textId="77777777" w:rsidR="00BE4ECD" w:rsidRPr="00650150" w:rsidRDefault="00BE4ECD" w:rsidP="00E564C0">
            <w:pPr>
              <w:jc w:val="center"/>
              <w:rPr>
                <w:rFonts w:ascii="Times New Roman" w:eastAsia="Times New Roman" w:hAnsi="Times New Roman" w:cs="Times New Roman"/>
                <w:b/>
                <w:bCs/>
                <w:sz w:val="20"/>
                <w:szCs w:val="20"/>
              </w:rPr>
            </w:pPr>
            <w:r w:rsidRPr="00650150">
              <w:rPr>
                <w:rFonts w:ascii="Times New Roman" w:eastAsia="Times New Roman" w:hAnsi="Times New Roman" w:cs="Times New Roman"/>
                <w:b/>
                <w:bCs/>
                <w:sz w:val="20"/>
                <w:szCs w:val="20"/>
              </w:rPr>
              <w:t>Journal</w:t>
            </w:r>
          </w:p>
        </w:tc>
        <w:tc>
          <w:tcPr>
            <w:tcW w:w="1341" w:type="dxa"/>
            <w:shd w:val="clear" w:color="auto" w:fill="auto"/>
            <w:hideMark/>
          </w:tcPr>
          <w:p w14:paraId="3DD0CEE6" w14:textId="77777777" w:rsidR="00BE4ECD" w:rsidRPr="00650150" w:rsidRDefault="00BE4ECD" w:rsidP="00E564C0">
            <w:pPr>
              <w:jc w:val="center"/>
              <w:rPr>
                <w:rFonts w:ascii="Times New Roman" w:eastAsia="Times New Roman" w:hAnsi="Times New Roman" w:cs="Times New Roman"/>
                <w:b/>
                <w:bCs/>
                <w:sz w:val="20"/>
                <w:szCs w:val="20"/>
              </w:rPr>
            </w:pPr>
            <w:r w:rsidRPr="00650150">
              <w:rPr>
                <w:rFonts w:ascii="Times New Roman" w:eastAsia="Times New Roman" w:hAnsi="Times New Roman" w:cs="Times New Roman"/>
                <w:b/>
                <w:bCs/>
                <w:sz w:val="20"/>
                <w:szCs w:val="20"/>
              </w:rPr>
              <w:t>Study methodology</w:t>
            </w:r>
          </w:p>
        </w:tc>
        <w:tc>
          <w:tcPr>
            <w:tcW w:w="2173" w:type="dxa"/>
            <w:shd w:val="clear" w:color="auto" w:fill="auto"/>
            <w:hideMark/>
          </w:tcPr>
          <w:p w14:paraId="0E9E321D" w14:textId="77777777" w:rsidR="00BE4ECD" w:rsidRPr="00650150" w:rsidRDefault="00BE4ECD" w:rsidP="00E564C0">
            <w:pPr>
              <w:jc w:val="center"/>
              <w:rPr>
                <w:rFonts w:ascii="Times New Roman" w:eastAsia="Times New Roman" w:hAnsi="Times New Roman" w:cs="Times New Roman"/>
                <w:b/>
                <w:bCs/>
                <w:sz w:val="20"/>
                <w:szCs w:val="20"/>
              </w:rPr>
            </w:pPr>
            <w:r w:rsidRPr="00650150">
              <w:rPr>
                <w:rFonts w:ascii="Times New Roman" w:eastAsia="Times New Roman" w:hAnsi="Times New Roman" w:cs="Times New Roman"/>
                <w:b/>
                <w:bCs/>
                <w:sz w:val="20"/>
                <w:szCs w:val="20"/>
              </w:rPr>
              <w:t>Sample</w:t>
            </w:r>
          </w:p>
        </w:tc>
        <w:tc>
          <w:tcPr>
            <w:tcW w:w="2266" w:type="dxa"/>
            <w:shd w:val="clear" w:color="auto" w:fill="auto"/>
            <w:hideMark/>
          </w:tcPr>
          <w:p w14:paraId="65F52CDE" w14:textId="77777777" w:rsidR="00BE4ECD" w:rsidRPr="00650150" w:rsidRDefault="00BE4ECD" w:rsidP="00E564C0">
            <w:pPr>
              <w:jc w:val="center"/>
              <w:rPr>
                <w:rFonts w:ascii="Times New Roman" w:eastAsia="Times New Roman" w:hAnsi="Times New Roman" w:cs="Times New Roman"/>
                <w:b/>
                <w:bCs/>
                <w:sz w:val="20"/>
                <w:szCs w:val="20"/>
              </w:rPr>
            </w:pPr>
            <w:r w:rsidRPr="00650150">
              <w:rPr>
                <w:rFonts w:ascii="Times New Roman" w:eastAsia="Times New Roman" w:hAnsi="Times New Roman" w:cs="Times New Roman"/>
                <w:b/>
                <w:bCs/>
                <w:sz w:val="20"/>
                <w:szCs w:val="20"/>
              </w:rPr>
              <w:t>Main findings</w:t>
            </w:r>
          </w:p>
        </w:tc>
        <w:tc>
          <w:tcPr>
            <w:tcW w:w="1699" w:type="dxa"/>
            <w:shd w:val="clear" w:color="auto" w:fill="auto"/>
            <w:hideMark/>
          </w:tcPr>
          <w:p w14:paraId="09C7328B" w14:textId="77777777" w:rsidR="00BE4ECD" w:rsidRPr="00650150" w:rsidRDefault="00BE4ECD" w:rsidP="00E564C0">
            <w:pPr>
              <w:jc w:val="center"/>
              <w:rPr>
                <w:rFonts w:ascii="Times New Roman" w:eastAsia="Times New Roman" w:hAnsi="Times New Roman" w:cs="Times New Roman"/>
                <w:b/>
                <w:bCs/>
                <w:sz w:val="20"/>
                <w:szCs w:val="20"/>
              </w:rPr>
            </w:pPr>
            <w:r w:rsidRPr="00650150">
              <w:rPr>
                <w:rFonts w:ascii="Times New Roman" w:eastAsia="Times New Roman" w:hAnsi="Times New Roman" w:cs="Times New Roman"/>
                <w:b/>
                <w:bCs/>
                <w:sz w:val="20"/>
                <w:szCs w:val="20"/>
              </w:rPr>
              <w:t>Measures</w:t>
            </w:r>
          </w:p>
        </w:tc>
        <w:tc>
          <w:tcPr>
            <w:tcW w:w="1068" w:type="dxa"/>
            <w:shd w:val="clear" w:color="auto" w:fill="auto"/>
            <w:hideMark/>
          </w:tcPr>
          <w:p w14:paraId="39EAB592" w14:textId="77777777" w:rsidR="00BE4ECD" w:rsidRPr="00650150" w:rsidRDefault="00BE4ECD" w:rsidP="00E564C0">
            <w:pPr>
              <w:jc w:val="center"/>
              <w:rPr>
                <w:rFonts w:ascii="Times New Roman" w:eastAsia="Times New Roman" w:hAnsi="Times New Roman" w:cs="Times New Roman"/>
                <w:b/>
                <w:bCs/>
                <w:sz w:val="20"/>
                <w:szCs w:val="20"/>
              </w:rPr>
            </w:pPr>
            <w:r w:rsidRPr="00650150">
              <w:rPr>
                <w:rFonts w:ascii="Times New Roman" w:eastAsia="Times New Roman" w:hAnsi="Times New Roman" w:cs="Times New Roman"/>
                <w:b/>
                <w:bCs/>
                <w:sz w:val="20"/>
                <w:szCs w:val="20"/>
              </w:rPr>
              <w:t>Country</w:t>
            </w:r>
          </w:p>
        </w:tc>
      </w:tr>
      <w:tr w:rsidR="00BE4ECD" w:rsidRPr="00650150" w14:paraId="7216B4A5" w14:textId="77777777" w:rsidTr="00B74BD6">
        <w:tc>
          <w:tcPr>
            <w:tcW w:w="308" w:type="dxa"/>
            <w:shd w:val="clear" w:color="auto" w:fill="auto"/>
            <w:hideMark/>
          </w:tcPr>
          <w:p w14:paraId="6779F921"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1</w:t>
            </w:r>
          </w:p>
        </w:tc>
        <w:tc>
          <w:tcPr>
            <w:tcW w:w="1165" w:type="dxa"/>
            <w:shd w:val="clear" w:color="auto" w:fill="auto"/>
            <w:hideMark/>
          </w:tcPr>
          <w:p w14:paraId="4D574745"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2022</w:t>
            </w:r>
          </w:p>
        </w:tc>
        <w:tc>
          <w:tcPr>
            <w:tcW w:w="1358" w:type="dxa"/>
            <w:shd w:val="clear" w:color="auto" w:fill="auto"/>
            <w:hideMark/>
          </w:tcPr>
          <w:p w14:paraId="28560B91"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Chen K.; Wei L.; Zhang Y.; Jiang W.; Wang J.; Pan Y.</w:t>
            </w:r>
          </w:p>
        </w:tc>
        <w:tc>
          <w:tcPr>
            <w:tcW w:w="1399" w:type="dxa"/>
            <w:shd w:val="clear" w:color="auto" w:fill="auto"/>
            <w:hideMark/>
          </w:tcPr>
          <w:p w14:paraId="080689E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Work stress in nurses returning to tertiary a general hospitals in China after the delivery of their second child: a cross-sectional study</w:t>
            </w:r>
          </w:p>
        </w:tc>
        <w:tc>
          <w:tcPr>
            <w:tcW w:w="1510" w:type="dxa"/>
            <w:shd w:val="clear" w:color="auto" w:fill="auto"/>
            <w:hideMark/>
          </w:tcPr>
          <w:p w14:paraId="7DE6112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BMC Health Services Research</w:t>
            </w:r>
          </w:p>
        </w:tc>
        <w:tc>
          <w:tcPr>
            <w:tcW w:w="1341" w:type="dxa"/>
            <w:shd w:val="clear" w:color="auto" w:fill="auto"/>
            <w:hideMark/>
          </w:tcPr>
          <w:p w14:paraId="7E2DE18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4131234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448 nurses returning to work after the birth of their second child, working in 23 general hospitals in China.</w:t>
            </w:r>
          </w:p>
        </w:tc>
        <w:tc>
          <w:tcPr>
            <w:tcW w:w="2266" w:type="dxa"/>
            <w:shd w:val="clear" w:color="auto" w:fill="auto"/>
            <w:hideMark/>
          </w:tcPr>
          <w:p w14:paraId="15240A2E"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The total work stress score of returning nurses after giving birth to their second child was high (90.40 ± 18.29) and the dimension with the highest score was the “mother’s role commitment”. Work stress seems higher in women with lower family monthly income, time since returning to work, and age of the first child, and in women with higher duration of maternity leave and higher depressive symptoms.</w:t>
            </w:r>
          </w:p>
        </w:tc>
        <w:tc>
          <w:tcPr>
            <w:tcW w:w="1699" w:type="dxa"/>
            <w:shd w:val="clear" w:color="auto" w:fill="auto"/>
            <w:hideMark/>
          </w:tcPr>
          <w:p w14:paraId="22A74BF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lang w:val="en-US"/>
              </w:rPr>
              <w:t xml:space="preserve">1. Ad hoc general information questionnaire; 2. postnatal return-to-work stress scale; 3. </w:t>
            </w:r>
            <w:r w:rsidRPr="00650150">
              <w:rPr>
                <w:rFonts w:ascii="Times New Roman" w:eastAsia="Times New Roman" w:hAnsi="Times New Roman" w:cs="Times New Roman"/>
                <w:sz w:val="20"/>
                <w:szCs w:val="20"/>
              </w:rPr>
              <w:t>Self-rating Depression Scale (SDS)</w:t>
            </w:r>
          </w:p>
        </w:tc>
        <w:tc>
          <w:tcPr>
            <w:tcW w:w="1068" w:type="dxa"/>
            <w:shd w:val="clear" w:color="auto" w:fill="auto"/>
            <w:hideMark/>
          </w:tcPr>
          <w:p w14:paraId="07195677"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China</w:t>
            </w:r>
          </w:p>
        </w:tc>
      </w:tr>
      <w:tr w:rsidR="00BE4ECD" w:rsidRPr="00650150" w14:paraId="5BE2DF86" w14:textId="77777777" w:rsidTr="00B74BD6">
        <w:tc>
          <w:tcPr>
            <w:tcW w:w="308" w:type="dxa"/>
            <w:shd w:val="clear" w:color="auto" w:fill="auto"/>
            <w:hideMark/>
          </w:tcPr>
          <w:p w14:paraId="6C1D1E97"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w:t>
            </w:r>
          </w:p>
        </w:tc>
        <w:tc>
          <w:tcPr>
            <w:tcW w:w="1165" w:type="dxa"/>
            <w:shd w:val="clear" w:color="auto" w:fill="auto"/>
            <w:hideMark/>
          </w:tcPr>
          <w:p w14:paraId="342B826A"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2022</w:t>
            </w:r>
          </w:p>
        </w:tc>
        <w:tc>
          <w:tcPr>
            <w:tcW w:w="1358" w:type="dxa"/>
            <w:shd w:val="clear" w:color="auto" w:fill="auto"/>
            <w:hideMark/>
          </w:tcPr>
          <w:p w14:paraId="0436E438"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Jain S, Neaves S, Royston A, Huang I, Juengst SB.</w:t>
            </w:r>
          </w:p>
        </w:tc>
        <w:tc>
          <w:tcPr>
            <w:tcW w:w="1399" w:type="dxa"/>
            <w:shd w:val="clear" w:color="auto" w:fill="auto"/>
            <w:hideMark/>
          </w:tcPr>
          <w:p w14:paraId="48DDE54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Breastmilk pumping experiences of physician mothers: quantitative and qualitative findings from a nationwide survey study</w:t>
            </w:r>
          </w:p>
        </w:tc>
        <w:tc>
          <w:tcPr>
            <w:tcW w:w="1510" w:type="dxa"/>
            <w:shd w:val="clear" w:color="auto" w:fill="auto"/>
            <w:hideMark/>
          </w:tcPr>
          <w:p w14:paraId="03B29437"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J Gen Intern Med</w:t>
            </w:r>
          </w:p>
        </w:tc>
        <w:tc>
          <w:tcPr>
            <w:tcW w:w="1341" w:type="dxa"/>
            <w:shd w:val="clear" w:color="auto" w:fill="auto"/>
            <w:hideMark/>
          </w:tcPr>
          <w:p w14:paraId="74ECC244"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39E5A510"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724 physician mothers (120 trainees vs 604 attending. 90.8% trainees had only 1 child, attendees were more likely to have ≥2 children.</w:t>
            </w:r>
          </w:p>
        </w:tc>
        <w:tc>
          <w:tcPr>
            <w:tcW w:w="2266" w:type="dxa"/>
            <w:shd w:val="clear" w:color="auto" w:fill="auto"/>
            <w:hideMark/>
          </w:tcPr>
          <w:p w14:paraId="39FA221E"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40% trainees reported difficulties accessing adequate facilities or time for pumping (vs 28% attendees), similar percent breastfeeding or pumping breast milk at work (55% of trainees vs 45% of attendees). Needing to be present for clinical training as a time barrier: trainees (56.2%) vs attendees (38.0%). </w:t>
            </w:r>
            <w:r w:rsidRPr="00650150">
              <w:rPr>
                <w:rFonts w:ascii="Times New Roman" w:eastAsia="Times New Roman" w:hAnsi="Times New Roman" w:cs="Times New Roman"/>
                <w:sz w:val="20"/>
                <w:szCs w:val="20"/>
                <w:lang w:val="en-US"/>
              </w:rPr>
              <w:lastRenderedPageBreak/>
              <w:t>Attendees (50.6%) reported inconvenience to patients being a more common barrier than trainees (32.9%). Experiencing discrimination: trainees (34.5%) vs attendees (23.7%). Inappropriate comments: trainees (41.4%) vs attendees (29.1%). Areas deserving the highest attention (themes): lack of support from leaders; inadequate time and unsanitary, inconvenient, and crowded lactation spaces; barriers of time, support, and space; absent or sub-optimal legal and financial accommodations.</w:t>
            </w:r>
          </w:p>
        </w:tc>
        <w:tc>
          <w:tcPr>
            <w:tcW w:w="1699" w:type="dxa"/>
            <w:shd w:val="clear" w:color="auto" w:fill="auto"/>
            <w:hideMark/>
          </w:tcPr>
          <w:p w14:paraId="4BFBA16E"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Ad hoc survey</w:t>
            </w:r>
          </w:p>
        </w:tc>
        <w:tc>
          <w:tcPr>
            <w:tcW w:w="1068" w:type="dxa"/>
            <w:shd w:val="clear" w:color="auto" w:fill="auto"/>
            <w:hideMark/>
          </w:tcPr>
          <w:p w14:paraId="0F6CCC36"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USA</w:t>
            </w:r>
          </w:p>
        </w:tc>
      </w:tr>
      <w:tr w:rsidR="00BE4ECD" w:rsidRPr="00650150" w14:paraId="04B3BFDB" w14:textId="77777777" w:rsidTr="00B74BD6">
        <w:tc>
          <w:tcPr>
            <w:tcW w:w="308" w:type="dxa"/>
            <w:shd w:val="clear" w:color="auto" w:fill="auto"/>
            <w:hideMark/>
          </w:tcPr>
          <w:p w14:paraId="29A60274"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3</w:t>
            </w:r>
          </w:p>
        </w:tc>
        <w:tc>
          <w:tcPr>
            <w:tcW w:w="1165" w:type="dxa"/>
            <w:shd w:val="clear" w:color="auto" w:fill="auto"/>
            <w:hideMark/>
          </w:tcPr>
          <w:p w14:paraId="60B8EFC2"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2022</w:t>
            </w:r>
          </w:p>
        </w:tc>
        <w:tc>
          <w:tcPr>
            <w:tcW w:w="1358" w:type="dxa"/>
            <w:shd w:val="clear" w:color="auto" w:fill="auto"/>
            <w:hideMark/>
          </w:tcPr>
          <w:p w14:paraId="31D2DA97"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Jiravisitkul P.; Thonginnetra S.; Kasemlawan N.; Suntharayuth T.</w:t>
            </w:r>
          </w:p>
        </w:tc>
        <w:tc>
          <w:tcPr>
            <w:tcW w:w="1399" w:type="dxa"/>
            <w:shd w:val="clear" w:color="auto" w:fill="auto"/>
            <w:hideMark/>
          </w:tcPr>
          <w:p w14:paraId="0118A907"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Supporting factors and structural barriers in the continuity of breastfeeding in the hospital workplace</w:t>
            </w:r>
          </w:p>
        </w:tc>
        <w:tc>
          <w:tcPr>
            <w:tcW w:w="1510" w:type="dxa"/>
            <w:shd w:val="clear" w:color="auto" w:fill="auto"/>
            <w:hideMark/>
          </w:tcPr>
          <w:p w14:paraId="2A1920A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International Breastfeeding Journal</w:t>
            </w:r>
          </w:p>
        </w:tc>
        <w:tc>
          <w:tcPr>
            <w:tcW w:w="1341" w:type="dxa"/>
            <w:shd w:val="clear" w:color="auto" w:fill="auto"/>
            <w:hideMark/>
          </w:tcPr>
          <w:p w14:paraId="210749FE"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Mixed-methods study: cross sectional study + qualitative study </w:t>
            </w:r>
          </w:p>
        </w:tc>
        <w:tc>
          <w:tcPr>
            <w:tcW w:w="2173" w:type="dxa"/>
            <w:shd w:val="clear" w:color="auto" w:fill="auto"/>
            <w:hideMark/>
          </w:tcPr>
          <w:p w14:paraId="2FAE5CA5"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Quantitative study: 65 mothers, doctor or dentist (25%), nurse (25%), nursing assistant (18%), and others (32%). Average duration of maternity leave = 95 days. Mean age 33.98 (4.11). Qualitative study: 7 mothers, divided into subgroups of successful (n = 4) and unsuccessful (n = 3) continuous breastfeeding after a return to work.</w:t>
            </w:r>
          </w:p>
        </w:tc>
        <w:tc>
          <w:tcPr>
            <w:tcW w:w="2266" w:type="dxa"/>
            <w:shd w:val="clear" w:color="auto" w:fill="auto"/>
            <w:hideMark/>
          </w:tcPr>
          <w:p w14:paraId="4F24ED16"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90% participants intended to EBF for six months and made prenatal breastfeeding preparations. 77% were continuing to breastfeed when returning to work, 24% (12/50) stopped breastfeeding within three months. Main reasons for discontinuing breastfeeding at work: no break for pumping milk (27/50, 54%), no place to express milk (25/50, 50%), excessive working </w:t>
            </w:r>
            <w:r w:rsidRPr="00650150">
              <w:rPr>
                <w:rFonts w:ascii="Times New Roman" w:eastAsia="Times New Roman" w:hAnsi="Times New Roman" w:cs="Times New Roman"/>
                <w:sz w:val="20"/>
                <w:szCs w:val="20"/>
                <w:lang w:val="en-US"/>
              </w:rPr>
              <w:lastRenderedPageBreak/>
              <w:t>hours (13/50, 26%), distance between home and the workplace (9/50, 18%). 24% (12/50) reported no barriers at work. 23/59 wanted to send infant to childcare, 12/23 were able to do so. Supporting factors for sustaining breastfeeding: childcare at the workplace and colleagues' attitude.</w:t>
            </w:r>
          </w:p>
        </w:tc>
        <w:tc>
          <w:tcPr>
            <w:tcW w:w="1699" w:type="dxa"/>
            <w:shd w:val="clear" w:color="auto" w:fill="auto"/>
            <w:hideMark/>
          </w:tcPr>
          <w:p w14:paraId="56A83D98"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 xml:space="preserve">Quantitative study: ad hoc questionnaire; qualitative study: focus groups were conducted </w:t>
            </w:r>
          </w:p>
        </w:tc>
        <w:tc>
          <w:tcPr>
            <w:tcW w:w="1068" w:type="dxa"/>
            <w:shd w:val="clear" w:color="auto" w:fill="auto"/>
            <w:hideMark/>
          </w:tcPr>
          <w:p w14:paraId="0F4FD53A"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Thailand</w:t>
            </w:r>
          </w:p>
        </w:tc>
      </w:tr>
      <w:tr w:rsidR="00BE4ECD" w:rsidRPr="00650150" w14:paraId="41BBE08C" w14:textId="77777777" w:rsidTr="00B74BD6">
        <w:tc>
          <w:tcPr>
            <w:tcW w:w="308" w:type="dxa"/>
            <w:shd w:val="clear" w:color="auto" w:fill="auto"/>
            <w:hideMark/>
          </w:tcPr>
          <w:p w14:paraId="7ED3E75B"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4</w:t>
            </w:r>
          </w:p>
        </w:tc>
        <w:tc>
          <w:tcPr>
            <w:tcW w:w="1165" w:type="dxa"/>
            <w:shd w:val="clear" w:color="auto" w:fill="auto"/>
            <w:hideMark/>
          </w:tcPr>
          <w:p w14:paraId="225F941C"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2022</w:t>
            </w:r>
          </w:p>
        </w:tc>
        <w:tc>
          <w:tcPr>
            <w:tcW w:w="1358" w:type="dxa"/>
            <w:shd w:val="clear" w:color="auto" w:fill="auto"/>
            <w:hideMark/>
          </w:tcPr>
          <w:p w14:paraId="47C1A800"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Jones K.P.; Brady J.M.; Lindsey A.P.; Cortina L.M.; Major C.K.</w:t>
            </w:r>
          </w:p>
        </w:tc>
        <w:tc>
          <w:tcPr>
            <w:tcW w:w="1399" w:type="dxa"/>
            <w:shd w:val="clear" w:color="auto" w:fill="auto"/>
            <w:hideMark/>
          </w:tcPr>
          <w:p w14:paraId="6B56D9D2"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The Interactive Effects of Coworker and Supervisor Support on Prenatal Stress and Postpartum Health: A Time-Lagged Investigation</w:t>
            </w:r>
          </w:p>
        </w:tc>
        <w:tc>
          <w:tcPr>
            <w:tcW w:w="1510" w:type="dxa"/>
            <w:shd w:val="clear" w:color="auto" w:fill="auto"/>
            <w:hideMark/>
          </w:tcPr>
          <w:p w14:paraId="7DEF349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Journal of Business and Psychology</w:t>
            </w:r>
          </w:p>
        </w:tc>
        <w:tc>
          <w:tcPr>
            <w:tcW w:w="1341" w:type="dxa"/>
            <w:shd w:val="clear" w:color="auto" w:fill="auto"/>
            <w:hideMark/>
          </w:tcPr>
          <w:p w14:paraId="5CC25774"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Longitudinal study</w:t>
            </w:r>
          </w:p>
        </w:tc>
        <w:tc>
          <w:tcPr>
            <w:tcW w:w="2173" w:type="dxa"/>
            <w:shd w:val="clear" w:color="auto" w:fill="auto"/>
            <w:hideMark/>
          </w:tcPr>
          <w:p w14:paraId="26A1F70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92 mothers who completed the follow-up survey, from a sample of 118 pregnant employees, average age 31.9 years, from 4 to 38 weeks pregnant (M = 22.5 weeks), 70% pregnant with their first child.</w:t>
            </w:r>
          </w:p>
        </w:tc>
        <w:tc>
          <w:tcPr>
            <w:tcW w:w="2266" w:type="dxa"/>
            <w:shd w:val="clear" w:color="auto" w:fill="auto"/>
            <w:hideMark/>
          </w:tcPr>
          <w:p w14:paraId="2E8F7581"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Support of coworkers and supervisors during pregnancy was associated with lowest levels of prenatal stress, which were associated with lower incidence of postpartum depression and quicker recovery times from birth-related injuries. Higher levels of stress during pregnancy associated with increased incidence of postpartum depression. Significant indirect effects and aspects of workplace environment: when perceptions of supervisor support were higher, coworker support during pregnancy predicted lower incidence of postpartum depression and quicker recovery times through reduced prenatal stress.</w:t>
            </w:r>
          </w:p>
        </w:tc>
        <w:tc>
          <w:tcPr>
            <w:tcW w:w="1699" w:type="dxa"/>
            <w:shd w:val="clear" w:color="auto" w:fill="auto"/>
            <w:hideMark/>
          </w:tcPr>
          <w:p w14:paraId="509BB027"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Ad hoc web-based surveys</w:t>
            </w:r>
          </w:p>
        </w:tc>
        <w:tc>
          <w:tcPr>
            <w:tcW w:w="1068" w:type="dxa"/>
            <w:shd w:val="clear" w:color="auto" w:fill="auto"/>
            <w:hideMark/>
          </w:tcPr>
          <w:p w14:paraId="7FC19D4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USA</w:t>
            </w:r>
          </w:p>
        </w:tc>
      </w:tr>
      <w:tr w:rsidR="00BE4ECD" w:rsidRPr="00650150" w14:paraId="224D18A8" w14:textId="77777777" w:rsidTr="00B74BD6">
        <w:tc>
          <w:tcPr>
            <w:tcW w:w="308" w:type="dxa"/>
            <w:shd w:val="clear" w:color="auto" w:fill="auto"/>
            <w:hideMark/>
          </w:tcPr>
          <w:p w14:paraId="5FA22B68"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5</w:t>
            </w:r>
          </w:p>
        </w:tc>
        <w:tc>
          <w:tcPr>
            <w:tcW w:w="1165" w:type="dxa"/>
            <w:shd w:val="clear" w:color="auto" w:fill="auto"/>
            <w:hideMark/>
          </w:tcPr>
          <w:p w14:paraId="6B6818BC"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2022</w:t>
            </w:r>
          </w:p>
        </w:tc>
        <w:tc>
          <w:tcPr>
            <w:tcW w:w="1358" w:type="dxa"/>
            <w:shd w:val="clear" w:color="auto" w:fill="auto"/>
            <w:hideMark/>
          </w:tcPr>
          <w:p w14:paraId="1389C9FA"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Nguyen T.T.; Cashin J.; Tran H.T.T.; Vu D.H.; Nandi A.; Phan M.T.; Van N.D.C.; Weissman A.; Pham T.N.; Nguyen B.V.; Mathisen R.</w:t>
            </w:r>
          </w:p>
        </w:tc>
        <w:tc>
          <w:tcPr>
            <w:tcW w:w="1399" w:type="dxa"/>
            <w:shd w:val="clear" w:color="auto" w:fill="auto"/>
            <w:hideMark/>
          </w:tcPr>
          <w:p w14:paraId="28164208"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Awareness, Perceptions, Gaps, and Uptake of Maternity Protection among Formally Employed Women in Vietnam</w:t>
            </w:r>
          </w:p>
        </w:tc>
        <w:tc>
          <w:tcPr>
            <w:tcW w:w="1510" w:type="dxa"/>
            <w:shd w:val="clear" w:color="auto" w:fill="auto"/>
            <w:hideMark/>
          </w:tcPr>
          <w:p w14:paraId="78EFE7F2"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International Journal of Environmental Research and Public Health</w:t>
            </w:r>
          </w:p>
        </w:tc>
        <w:tc>
          <w:tcPr>
            <w:tcW w:w="1341" w:type="dxa"/>
            <w:shd w:val="clear" w:color="auto" w:fill="auto"/>
            <w:hideMark/>
          </w:tcPr>
          <w:p w14:paraId="26A23437"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Mixed-methods study: cross sectional study + qualitative study </w:t>
            </w:r>
          </w:p>
        </w:tc>
        <w:tc>
          <w:tcPr>
            <w:tcW w:w="2173" w:type="dxa"/>
            <w:shd w:val="clear" w:color="auto" w:fill="auto"/>
            <w:hideMark/>
          </w:tcPr>
          <w:p w14:paraId="37B9DADA"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lang w:val="en-US"/>
              </w:rPr>
              <w:t xml:space="preserve">Survey: 494 women working in the formal sector, 107 pregnant women and 387 mothers of infants. </w:t>
            </w:r>
            <w:r w:rsidRPr="00650150">
              <w:rPr>
                <w:rFonts w:ascii="Times New Roman" w:eastAsia="Times New Roman" w:hAnsi="Times New Roman" w:cs="Times New Roman"/>
                <w:sz w:val="20"/>
                <w:szCs w:val="20"/>
              </w:rPr>
              <w:t>Interviews: 39 women, 9 pregnant, 30 mothers of infants.</w:t>
            </w:r>
          </w:p>
        </w:tc>
        <w:tc>
          <w:tcPr>
            <w:tcW w:w="2266" w:type="dxa"/>
            <w:shd w:val="clear" w:color="auto" w:fill="auto"/>
            <w:hideMark/>
          </w:tcPr>
          <w:p w14:paraId="700DB1D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Of 182 mothers with infants aged 6–11 months: 30 (16.5%) returned to work before accruing 180 days of maternity leave. Of 121 women who had returned to work: 26 (21.5%) did not receive a one-hour paid break every day to express breastmilk, relax, or breastfeed, 46 (38.0%) worked the same or more hours per day than before maternity leave. </w:t>
            </w:r>
          </w:p>
        </w:tc>
        <w:tc>
          <w:tcPr>
            <w:tcW w:w="1699" w:type="dxa"/>
            <w:shd w:val="clear" w:color="auto" w:fill="auto"/>
            <w:hideMark/>
          </w:tcPr>
          <w:p w14:paraId="586D4ED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Quantitative study: ad hoc survey; qualitative study: interviews</w:t>
            </w:r>
          </w:p>
        </w:tc>
        <w:tc>
          <w:tcPr>
            <w:tcW w:w="1068" w:type="dxa"/>
            <w:shd w:val="clear" w:color="auto" w:fill="auto"/>
            <w:hideMark/>
          </w:tcPr>
          <w:p w14:paraId="74775D8E"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Vietnam</w:t>
            </w:r>
          </w:p>
        </w:tc>
      </w:tr>
      <w:tr w:rsidR="00BE4ECD" w:rsidRPr="00650150" w14:paraId="0D380226" w14:textId="77777777" w:rsidTr="00B74BD6">
        <w:tc>
          <w:tcPr>
            <w:tcW w:w="308" w:type="dxa"/>
            <w:shd w:val="clear" w:color="auto" w:fill="auto"/>
            <w:hideMark/>
          </w:tcPr>
          <w:p w14:paraId="02B7B97B"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6</w:t>
            </w:r>
          </w:p>
        </w:tc>
        <w:tc>
          <w:tcPr>
            <w:tcW w:w="1165" w:type="dxa"/>
            <w:shd w:val="clear" w:color="auto" w:fill="auto"/>
            <w:hideMark/>
          </w:tcPr>
          <w:p w14:paraId="5D534BFE"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2022</w:t>
            </w:r>
          </w:p>
        </w:tc>
        <w:tc>
          <w:tcPr>
            <w:tcW w:w="1358" w:type="dxa"/>
            <w:shd w:val="clear" w:color="auto" w:fill="auto"/>
            <w:hideMark/>
          </w:tcPr>
          <w:p w14:paraId="5F9744D6"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Oh E.; Mun E.</w:t>
            </w:r>
          </w:p>
        </w:tc>
        <w:tc>
          <w:tcPr>
            <w:tcW w:w="1399" w:type="dxa"/>
            <w:shd w:val="clear" w:color="auto" w:fill="auto"/>
            <w:hideMark/>
          </w:tcPr>
          <w:p w14:paraId="4938B65C"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Compensatory Work Devotion: How a Culture of Overwork Shapes Women’s Parental Leave in South Korea</w:t>
            </w:r>
          </w:p>
        </w:tc>
        <w:tc>
          <w:tcPr>
            <w:tcW w:w="1510" w:type="dxa"/>
            <w:shd w:val="clear" w:color="auto" w:fill="auto"/>
            <w:hideMark/>
          </w:tcPr>
          <w:p w14:paraId="1FB8C17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Gender and Society</w:t>
            </w:r>
          </w:p>
        </w:tc>
        <w:tc>
          <w:tcPr>
            <w:tcW w:w="1341" w:type="dxa"/>
            <w:shd w:val="clear" w:color="auto" w:fill="auto"/>
            <w:hideMark/>
          </w:tcPr>
          <w:p w14:paraId="0DE398A1"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Qualitative study </w:t>
            </w:r>
          </w:p>
        </w:tc>
        <w:tc>
          <w:tcPr>
            <w:tcW w:w="2173" w:type="dxa"/>
            <w:shd w:val="clear" w:color="auto" w:fill="auto"/>
            <w:hideMark/>
          </w:tcPr>
          <w:p w14:paraId="6F62FF26"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64 college-educated women, median age 35, average number of children 1.3.</w:t>
            </w:r>
          </w:p>
        </w:tc>
        <w:tc>
          <w:tcPr>
            <w:tcW w:w="2266" w:type="dxa"/>
            <w:shd w:val="clear" w:color="auto" w:fill="auto"/>
            <w:hideMark/>
          </w:tcPr>
          <w:p w14:paraId="43E34A84"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After taking leave, "compensatory work devotion": women try to compensate for their absence by working harder than before, thereby showing that they are more committed than their colleagues.</w:t>
            </w:r>
          </w:p>
        </w:tc>
        <w:tc>
          <w:tcPr>
            <w:tcW w:w="1699" w:type="dxa"/>
            <w:shd w:val="clear" w:color="auto" w:fill="auto"/>
            <w:hideMark/>
          </w:tcPr>
          <w:p w14:paraId="01AE9195"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In-depth interviews</w:t>
            </w:r>
          </w:p>
        </w:tc>
        <w:tc>
          <w:tcPr>
            <w:tcW w:w="1068" w:type="dxa"/>
            <w:shd w:val="clear" w:color="auto" w:fill="auto"/>
            <w:hideMark/>
          </w:tcPr>
          <w:p w14:paraId="2113BCA0"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South Korea</w:t>
            </w:r>
          </w:p>
        </w:tc>
      </w:tr>
      <w:tr w:rsidR="00BE4ECD" w:rsidRPr="00650150" w14:paraId="5A1D77DD" w14:textId="77777777" w:rsidTr="00B74BD6">
        <w:tc>
          <w:tcPr>
            <w:tcW w:w="308" w:type="dxa"/>
            <w:shd w:val="clear" w:color="auto" w:fill="auto"/>
            <w:hideMark/>
          </w:tcPr>
          <w:p w14:paraId="38B722E1"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7</w:t>
            </w:r>
          </w:p>
        </w:tc>
        <w:tc>
          <w:tcPr>
            <w:tcW w:w="1165" w:type="dxa"/>
            <w:shd w:val="clear" w:color="auto" w:fill="auto"/>
            <w:hideMark/>
          </w:tcPr>
          <w:p w14:paraId="64C1D89E"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2022</w:t>
            </w:r>
          </w:p>
        </w:tc>
        <w:tc>
          <w:tcPr>
            <w:tcW w:w="1358" w:type="dxa"/>
            <w:shd w:val="clear" w:color="auto" w:fill="auto"/>
            <w:hideMark/>
          </w:tcPr>
          <w:p w14:paraId="7BA01F27"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Tohme P, Abi-Habib R.</w:t>
            </w:r>
          </w:p>
        </w:tc>
        <w:tc>
          <w:tcPr>
            <w:tcW w:w="1399" w:type="dxa"/>
            <w:shd w:val="clear" w:color="auto" w:fill="auto"/>
            <w:hideMark/>
          </w:tcPr>
          <w:p w14:paraId="48D821B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Correlates of work productivity and maternal competence after having a baby: the roles of mother-infant bonding and maternal subjective experiences</w:t>
            </w:r>
          </w:p>
        </w:tc>
        <w:tc>
          <w:tcPr>
            <w:tcW w:w="1510" w:type="dxa"/>
            <w:shd w:val="clear" w:color="auto" w:fill="auto"/>
            <w:hideMark/>
          </w:tcPr>
          <w:p w14:paraId="26933231"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BMC Womens Health</w:t>
            </w:r>
          </w:p>
        </w:tc>
        <w:tc>
          <w:tcPr>
            <w:tcW w:w="1341" w:type="dxa"/>
            <w:shd w:val="clear" w:color="auto" w:fill="auto"/>
            <w:hideMark/>
          </w:tcPr>
          <w:p w14:paraId="77F9562B"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336B9DB1"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97 mothers, age 25-42 years (M = 32.52, SD = 3.61), with children 6-24 months of age. 97% employed.</w:t>
            </w:r>
          </w:p>
        </w:tc>
        <w:tc>
          <w:tcPr>
            <w:tcW w:w="2266" w:type="dxa"/>
            <w:shd w:val="clear" w:color="auto" w:fill="auto"/>
            <w:hideMark/>
          </w:tcPr>
          <w:p w14:paraId="428D62B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lang w:val="en-US"/>
              </w:rPr>
              <w:t xml:space="preserve">Maternity leave duration between 7 and 365 days (M = 75.70. SD = 40.81), 91% wanted to have had longer maternity leave. 86 breastfed their child. Significant correlations between work productivity and maternal sense of competence, irrespective of the length of maternity leave. Significant predictors of work productivity: working for pleasure, </w:t>
            </w:r>
            <w:r w:rsidRPr="00650150">
              <w:rPr>
                <w:rFonts w:ascii="Times New Roman" w:eastAsia="Times New Roman" w:hAnsi="Times New Roman" w:cs="Times New Roman"/>
                <w:sz w:val="20"/>
                <w:szCs w:val="20"/>
                <w:lang w:val="en-US"/>
              </w:rPr>
              <w:lastRenderedPageBreak/>
              <w:t xml:space="preserve">mother-infant healthy bonding, positive subjective experience of being back to work. </w:t>
            </w:r>
            <w:r w:rsidRPr="00650150">
              <w:rPr>
                <w:rFonts w:ascii="Times New Roman" w:eastAsia="Times New Roman" w:hAnsi="Times New Roman" w:cs="Times New Roman"/>
                <w:sz w:val="20"/>
                <w:szCs w:val="20"/>
              </w:rPr>
              <w:t>Maternal stress predicted maternal competence.</w:t>
            </w:r>
          </w:p>
        </w:tc>
        <w:tc>
          <w:tcPr>
            <w:tcW w:w="1699" w:type="dxa"/>
            <w:shd w:val="clear" w:color="auto" w:fill="auto"/>
            <w:hideMark/>
          </w:tcPr>
          <w:p w14:paraId="451026DF"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 xml:space="preserve">1. Health and Work Questionnaire (HWQ); 2. ad hoc questions; 3. Parenting Sense of Competence (PSOC); 4. Postpartum Bonding Questionnaire (PBQ); 5. Parental Stress Scale (PSS); 6. Guilt about Parenting Scale </w:t>
            </w:r>
            <w:r w:rsidRPr="00650150">
              <w:rPr>
                <w:rFonts w:ascii="Times New Roman" w:eastAsia="Times New Roman" w:hAnsi="Times New Roman" w:cs="Times New Roman"/>
                <w:sz w:val="20"/>
                <w:szCs w:val="20"/>
                <w:lang w:val="en-US"/>
              </w:rPr>
              <w:lastRenderedPageBreak/>
              <w:t>(GAPS); 7Short Experiences in Close Relationships-Revised (ECR-R short)</w:t>
            </w:r>
          </w:p>
        </w:tc>
        <w:tc>
          <w:tcPr>
            <w:tcW w:w="1068" w:type="dxa"/>
            <w:shd w:val="clear" w:color="auto" w:fill="auto"/>
            <w:hideMark/>
          </w:tcPr>
          <w:p w14:paraId="17B01B8C"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Lebanon</w:t>
            </w:r>
          </w:p>
        </w:tc>
      </w:tr>
      <w:tr w:rsidR="00BE4ECD" w:rsidRPr="00650150" w14:paraId="501FD2D3" w14:textId="77777777" w:rsidTr="00B74BD6">
        <w:tc>
          <w:tcPr>
            <w:tcW w:w="308" w:type="dxa"/>
            <w:shd w:val="clear" w:color="auto" w:fill="auto"/>
            <w:hideMark/>
          </w:tcPr>
          <w:p w14:paraId="378C475B"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8</w:t>
            </w:r>
          </w:p>
        </w:tc>
        <w:tc>
          <w:tcPr>
            <w:tcW w:w="1165" w:type="dxa"/>
            <w:shd w:val="clear" w:color="auto" w:fill="auto"/>
            <w:hideMark/>
          </w:tcPr>
          <w:p w14:paraId="1B9A4162"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2022</w:t>
            </w:r>
          </w:p>
        </w:tc>
        <w:tc>
          <w:tcPr>
            <w:tcW w:w="1358" w:type="dxa"/>
            <w:shd w:val="clear" w:color="auto" w:fill="auto"/>
            <w:hideMark/>
          </w:tcPr>
          <w:p w14:paraId="07CAFF7B"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Tsai S.-Y.</w:t>
            </w:r>
          </w:p>
        </w:tc>
        <w:tc>
          <w:tcPr>
            <w:tcW w:w="1399" w:type="dxa"/>
            <w:shd w:val="clear" w:color="auto" w:fill="auto"/>
            <w:hideMark/>
          </w:tcPr>
          <w:p w14:paraId="11B7D1FA"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Shift-work and breastfeeding for women returning to work in a manufacturing workplace in Taiwan</w:t>
            </w:r>
          </w:p>
        </w:tc>
        <w:tc>
          <w:tcPr>
            <w:tcW w:w="1510" w:type="dxa"/>
            <w:shd w:val="clear" w:color="auto" w:fill="auto"/>
            <w:hideMark/>
          </w:tcPr>
          <w:p w14:paraId="53FF1173"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International Breastfeeding Journal</w:t>
            </w:r>
          </w:p>
        </w:tc>
        <w:tc>
          <w:tcPr>
            <w:tcW w:w="1341" w:type="dxa"/>
            <w:shd w:val="clear" w:color="auto" w:fill="auto"/>
            <w:hideMark/>
          </w:tcPr>
          <w:p w14:paraId="7B4D5A5E"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6190B012"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715 employed mothers, with either shift work (n = 334, 99 age 20-29 years, 235 ≥ 30 years), or non-shift work (n = 381, 72 age 20-29 years, 309 age ≥ 30 years).</w:t>
            </w:r>
          </w:p>
        </w:tc>
        <w:tc>
          <w:tcPr>
            <w:tcW w:w="2266" w:type="dxa"/>
            <w:shd w:val="clear" w:color="auto" w:fill="auto"/>
            <w:hideMark/>
          </w:tcPr>
          <w:p w14:paraId="06BFA059"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Encouragement by peers to continue lactation after returning to work was not significantly different between shift and non-shift workers. Feeling that taking two breast-pumping breaks can reduce a mother’s work efficiency: shift workers vs non-shift workers (56.28 vs. 49.60%; p &lt; 0.01). Shift workers: 90.1% breastfed during maternity leave, rates after returning to work decreased to 21.5% (1-6 months) and 17.9% (more than 6 months). Non-shift workers: 87.6% breastfed during maternity leave, rates after returning to work were 24.1% (1-6 months) and 34.6% (more than 6 months). Significant factors for continuing to breastfeed: using a lactation room and taking advantage of breast-pumping breaks. Among non-shift workers, positive effects partner support (OR = </w:t>
            </w:r>
            <w:r w:rsidRPr="00650150">
              <w:rPr>
                <w:rFonts w:ascii="Times New Roman" w:eastAsia="Times New Roman" w:hAnsi="Times New Roman" w:cs="Times New Roman"/>
                <w:sz w:val="20"/>
                <w:szCs w:val="20"/>
                <w:lang w:val="en-US"/>
              </w:rPr>
              <w:lastRenderedPageBreak/>
              <w:t>4.89) toward a mother continuing breastfeeding for more than six months after returning to work.</w:t>
            </w:r>
          </w:p>
        </w:tc>
        <w:tc>
          <w:tcPr>
            <w:tcW w:w="1699" w:type="dxa"/>
            <w:shd w:val="clear" w:color="auto" w:fill="auto"/>
            <w:hideMark/>
          </w:tcPr>
          <w:p w14:paraId="007728D7"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Ad hoc questionnaires</w:t>
            </w:r>
          </w:p>
        </w:tc>
        <w:tc>
          <w:tcPr>
            <w:tcW w:w="1068" w:type="dxa"/>
            <w:shd w:val="clear" w:color="auto" w:fill="auto"/>
            <w:hideMark/>
          </w:tcPr>
          <w:p w14:paraId="76665D8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Taiwan</w:t>
            </w:r>
          </w:p>
        </w:tc>
      </w:tr>
      <w:tr w:rsidR="00BE4ECD" w:rsidRPr="00650150" w14:paraId="7A48FB17" w14:textId="77777777" w:rsidTr="00B74BD6">
        <w:tc>
          <w:tcPr>
            <w:tcW w:w="308" w:type="dxa"/>
            <w:shd w:val="clear" w:color="auto" w:fill="auto"/>
            <w:hideMark/>
          </w:tcPr>
          <w:p w14:paraId="6FE7BD8B"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9</w:t>
            </w:r>
          </w:p>
        </w:tc>
        <w:tc>
          <w:tcPr>
            <w:tcW w:w="1165" w:type="dxa"/>
            <w:shd w:val="clear" w:color="auto" w:fill="auto"/>
            <w:hideMark/>
          </w:tcPr>
          <w:p w14:paraId="285F75FC"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2021</w:t>
            </w:r>
          </w:p>
        </w:tc>
        <w:tc>
          <w:tcPr>
            <w:tcW w:w="1358" w:type="dxa"/>
            <w:shd w:val="clear" w:color="auto" w:fill="auto"/>
            <w:hideMark/>
          </w:tcPr>
          <w:p w14:paraId="713DFB04"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Gebrekidan K.; Plummer V.; Fooladi E.; Hall H.</w:t>
            </w:r>
          </w:p>
        </w:tc>
        <w:tc>
          <w:tcPr>
            <w:tcW w:w="1399" w:type="dxa"/>
            <w:shd w:val="clear" w:color="auto" w:fill="auto"/>
            <w:hideMark/>
          </w:tcPr>
          <w:p w14:paraId="71D3CAA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Attitudes and experiences of employed women when combining exclusive breastfeeding and work: A qualitative study among office workers in Northern Ethiopia</w:t>
            </w:r>
          </w:p>
        </w:tc>
        <w:tc>
          <w:tcPr>
            <w:tcW w:w="1510" w:type="dxa"/>
            <w:shd w:val="clear" w:color="auto" w:fill="auto"/>
            <w:hideMark/>
          </w:tcPr>
          <w:p w14:paraId="65134336"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Maternal and Child Nutrition</w:t>
            </w:r>
          </w:p>
        </w:tc>
        <w:tc>
          <w:tcPr>
            <w:tcW w:w="1341" w:type="dxa"/>
            <w:shd w:val="clear" w:color="auto" w:fill="auto"/>
            <w:hideMark/>
          </w:tcPr>
          <w:p w14:paraId="2F064BE7"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Qualitative study </w:t>
            </w:r>
          </w:p>
        </w:tc>
        <w:tc>
          <w:tcPr>
            <w:tcW w:w="2173" w:type="dxa"/>
            <w:shd w:val="clear" w:color="auto" w:fill="auto"/>
            <w:hideMark/>
          </w:tcPr>
          <w:p w14:paraId="1F9ABC3B"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20 mothers working full-time outside home, with babies of 12 months or younger.</w:t>
            </w:r>
          </w:p>
        </w:tc>
        <w:tc>
          <w:tcPr>
            <w:tcW w:w="2266" w:type="dxa"/>
            <w:shd w:val="clear" w:color="auto" w:fill="auto"/>
            <w:hideMark/>
          </w:tcPr>
          <w:p w14:paraId="0E33D8B6"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3 themes emerged (mothers' knowledge, attitudes, and practice towards breastfeeding; workplace context and employment conditions; support received at home) as contributing factors to continuing exclusive breastfeeding. Participants reported that the overall support given to breastfeeding women from their employers was insufficient to promote exclusive breastfeeding.</w:t>
            </w:r>
          </w:p>
        </w:tc>
        <w:tc>
          <w:tcPr>
            <w:tcW w:w="1699" w:type="dxa"/>
            <w:shd w:val="clear" w:color="auto" w:fill="auto"/>
            <w:hideMark/>
          </w:tcPr>
          <w:p w14:paraId="760D7736"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Interviews</w:t>
            </w:r>
          </w:p>
        </w:tc>
        <w:tc>
          <w:tcPr>
            <w:tcW w:w="1068" w:type="dxa"/>
            <w:shd w:val="clear" w:color="auto" w:fill="auto"/>
            <w:hideMark/>
          </w:tcPr>
          <w:p w14:paraId="7DA33C30"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Ethiopia</w:t>
            </w:r>
          </w:p>
        </w:tc>
      </w:tr>
      <w:tr w:rsidR="00BE4ECD" w:rsidRPr="00650150" w14:paraId="2BBF17E7" w14:textId="77777777" w:rsidTr="00B74BD6">
        <w:tc>
          <w:tcPr>
            <w:tcW w:w="308" w:type="dxa"/>
            <w:shd w:val="clear" w:color="auto" w:fill="auto"/>
            <w:hideMark/>
          </w:tcPr>
          <w:p w14:paraId="5CD592B8"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10</w:t>
            </w:r>
          </w:p>
        </w:tc>
        <w:tc>
          <w:tcPr>
            <w:tcW w:w="1165" w:type="dxa"/>
            <w:shd w:val="clear" w:color="auto" w:fill="auto"/>
            <w:hideMark/>
          </w:tcPr>
          <w:p w14:paraId="086A964E"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2021</w:t>
            </w:r>
          </w:p>
        </w:tc>
        <w:tc>
          <w:tcPr>
            <w:tcW w:w="1358" w:type="dxa"/>
            <w:shd w:val="clear" w:color="auto" w:fill="auto"/>
            <w:hideMark/>
          </w:tcPr>
          <w:p w14:paraId="7C14F2AB"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Gregory S.K.</w:t>
            </w:r>
          </w:p>
        </w:tc>
        <w:tc>
          <w:tcPr>
            <w:tcW w:w="1399" w:type="dxa"/>
            <w:shd w:val="clear" w:color="auto" w:fill="auto"/>
            <w:hideMark/>
          </w:tcPr>
          <w:p w14:paraId="4AAE7D23"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Managing labour market re-entry following maternity leave among women in the Australian higher education sector</w:t>
            </w:r>
          </w:p>
        </w:tc>
        <w:tc>
          <w:tcPr>
            <w:tcW w:w="1510" w:type="dxa"/>
            <w:shd w:val="clear" w:color="auto" w:fill="auto"/>
            <w:hideMark/>
          </w:tcPr>
          <w:p w14:paraId="23037AAA"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Journal of Sociology</w:t>
            </w:r>
          </w:p>
        </w:tc>
        <w:tc>
          <w:tcPr>
            <w:tcW w:w="1341" w:type="dxa"/>
            <w:shd w:val="clear" w:color="auto" w:fill="auto"/>
            <w:hideMark/>
          </w:tcPr>
          <w:p w14:paraId="5785822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Qualitative study </w:t>
            </w:r>
          </w:p>
        </w:tc>
        <w:tc>
          <w:tcPr>
            <w:tcW w:w="2173" w:type="dxa"/>
            <w:shd w:val="clear" w:color="auto" w:fill="auto"/>
            <w:hideMark/>
          </w:tcPr>
          <w:p w14:paraId="37DF0D6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15 female higher education employees aged 27-43 years at first interview. 9 pregnant at the first interview, 6 recently had a child in the last 12 months to 3 years, 8 employed full time.</w:t>
            </w:r>
          </w:p>
        </w:tc>
        <w:tc>
          <w:tcPr>
            <w:tcW w:w="2266" w:type="dxa"/>
            <w:shd w:val="clear" w:color="auto" w:fill="auto"/>
            <w:hideMark/>
          </w:tcPr>
          <w:p w14:paraId="0312E0B9"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Women reported tensions between their paid work/care demands; gender inequality, challenges of returning to employment; lack of access to part-time position, flexibility and/or family-friendly workplace culture. By the third interview, there were only two full-time employees, compared with eight at interview one (part-time as a ‘constrained choice’).</w:t>
            </w:r>
          </w:p>
        </w:tc>
        <w:tc>
          <w:tcPr>
            <w:tcW w:w="1699" w:type="dxa"/>
            <w:shd w:val="clear" w:color="auto" w:fill="auto"/>
            <w:hideMark/>
          </w:tcPr>
          <w:p w14:paraId="0643CFAF"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Interviews</w:t>
            </w:r>
          </w:p>
        </w:tc>
        <w:tc>
          <w:tcPr>
            <w:tcW w:w="1068" w:type="dxa"/>
            <w:shd w:val="clear" w:color="auto" w:fill="auto"/>
            <w:hideMark/>
          </w:tcPr>
          <w:p w14:paraId="72832213"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Australia</w:t>
            </w:r>
          </w:p>
        </w:tc>
      </w:tr>
      <w:tr w:rsidR="00BE4ECD" w:rsidRPr="00650150" w14:paraId="6F8E4238" w14:textId="77777777" w:rsidTr="00B74BD6">
        <w:tc>
          <w:tcPr>
            <w:tcW w:w="308" w:type="dxa"/>
            <w:shd w:val="clear" w:color="auto" w:fill="auto"/>
            <w:hideMark/>
          </w:tcPr>
          <w:p w14:paraId="5D04C56B"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11</w:t>
            </w:r>
          </w:p>
        </w:tc>
        <w:tc>
          <w:tcPr>
            <w:tcW w:w="1165" w:type="dxa"/>
            <w:shd w:val="clear" w:color="auto" w:fill="auto"/>
            <w:hideMark/>
          </w:tcPr>
          <w:p w14:paraId="1B16852C"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2021</w:t>
            </w:r>
          </w:p>
        </w:tc>
        <w:tc>
          <w:tcPr>
            <w:tcW w:w="1358" w:type="dxa"/>
            <w:shd w:val="clear" w:color="auto" w:fill="auto"/>
            <w:hideMark/>
          </w:tcPr>
          <w:p w14:paraId="49FFA0A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Ickes S.B.; Oddo V.M.; Sanders H.K.; Nduati R.; </w:t>
            </w:r>
            <w:r w:rsidRPr="00650150">
              <w:rPr>
                <w:rFonts w:ascii="Times New Roman" w:eastAsia="Times New Roman" w:hAnsi="Times New Roman" w:cs="Times New Roman"/>
                <w:sz w:val="20"/>
                <w:szCs w:val="20"/>
              </w:rPr>
              <w:lastRenderedPageBreak/>
              <w:t>Denno D.M.; Myhre J.A.; Kinyua J.; Iannotti L.L.; Singa B.; Farquhar C.; Walson J.L.</w:t>
            </w:r>
          </w:p>
        </w:tc>
        <w:tc>
          <w:tcPr>
            <w:tcW w:w="1399" w:type="dxa"/>
            <w:shd w:val="clear" w:color="auto" w:fill="auto"/>
            <w:hideMark/>
          </w:tcPr>
          <w:p w14:paraId="6EC3254B"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 xml:space="preserve">Formal maternal employment is associated with </w:t>
            </w:r>
            <w:r w:rsidRPr="00650150">
              <w:rPr>
                <w:rFonts w:ascii="Times New Roman" w:eastAsia="Times New Roman" w:hAnsi="Times New Roman" w:cs="Times New Roman"/>
                <w:sz w:val="20"/>
                <w:szCs w:val="20"/>
                <w:lang w:val="en-US"/>
              </w:rPr>
              <w:lastRenderedPageBreak/>
              <w:t>lower odds of exclusive breastfeeding by 14 weeks postpartum: A cross-sectional survey in Naivasha, Kenya</w:t>
            </w:r>
          </w:p>
        </w:tc>
        <w:tc>
          <w:tcPr>
            <w:tcW w:w="1510" w:type="dxa"/>
            <w:shd w:val="clear" w:color="auto" w:fill="auto"/>
            <w:hideMark/>
          </w:tcPr>
          <w:p w14:paraId="4F7AAD66"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American Journal of Clinical Nutrition</w:t>
            </w:r>
          </w:p>
        </w:tc>
        <w:tc>
          <w:tcPr>
            <w:tcW w:w="1341" w:type="dxa"/>
            <w:shd w:val="clear" w:color="auto" w:fill="auto"/>
            <w:hideMark/>
          </w:tcPr>
          <w:p w14:paraId="305B0556"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2EE88192"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1,186 mothers (n = 296 at hospital discharge, n = 298 at 6 weeks, n = 295 at 14 weeks, and n = 297 </w:t>
            </w:r>
            <w:r w:rsidRPr="00650150">
              <w:rPr>
                <w:rFonts w:ascii="Times New Roman" w:eastAsia="Times New Roman" w:hAnsi="Times New Roman" w:cs="Times New Roman"/>
                <w:sz w:val="20"/>
                <w:szCs w:val="20"/>
                <w:lang w:val="en-US"/>
              </w:rPr>
              <w:lastRenderedPageBreak/>
              <w:t>at 36 weeks). Mean age 27.2 years. Mean ± SE maternity leave lengths = 13.0 ± 1.0 and 13.2 ± 1.2 weeks among formally employed and commercial farmworkers.</w:t>
            </w:r>
          </w:p>
        </w:tc>
        <w:tc>
          <w:tcPr>
            <w:tcW w:w="2266" w:type="dxa"/>
            <w:shd w:val="clear" w:color="auto" w:fill="auto"/>
            <w:hideMark/>
          </w:tcPr>
          <w:p w14:paraId="28BF82E6"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 xml:space="preserve">Reason for discontinuing EBF: returning to work (46.5%), belief that it is appropriate to introduce </w:t>
            </w:r>
            <w:r w:rsidRPr="00650150">
              <w:rPr>
                <w:rFonts w:ascii="Times New Roman" w:eastAsia="Times New Roman" w:hAnsi="Times New Roman" w:cs="Times New Roman"/>
                <w:sz w:val="20"/>
                <w:szCs w:val="20"/>
                <w:lang w:val="en-US"/>
              </w:rPr>
              <w:lastRenderedPageBreak/>
              <w:t>other foods based on the child’s age (33.5%) and perceived milk insufficiency (13.7%). Mothers of 14-wk-old children were more likely to report returning to work as the primary reason for EBF cessation than mothers surveyed at 9 months (60.6% ± 0.05 compared with 38.9% ± 0.03, respectively; P &lt; 0.001).</w:t>
            </w:r>
          </w:p>
        </w:tc>
        <w:tc>
          <w:tcPr>
            <w:tcW w:w="1699" w:type="dxa"/>
            <w:shd w:val="clear" w:color="auto" w:fill="auto"/>
            <w:hideMark/>
          </w:tcPr>
          <w:p w14:paraId="560D889F"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Ad hoc survey</w:t>
            </w:r>
          </w:p>
        </w:tc>
        <w:tc>
          <w:tcPr>
            <w:tcW w:w="1068" w:type="dxa"/>
            <w:shd w:val="clear" w:color="auto" w:fill="auto"/>
            <w:hideMark/>
          </w:tcPr>
          <w:p w14:paraId="603F1826"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Kenya</w:t>
            </w:r>
          </w:p>
        </w:tc>
      </w:tr>
      <w:tr w:rsidR="00BE4ECD" w:rsidRPr="00650150" w14:paraId="4FF98CA5" w14:textId="77777777" w:rsidTr="00B74BD6">
        <w:tc>
          <w:tcPr>
            <w:tcW w:w="308" w:type="dxa"/>
            <w:shd w:val="clear" w:color="auto" w:fill="auto"/>
            <w:hideMark/>
          </w:tcPr>
          <w:p w14:paraId="3F8F4512"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12</w:t>
            </w:r>
          </w:p>
        </w:tc>
        <w:tc>
          <w:tcPr>
            <w:tcW w:w="1165" w:type="dxa"/>
            <w:shd w:val="clear" w:color="auto" w:fill="auto"/>
            <w:hideMark/>
          </w:tcPr>
          <w:p w14:paraId="76599E93"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2021</w:t>
            </w:r>
          </w:p>
        </w:tc>
        <w:tc>
          <w:tcPr>
            <w:tcW w:w="1358" w:type="dxa"/>
            <w:shd w:val="clear" w:color="auto" w:fill="auto"/>
            <w:hideMark/>
          </w:tcPr>
          <w:p w14:paraId="672561D7"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Ickes S.B.; Sanders H.; Denno D.M.; Myhre J.A.; Kinyua J.; Singa B.; Lemein H.S.; Iannotti L.L.; Farquhar C.; Walson J.L.; Nduati R.</w:t>
            </w:r>
          </w:p>
        </w:tc>
        <w:tc>
          <w:tcPr>
            <w:tcW w:w="1399" w:type="dxa"/>
            <w:shd w:val="clear" w:color="auto" w:fill="auto"/>
            <w:hideMark/>
          </w:tcPr>
          <w:p w14:paraId="20275949"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Exclusive breastfeeding among working mothers in Kenya: Perspectives from women, families and employers</w:t>
            </w:r>
          </w:p>
        </w:tc>
        <w:tc>
          <w:tcPr>
            <w:tcW w:w="1510" w:type="dxa"/>
            <w:shd w:val="clear" w:color="auto" w:fill="auto"/>
            <w:hideMark/>
          </w:tcPr>
          <w:p w14:paraId="209919BE"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Maternal and Child Nutrition</w:t>
            </w:r>
          </w:p>
        </w:tc>
        <w:tc>
          <w:tcPr>
            <w:tcW w:w="1341" w:type="dxa"/>
            <w:shd w:val="clear" w:color="auto" w:fill="auto"/>
            <w:hideMark/>
          </w:tcPr>
          <w:p w14:paraId="2C7D47CB"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Qualitative study </w:t>
            </w:r>
          </w:p>
        </w:tc>
        <w:tc>
          <w:tcPr>
            <w:tcW w:w="2173" w:type="dxa"/>
            <w:shd w:val="clear" w:color="auto" w:fill="auto"/>
            <w:hideMark/>
          </w:tcPr>
          <w:p w14:paraId="5D38124F"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42 mothers employed in a flower farm or hotel. Mothers' mean age 29.7 (1.1) years. Mean (SE) age of their youngest child = 4.5 (0.6) months. Among mothers with a child under 6 months (n = 21), one (5%) had stopped breastfeeding, n = 13 (62%) were currently practicing mixed feeding and 7 (33%) reported exclusively breastfeeding.</w:t>
            </w:r>
          </w:p>
        </w:tc>
        <w:tc>
          <w:tcPr>
            <w:tcW w:w="2266" w:type="dxa"/>
            <w:shd w:val="clear" w:color="auto" w:fill="auto"/>
            <w:hideMark/>
          </w:tcPr>
          <w:p w14:paraId="4B233930"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Early cessation of EBF in preparation for return to work. Managers reported supporting mothers through flexible work hours and duties. Challenges when returning to work: lack of proximate or on-site childcare, low support for and experience with milk expression.</w:t>
            </w:r>
          </w:p>
        </w:tc>
        <w:tc>
          <w:tcPr>
            <w:tcW w:w="1699" w:type="dxa"/>
            <w:shd w:val="clear" w:color="auto" w:fill="auto"/>
            <w:hideMark/>
          </w:tcPr>
          <w:p w14:paraId="2155D422"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Semi-structured, in-depth, key informant interviews</w:t>
            </w:r>
          </w:p>
        </w:tc>
        <w:tc>
          <w:tcPr>
            <w:tcW w:w="1068" w:type="dxa"/>
            <w:shd w:val="clear" w:color="auto" w:fill="auto"/>
            <w:hideMark/>
          </w:tcPr>
          <w:p w14:paraId="74B7F331"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Kenya</w:t>
            </w:r>
          </w:p>
        </w:tc>
      </w:tr>
      <w:tr w:rsidR="00BE4ECD" w:rsidRPr="00650150" w14:paraId="587801BF" w14:textId="77777777" w:rsidTr="00B74BD6">
        <w:tc>
          <w:tcPr>
            <w:tcW w:w="308" w:type="dxa"/>
            <w:shd w:val="clear" w:color="auto" w:fill="auto"/>
            <w:hideMark/>
          </w:tcPr>
          <w:p w14:paraId="33957AB9"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13</w:t>
            </w:r>
          </w:p>
        </w:tc>
        <w:tc>
          <w:tcPr>
            <w:tcW w:w="1165" w:type="dxa"/>
            <w:shd w:val="clear" w:color="auto" w:fill="auto"/>
            <w:hideMark/>
          </w:tcPr>
          <w:p w14:paraId="0891CA73"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2021</w:t>
            </w:r>
          </w:p>
        </w:tc>
        <w:tc>
          <w:tcPr>
            <w:tcW w:w="1358" w:type="dxa"/>
            <w:shd w:val="clear" w:color="auto" w:fill="auto"/>
            <w:hideMark/>
          </w:tcPr>
          <w:p w14:paraId="5C105CF1"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Moulton K.L.; Battaglioli N.; Sebok-Syer S.S.</w:t>
            </w:r>
          </w:p>
        </w:tc>
        <w:tc>
          <w:tcPr>
            <w:tcW w:w="1399" w:type="dxa"/>
            <w:shd w:val="clear" w:color="auto" w:fill="auto"/>
            <w:hideMark/>
          </w:tcPr>
          <w:p w14:paraId="7ACA681B"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Is Lactating in the Emergency Department a Letdown? Exploring Barriers and Supports to Workplace Lactation in </w:t>
            </w:r>
            <w:r w:rsidRPr="00650150">
              <w:rPr>
                <w:rFonts w:ascii="Times New Roman" w:eastAsia="Times New Roman" w:hAnsi="Times New Roman" w:cs="Times New Roman"/>
                <w:sz w:val="20"/>
                <w:szCs w:val="20"/>
                <w:lang w:val="en-US"/>
              </w:rPr>
              <w:lastRenderedPageBreak/>
              <w:t>Emergency Medicine</w:t>
            </w:r>
          </w:p>
        </w:tc>
        <w:tc>
          <w:tcPr>
            <w:tcW w:w="1510" w:type="dxa"/>
            <w:shd w:val="clear" w:color="auto" w:fill="auto"/>
            <w:hideMark/>
          </w:tcPr>
          <w:p w14:paraId="4208DCDA"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Annals of Emergency Medicine</w:t>
            </w:r>
          </w:p>
        </w:tc>
        <w:tc>
          <w:tcPr>
            <w:tcW w:w="1341" w:type="dxa"/>
            <w:shd w:val="clear" w:color="auto" w:fill="auto"/>
            <w:hideMark/>
          </w:tcPr>
          <w:p w14:paraId="690D7993"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Qualitative study </w:t>
            </w:r>
          </w:p>
        </w:tc>
        <w:tc>
          <w:tcPr>
            <w:tcW w:w="2173" w:type="dxa"/>
            <w:shd w:val="clear" w:color="auto" w:fill="auto"/>
            <w:hideMark/>
          </w:tcPr>
          <w:p w14:paraId="44FDE933"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24 mothers working in emergency departments: physicians, fellows, and research faculty (n = 17), medical students and residents (n = 4), and nurses (n = 3). At least 1 return-to-work experience after giving </w:t>
            </w:r>
            <w:r w:rsidRPr="00650150">
              <w:rPr>
                <w:rFonts w:ascii="Times New Roman" w:eastAsia="Times New Roman" w:hAnsi="Times New Roman" w:cs="Times New Roman"/>
                <w:sz w:val="20"/>
                <w:szCs w:val="20"/>
                <w:lang w:val="en-US"/>
              </w:rPr>
              <w:lastRenderedPageBreak/>
              <w:t>birth within the prior 3 years.</w:t>
            </w:r>
          </w:p>
        </w:tc>
        <w:tc>
          <w:tcPr>
            <w:tcW w:w="2266" w:type="dxa"/>
            <w:shd w:val="clear" w:color="auto" w:fill="auto"/>
            <w:hideMark/>
          </w:tcPr>
          <w:p w14:paraId="5BE81979"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 xml:space="preserve">3 themes: (1) emergency medicine culture, (2) workplace lactation policies, (3) supports for workplace lactation. Cultural barriers to desired lactation habits, despite formalized </w:t>
            </w:r>
            <w:r w:rsidRPr="00650150">
              <w:rPr>
                <w:rFonts w:ascii="Times New Roman" w:eastAsia="Times New Roman" w:hAnsi="Times New Roman" w:cs="Times New Roman"/>
                <w:sz w:val="20"/>
                <w:szCs w:val="20"/>
                <w:lang w:val="en-US"/>
              </w:rPr>
              <w:lastRenderedPageBreak/>
              <w:t>workplace lactation policies.</w:t>
            </w:r>
          </w:p>
        </w:tc>
        <w:tc>
          <w:tcPr>
            <w:tcW w:w="1699" w:type="dxa"/>
            <w:shd w:val="clear" w:color="auto" w:fill="auto"/>
            <w:hideMark/>
          </w:tcPr>
          <w:p w14:paraId="72262FE3"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Semi-structured individual interviews</w:t>
            </w:r>
          </w:p>
        </w:tc>
        <w:tc>
          <w:tcPr>
            <w:tcW w:w="1068" w:type="dxa"/>
            <w:shd w:val="clear" w:color="auto" w:fill="auto"/>
            <w:hideMark/>
          </w:tcPr>
          <w:p w14:paraId="3E081E1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USA</w:t>
            </w:r>
          </w:p>
        </w:tc>
      </w:tr>
      <w:tr w:rsidR="00BE4ECD" w:rsidRPr="00650150" w14:paraId="5D1EE2C7" w14:textId="77777777" w:rsidTr="00B74BD6">
        <w:tc>
          <w:tcPr>
            <w:tcW w:w="308" w:type="dxa"/>
            <w:shd w:val="clear" w:color="auto" w:fill="auto"/>
            <w:hideMark/>
          </w:tcPr>
          <w:p w14:paraId="0EE7D39B"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14</w:t>
            </w:r>
          </w:p>
        </w:tc>
        <w:tc>
          <w:tcPr>
            <w:tcW w:w="1165" w:type="dxa"/>
            <w:shd w:val="clear" w:color="auto" w:fill="auto"/>
            <w:hideMark/>
          </w:tcPr>
          <w:p w14:paraId="6EADA544"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2021</w:t>
            </w:r>
          </w:p>
        </w:tc>
        <w:tc>
          <w:tcPr>
            <w:tcW w:w="1358" w:type="dxa"/>
            <w:shd w:val="clear" w:color="auto" w:fill="auto"/>
            <w:hideMark/>
          </w:tcPr>
          <w:p w14:paraId="16AA183E"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Wolde FB, Ali JH, Mengistu YG.</w:t>
            </w:r>
          </w:p>
        </w:tc>
        <w:tc>
          <w:tcPr>
            <w:tcW w:w="1399" w:type="dxa"/>
            <w:shd w:val="clear" w:color="auto" w:fill="auto"/>
            <w:hideMark/>
          </w:tcPr>
          <w:p w14:paraId="1670C3A4"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Employed mothers' breastfeeding: Exploring breastfeeding experience of employed mothers in different work environments in Ethiopia</w:t>
            </w:r>
          </w:p>
        </w:tc>
        <w:tc>
          <w:tcPr>
            <w:tcW w:w="1510" w:type="dxa"/>
            <w:shd w:val="clear" w:color="auto" w:fill="auto"/>
            <w:hideMark/>
          </w:tcPr>
          <w:p w14:paraId="7F0E182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PLoS One</w:t>
            </w:r>
          </w:p>
        </w:tc>
        <w:tc>
          <w:tcPr>
            <w:tcW w:w="1341" w:type="dxa"/>
            <w:shd w:val="clear" w:color="auto" w:fill="auto"/>
            <w:hideMark/>
          </w:tcPr>
          <w:p w14:paraId="5AC0BAF9"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Qualitative study </w:t>
            </w:r>
          </w:p>
        </w:tc>
        <w:tc>
          <w:tcPr>
            <w:tcW w:w="2173" w:type="dxa"/>
            <w:shd w:val="clear" w:color="auto" w:fill="auto"/>
            <w:hideMark/>
          </w:tcPr>
          <w:p w14:paraId="2ED1CE94"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17 full-time women employees who have a currently breastfeeding child of two years or younger, mean age 30 years.</w:t>
            </w:r>
          </w:p>
        </w:tc>
        <w:tc>
          <w:tcPr>
            <w:tcW w:w="2266" w:type="dxa"/>
            <w:shd w:val="clear" w:color="auto" w:fill="auto"/>
            <w:hideMark/>
          </w:tcPr>
          <w:p w14:paraId="41EEE1BA"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Returning to work at three months was the major barrier to continuous breastfeeding. Mothers who have access to supporting conditions at their workplace expressed better breastfeeding practice and better satisfaction with job. (Theme 1) workplace barriers and facilitators to breastfeeding: mothers’ reported motivation, satisfaction, and happiness while breastfeeding, physical and emotional challenges to continue breastfeeding after returning to work, difference in health status of breastfed and non-breastfed child. (Theme 2) addressing barriers: mothers with no supporting condition used annual leave to stay longer with child; they used spare time at work to breastfeed.</w:t>
            </w:r>
          </w:p>
        </w:tc>
        <w:tc>
          <w:tcPr>
            <w:tcW w:w="1699" w:type="dxa"/>
            <w:shd w:val="clear" w:color="auto" w:fill="auto"/>
            <w:hideMark/>
          </w:tcPr>
          <w:p w14:paraId="04566DDF"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Interviews (semi-structured questions + open ended questions)</w:t>
            </w:r>
          </w:p>
        </w:tc>
        <w:tc>
          <w:tcPr>
            <w:tcW w:w="1068" w:type="dxa"/>
            <w:shd w:val="clear" w:color="auto" w:fill="auto"/>
            <w:hideMark/>
          </w:tcPr>
          <w:p w14:paraId="02C1BA90"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Ethiopia</w:t>
            </w:r>
          </w:p>
        </w:tc>
      </w:tr>
      <w:tr w:rsidR="00BE4ECD" w:rsidRPr="00650150" w14:paraId="136B19D9" w14:textId="77777777" w:rsidTr="00B74BD6">
        <w:tc>
          <w:tcPr>
            <w:tcW w:w="308" w:type="dxa"/>
            <w:shd w:val="clear" w:color="auto" w:fill="auto"/>
            <w:hideMark/>
          </w:tcPr>
          <w:p w14:paraId="04EEDC8B"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15</w:t>
            </w:r>
          </w:p>
        </w:tc>
        <w:tc>
          <w:tcPr>
            <w:tcW w:w="1165" w:type="dxa"/>
            <w:shd w:val="clear" w:color="auto" w:fill="auto"/>
            <w:hideMark/>
          </w:tcPr>
          <w:p w14:paraId="5A8F685B" w14:textId="169927DA"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w:t>
            </w:r>
            <w:r w:rsidR="00A50930" w:rsidRPr="00650150">
              <w:rPr>
                <w:rFonts w:ascii="Times New Roman" w:eastAsia="Times New Roman" w:hAnsi="Times New Roman" w:cs="Times New Roman"/>
                <w:sz w:val="20"/>
                <w:szCs w:val="20"/>
              </w:rPr>
              <w:t>1</w:t>
            </w:r>
          </w:p>
        </w:tc>
        <w:tc>
          <w:tcPr>
            <w:tcW w:w="1358" w:type="dxa"/>
            <w:shd w:val="clear" w:color="auto" w:fill="auto"/>
            <w:hideMark/>
          </w:tcPr>
          <w:p w14:paraId="4AA35D2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Butudom A.; McFarlin B.L.; Klima C.S.; Spatz D.L.; Kennelly J.F.; McCreary L.L.; Patil </w:t>
            </w:r>
            <w:r w:rsidRPr="00650150">
              <w:rPr>
                <w:rFonts w:ascii="Times New Roman" w:eastAsia="Times New Roman" w:hAnsi="Times New Roman" w:cs="Times New Roman"/>
                <w:sz w:val="20"/>
                <w:szCs w:val="20"/>
              </w:rPr>
              <w:lastRenderedPageBreak/>
              <w:t>C.L.; Koenig M.D.</w:t>
            </w:r>
          </w:p>
        </w:tc>
        <w:tc>
          <w:tcPr>
            <w:tcW w:w="1399" w:type="dxa"/>
            <w:shd w:val="clear" w:color="auto" w:fill="auto"/>
            <w:hideMark/>
          </w:tcPr>
          <w:p w14:paraId="783A5352"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 xml:space="preserve">Behavior outcomes of breastfeeding-friendly policies among thai mothers working in a </w:t>
            </w:r>
            <w:r w:rsidRPr="00650150">
              <w:rPr>
                <w:rFonts w:ascii="Times New Roman" w:eastAsia="Times New Roman" w:hAnsi="Times New Roman" w:cs="Times New Roman"/>
                <w:sz w:val="20"/>
                <w:szCs w:val="20"/>
                <w:lang w:val="en-US"/>
              </w:rPr>
              <w:lastRenderedPageBreak/>
              <w:t>factory: A descriptive study</w:t>
            </w:r>
          </w:p>
        </w:tc>
        <w:tc>
          <w:tcPr>
            <w:tcW w:w="1510" w:type="dxa"/>
            <w:shd w:val="clear" w:color="auto" w:fill="auto"/>
            <w:hideMark/>
          </w:tcPr>
          <w:p w14:paraId="709B7808"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Pacific Rim International Journal of Nursing Research</w:t>
            </w:r>
          </w:p>
        </w:tc>
        <w:tc>
          <w:tcPr>
            <w:tcW w:w="1341" w:type="dxa"/>
            <w:shd w:val="clear" w:color="auto" w:fill="auto"/>
            <w:hideMark/>
          </w:tcPr>
          <w:p w14:paraId="1758C5DE"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43AB8BF9"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lang w:val="en-US"/>
              </w:rPr>
              <w:t xml:space="preserve">216 mothers. Years of work in the factory: 51.9% between 5-9. </w:t>
            </w:r>
            <w:r w:rsidRPr="00650150">
              <w:rPr>
                <w:rFonts w:ascii="Times New Roman" w:eastAsia="Times New Roman" w:hAnsi="Times New Roman" w:cs="Times New Roman"/>
                <w:sz w:val="20"/>
                <w:szCs w:val="20"/>
              </w:rPr>
              <w:t>70.8% between 25-34 years of age.</w:t>
            </w:r>
          </w:p>
        </w:tc>
        <w:tc>
          <w:tcPr>
            <w:tcW w:w="2266" w:type="dxa"/>
            <w:shd w:val="clear" w:color="auto" w:fill="auto"/>
            <w:hideMark/>
          </w:tcPr>
          <w:p w14:paraId="27259D6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lang w:val="en-US"/>
              </w:rPr>
              <w:t xml:space="preserve">12% discontinued pumping and breastfeeding because of returning to work. </w:t>
            </w:r>
            <w:r w:rsidRPr="00650150">
              <w:rPr>
                <w:rFonts w:ascii="Times New Roman" w:eastAsia="Times New Roman" w:hAnsi="Times New Roman" w:cs="Times New Roman"/>
                <w:sz w:val="20"/>
                <w:szCs w:val="20"/>
              </w:rPr>
              <w:t xml:space="preserve">Factory’s levels of breastfeeding support: </w:t>
            </w:r>
            <w:r w:rsidRPr="00650150">
              <w:rPr>
                <w:rFonts w:ascii="Times New Roman" w:eastAsia="Times New Roman" w:hAnsi="Times New Roman" w:cs="Times New Roman"/>
                <w:sz w:val="20"/>
                <w:szCs w:val="20"/>
              </w:rPr>
              <w:lastRenderedPageBreak/>
              <w:t>26.1% excellent, 59% very good.</w:t>
            </w:r>
          </w:p>
        </w:tc>
        <w:tc>
          <w:tcPr>
            <w:tcW w:w="1699" w:type="dxa"/>
            <w:shd w:val="clear" w:color="auto" w:fill="auto"/>
            <w:hideMark/>
          </w:tcPr>
          <w:p w14:paraId="69138ED8"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 xml:space="preserve">1. Ad hoc demographic questionnaire; 2. Breastfeeding in the Workplace Survey </w:t>
            </w:r>
            <w:r w:rsidRPr="00650150">
              <w:rPr>
                <w:rFonts w:ascii="Times New Roman" w:eastAsia="Times New Roman" w:hAnsi="Times New Roman" w:cs="Times New Roman"/>
                <w:sz w:val="20"/>
                <w:szCs w:val="20"/>
                <w:lang w:val="en-US"/>
              </w:rPr>
              <w:lastRenderedPageBreak/>
              <w:t>Questionnaire (BWSQ)</w:t>
            </w:r>
          </w:p>
        </w:tc>
        <w:tc>
          <w:tcPr>
            <w:tcW w:w="1068" w:type="dxa"/>
            <w:shd w:val="clear" w:color="auto" w:fill="auto"/>
            <w:hideMark/>
          </w:tcPr>
          <w:p w14:paraId="2E5BD0EF"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Thailand</w:t>
            </w:r>
          </w:p>
        </w:tc>
      </w:tr>
      <w:tr w:rsidR="00BE4ECD" w:rsidRPr="00650150" w14:paraId="32C7AAF5" w14:textId="77777777" w:rsidTr="00B74BD6">
        <w:tc>
          <w:tcPr>
            <w:tcW w:w="308" w:type="dxa"/>
            <w:shd w:val="clear" w:color="auto" w:fill="auto"/>
            <w:hideMark/>
          </w:tcPr>
          <w:p w14:paraId="0ECB5614"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16</w:t>
            </w:r>
          </w:p>
        </w:tc>
        <w:tc>
          <w:tcPr>
            <w:tcW w:w="1165" w:type="dxa"/>
            <w:shd w:val="clear" w:color="auto" w:fill="auto"/>
            <w:hideMark/>
          </w:tcPr>
          <w:p w14:paraId="29B1F23E"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2020</w:t>
            </w:r>
          </w:p>
        </w:tc>
        <w:tc>
          <w:tcPr>
            <w:tcW w:w="1358" w:type="dxa"/>
            <w:shd w:val="clear" w:color="auto" w:fill="auto"/>
            <w:hideMark/>
          </w:tcPr>
          <w:p w14:paraId="2AA6F81C"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Castetbon K, Boudet-Berquier J, Salanave B.</w:t>
            </w:r>
          </w:p>
        </w:tc>
        <w:tc>
          <w:tcPr>
            <w:tcW w:w="1399" w:type="dxa"/>
            <w:shd w:val="clear" w:color="auto" w:fill="auto"/>
            <w:hideMark/>
          </w:tcPr>
          <w:p w14:paraId="62891DD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Combining breastfeeding and work: findings from the Epifane population-based birth cohort</w:t>
            </w:r>
          </w:p>
        </w:tc>
        <w:tc>
          <w:tcPr>
            <w:tcW w:w="1510" w:type="dxa"/>
            <w:shd w:val="clear" w:color="auto" w:fill="auto"/>
            <w:hideMark/>
          </w:tcPr>
          <w:p w14:paraId="414BA35E"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BMC Pregnancy Childbirth</w:t>
            </w:r>
          </w:p>
        </w:tc>
        <w:tc>
          <w:tcPr>
            <w:tcW w:w="1341" w:type="dxa"/>
            <w:shd w:val="clear" w:color="auto" w:fill="auto"/>
            <w:hideMark/>
          </w:tcPr>
          <w:p w14:paraId="0DC71F33"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Cohort study</w:t>
            </w:r>
          </w:p>
        </w:tc>
        <w:tc>
          <w:tcPr>
            <w:tcW w:w="2173" w:type="dxa"/>
            <w:shd w:val="clear" w:color="auto" w:fill="auto"/>
            <w:hideMark/>
          </w:tcPr>
          <w:p w14:paraId="2B049709"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lang w:val="en-US"/>
              </w:rPr>
              <w:t xml:space="preserve">1,487 women who had worked before pregnancy and returned to work within a year after delivery (from a total sample of 2,480 women). </w:t>
            </w:r>
            <w:r w:rsidRPr="00650150">
              <w:rPr>
                <w:rFonts w:ascii="Times New Roman" w:eastAsia="Times New Roman" w:hAnsi="Times New Roman" w:cs="Times New Roman"/>
                <w:sz w:val="20"/>
                <w:szCs w:val="20"/>
              </w:rPr>
              <w:t>Median time of returning to work: 5.3 months.</w:t>
            </w:r>
          </w:p>
        </w:tc>
        <w:tc>
          <w:tcPr>
            <w:tcW w:w="2266" w:type="dxa"/>
            <w:shd w:val="clear" w:color="auto" w:fill="auto"/>
            <w:hideMark/>
          </w:tcPr>
          <w:p w14:paraId="6A22EDE3"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Percentages of returning to work within one year: 85.1% women who did not breastfeed at all, 83.0% women who breastfed for less than 1 month, 85.3% women who breastfed for 1–4 months, 77.1% those who breastfed for more than 4 months (p = 0.0002). Only women who breastfed for more than 4 months returned to work much later. 34.5% combined breastfeeding and work and breastfed for a longer duration. 93.7% of women who continued to breastfeed after returning to work had exclusively breastfed at birth, vs 75.2% of those who ceased to breastfeed before returning to work.</w:t>
            </w:r>
          </w:p>
        </w:tc>
        <w:tc>
          <w:tcPr>
            <w:tcW w:w="1699" w:type="dxa"/>
            <w:shd w:val="clear" w:color="auto" w:fill="auto"/>
            <w:hideMark/>
          </w:tcPr>
          <w:p w14:paraId="590D1174"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Ad hoc questions administered in person, by phone and online, records from medical files</w:t>
            </w:r>
          </w:p>
        </w:tc>
        <w:tc>
          <w:tcPr>
            <w:tcW w:w="1068" w:type="dxa"/>
            <w:shd w:val="clear" w:color="auto" w:fill="auto"/>
            <w:hideMark/>
          </w:tcPr>
          <w:p w14:paraId="65636FDF"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France</w:t>
            </w:r>
          </w:p>
        </w:tc>
      </w:tr>
      <w:tr w:rsidR="00BE4ECD" w:rsidRPr="00650150" w14:paraId="68D3D11D" w14:textId="77777777" w:rsidTr="00B74BD6">
        <w:tc>
          <w:tcPr>
            <w:tcW w:w="308" w:type="dxa"/>
            <w:shd w:val="clear" w:color="auto" w:fill="auto"/>
            <w:hideMark/>
          </w:tcPr>
          <w:p w14:paraId="30F656E4"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17</w:t>
            </w:r>
          </w:p>
        </w:tc>
        <w:tc>
          <w:tcPr>
            <w:tcW w:w="1165" w:type="dxa"/>
            <w:shd w:val="clear" w:color="auto" w:fill="auto"/>
            <w:hideMark/>
          </w:tcPr>
          <w:p w14:paraId="75703327"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2020</w:t>
            </w:r>
          </w:p>
        </w:tc>
        <w:tc>
          <w:tcPr>
            <w:tcW w:w="1358" w:type="dxa"/>
            <w:shd w:val="clear" w:color="auto" w:fill="auto"/>
            <w:hideMark/>
          </w:tcPr>
          <w:p w14:paraId="6C676690"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Cervera-Gasch Á.; Mena-Tudela D.; Leon-Larios F.; Felip-Galvan N.; Rochdi-Lahniche S.; Andreu-Pejó L.; González-Chordá V.M.</w:t>
            </w:r>
          </w:p>
        </w:tc>
        <w:tc>
          <w:tcPr>
            <w:tcW w:w="1399" w:type="dxa"/>
            <w:shd w:val="clear" w:color="auto" w:fill="auto"/>
            <w:hideMark/>
          </w:tcPr>
          <w:p w14:paraId="55D684D8"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Female employees’ perception of breastfeeding support in the workplace, public universities in Spain: A multicentric </w:t>
            </w:r>
            <w:r w:rsidRPr="00650150">
              <w:rPr>
                <w:rFonts w:ascii="Times New Roman" w:eastAsia="Times New Roman" w:hAnsi="Times New Roman" w:cs="Times New Roman"/>
                <w:sz w:val="20"/>
                <w:szCs w:val="20"/>
                <w:lang w:val="en-US"/>
              </w:rPr>
              <w:lastRenderedPageBreak/>
              <w:t>comparative study</w:t>
            </w:r>
          </w:p>
        </w:tc>
        <w:tc>
          <w:tcPr>
            <w:tcW w:w="1510" w:type="dxa"/>
            <w:shd w:val="clear" w:color="auto" w:fill="auto"/>
            <w:hideMark/>
          </w:tcPr>
          <w:p w14:paraId="21B326EA"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International Journal of Environmental Research and Public Health</w:t>
            </w:r>
          </w:p>
        </w:tc>
        <w:tc>
          <w:tcPr>
            <w:tcW w:w="1341" w:type="dxa"/>
            <w:shd w:val="clear" w:color="auto" w:fill="auto"/>
            <w:hideMark/>
          </w:tcPr>
          <w:p w14:paraId="70E8ADAE"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295BE1C6"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lang w:val="en-US"/>
              </w:rPr>
              <w:t xml:space="preserve">301 women from two universities, mean age 41.94 years (SD = 4.55, Min = 31, Max = 53; p = 0.333). </w:t>
            </w:r>
            <w:r w:rsidRPr="00650150">
              <w:rPr>
                <w:rFonts w:ascii="Times New Roman" w:eastAsia="Times New Roman" w:hAnsi="Times New Roman" w:cs="Times New Roman"/>
                <w:sz w:val="20"/>
                <w:szCs w:val="20"/>
              </w:rPr>
              <w:t>162 teachers/researchers and 139 administration/services staff.</w:t>
            </w:r>
          </w:p>
        </w:tc>
        <w:tc>
          <w:tcPr>
            <w:tcW w:w="2266" w:type="dxa"/>
            <w:shd w:val="clear" w:color="auto" w:fill="auto"/>
            <w:hideMark/>
          </w:tcPr>
          <w:p w14:paraId="44F1429E"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Intention to continue breastfeeding when back at work reported by 70.4%, 57.8% continued breastfeeding after returning to work. Factors associated with continuing breastfeeding: university having a breastfeeding support policy and special </w:t>
            </w:r>
            <w:r w:rsidRPr="00650150">
              <w:rPr>
                <w:rFonts w:ascii="Times New Roman" w:eastAsia="Times New Roman" w:hAnsi="Times New Roman" w:cs="Times New Roman"/>
                <w:sz w:val="20"/>
                <w:szCs w:val="20"/>
                <w:lang w:val="en-US"/>
              </w:rPr>
              <w:lastRenderedPageBreak/>
              <w:t>accommodation (p &lt; 0.001); participating in breastfeeding support groups (p &lt; 0.001); intending to continue breastfeeding after returning to work (p &lt; 0.001); knowing the occupational legislation in force (p = 0.009); having a female supervisor (p = 0.04).</w:t>
            </w:r>
          </w:p>
        </w:tc>
        <w:tc>
          <w:tcPr>
            <w:tcW w:w="1699" w:type="dxa"/>
            <w:shd w:val="clear" w:color="auto" w:fill="auto"/>
            <w:hideMark/>
          </w:tcPr>
          <w:p w14:paraId="7695917E"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1. Ad hoc sociodemographic questionnaire; 2. Workplace Breastfeeding Support Scale (WBSS)</w:t>
            </w:r>
          </w:p>
        </w:tc>
        <w:tc>
          <w:tcPr>
            <w:tcW w:w="1068" w:type="dxa"/>
            <w:shd w:val="clear" w:color="auto" w:fill="auto"/>
            <w:hideMark/>
          </w:tcPr>
          <w:p w14:paraId="62FB96C4"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Spain</w:t>
            </w:r>
          </w:p>
        </w:tc>
      </w:tr>
      <w:tr w:rsidR="00BE4ECD" w:rsidRPr="00650150" w14:paraId="7A952199" w14:textId="77777777" w:rsidTr="00B74BD6">
        <w:tc>
          <w:tcPr>
            <w:tcW w:w="308" w:type="dxa"/>
            <w:shd w:val="clear" w:color="auto" w:fill="auto"/>
            <w:hideMark/>
          </w:tcPr>
          <w:p w14:paraId="210A45AA"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18</w:t>
            </w:r>
          </w:p>
        </w:tc>
        <w:tc>
          <w:tcPr>
            <w:tcW w:w="1165" w:type="dxa"/>
            <w:shd w:val="clear" w:color="auto" w:fill="auto"/>
            <w:hideMark/>
          </w:tcPr>
          <w:p w14:paraId="221F5577"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2020</w:t>
            </w:r>
          </w:p>
        </w:tc>
        <w:tc>
          <w:tcPr>
            <w:tcW w:w="1358" w:type="dxa"/>
            <w:shd w:val="clear" w:color="auto" w:fill="auto"/>
            <w:hideMark/>
          </w:tcPr>
          <w:p w14:paraId="271E6D61"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Falletta L.; Abbruzzese S.; Fischbein R.; Shura R.; Eng A.; Alemagno S.</w:t>
            </w:r>
          </w:p>
        </w:tc>
        <w:tc>
          <w:tcPr>
            <w:tcW w:w="1399" w:type="dxa"/>
            <w:shd w:val="clear" w:color="auto" w:fill="auto"/>
            <w:hideMark/>
          </w:tcPr>
          <w:p w14:paraId="5556F016"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Work Reentry After Childbirth: Predictors of Self-Rated Health in Month One Among a Sample of University Faculty and Staff</w:t>
            </w:r>
          </w:p>
        </w:tc>
        <w:tc>
          <w:tcPr>
            <w:tcW w:w="1510" w:type="dxa"/>
            <w:shd w:val="clear" w:color="auto" w:fill="auto"/>
            <w:hideMark/>
          </w:tcPr>
          <w:p w14:paraId="034571A2"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Safety and Health at Work</w:t>
            </w:r>
          </w:p>
        </w:tc>
        <w:tc>
          <w:tcPr>
            <w:tcW w:w="1341" w:type="dxa"/>
            <w:shd w:val="clear" w:color="auto" w:fill="auto"/>
            <w:hideMark/>
          </w:tcPr>
          <w:p w14:paraId="1A250E13"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1A99A78E"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249 women who had given birth in the past 5 years. Mean age 34. Most women took 12 or fewer weeks off for maternity leave.</w:t>
            </w:r>
          </w:p>
        </w:tc>
        <w:tc>
          <w:tcPr>
            <w:tcW w:w="2266" w:type="dxa"/>
            <w:shd w:val="clear" w:color="auto" w:fill="auto"/>
            <w:hideMark/>
          </w:tcPr>
          <w:p w14:paraId="13BDA2FE"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Women who experienced depression (odds ratio [OR] = 0.096 [95% confidence interval {CI} = 0.019 to 0.483, p = 0.004]) and anxiety (OR = 0.164, [95% CI = 0.042 to 0.635, p = 0.009]) nearly every day reported worse health at work reentry than those with no symptoms. Taking a longer maternity leave (OR = 14.552 [95% CI = 4.934 to 42.918, p &lt; 0.001]) was associated with reporting better health at work reentry.</w:t>
            </w:r>
          </w:p>
        </w:tc>
        <w:tc>
          <w:tcPr>
            <w:tcW w:w="1699" w:type="dxa"/>
            <w:shd w:val="clear" w:color="auto" w:fill="auto"/>
            <w:hideMark/>
          </w:tcPr>
          <w:p w14:paraId="6D22AAC9"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Ad hoc questionnaires</w:t>
            </w:r>
          </w:p>
        </w:tc>
        <w:tc>
          <w:tcPr>
            <w:tcW w:w="1068" w:type="dxa"/>
            <w:shd w:val="clear" w:color="auto" w:fill="auto"/>
            <w:hideMark/>
          </w:tcPr>
          <w:p w14:paraId="65FEC9EB"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USA</w:t>
            </w:r>
          </w:p>
        </w:tc>
      </w:tr>
      <w:tr w:rsidR="00BE4ECD" w:rsidRPr="00650150" w14:paraId="4EF116CF" w14:textId="77777777" w:rsidTr="00B74BD6">
        <w:tc>
          <w:tcPr>
            <w:tcW w:w="308" w:type="dxa"/>
            <w:shd w:val="clear" w:color="auto" w:fill="auto"/>
            <w:hideMark/>
          </w:tcPr>
          <w:p w14:paraId="4636D3A2"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19</w:t>
            </w:r>
          </w:p>
        </w:tc>
        <w:tc>
          <w:tcPr>
            <w:tcW w:w="1165" w:type="dxa"/>
            <w:shd w:val="clear" w:color="auto" w:fill="auto"/>
            <w:hideMark/>
          </w:tcPr>
          <w:p w14:paraId="4061BAA7"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2020</w:t>
            </w:r>
          </w:p>
        </w:tc>
        <w:tc>
          <w:tcPr>
            <w:tcW w:w="1358" w:type="dxa"/>
            <w:shd w:val="clear" w:color="auto" w:fill="auto"/>
            <w:hideMark/>
          </w:tcPr>
          <w:p w14:paraId="0042797B"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Hasan A.M.R.; Smith G.; Selim M.A.; Akter S.; Khan N.U.Z.; Sharmin T.; Rasheed S.</w:t>
            </w:r>
          </w:p>
        </w:tc>
        <w:tc>
          <w:tcPr>
            <w:tcW w:w="1399" w:type="dxa"/>
            <w:shd w:val="clear" w:color="auto" w:fill="auto"/>
            <w:hideMark/>
          </w:tcPr>
          <w:p w14:paraId="113B0AE0"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Work and breast milk feeding: a qualitative exploration of the experience of lactating mothers working in </w:t>
            </w:r>
            <w:r w:rsidRPr="00650150">
              <w:rPr>
                <w:rFonts w:ascii="Times New Roman" w:eastAsia="Times New Roman" w:hAnsi="Times New Roman" w:cs="Times New Roman"/>
                <w:sz w:val="20"/>
                <w:szCs w:val="20"/>
                <w:lang w:val="en-US"/>
              </w:rPr>
              <w:lastRenderedPageBreak/>
              <w:t>ready made garments factories in urban Bangladesh</w:t>
            </w:r>
          </w:p>
        </w:tc>
        <w:tc>
          <w:tcPr>
            <w:tcW w:w="1510" w:type="dxa"/>
            <w:shd w:val="clear" w:color="auto" w:fill="auto"/>
            <w:hideMark/>
          </w:tcPr>
          <w:p w14:paraId="211CE6C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International Breastfeeding Journal</w:t>
            </w:r>
          </w:p>
        </w:tc>
        <w:tc>
          <w:tcPr>
            <w:tcW w:w="1341" w:type="dxa"/>
            <w:shd w:val="clear" w:color="auto" w:fill="auto"/>
            <w:hideMark/>
          </w:tcPr>
          <w:p w14:paraId="6CCE395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Qualitative study </w:t>
            </w:r>
          </w:p>
        </w:tc>
        <w:tc>
          <w:tcPr>
            <w:tcW w:w="2173" w:type="dxa"/>
            <w:shd w:val="clear" w:color="auto" w:fill="auto"/>
            <w:hideMark/>
          </w:tcPr>
          <w:p w14:paraId="3E7B855E"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Focus groups: 19 mothers. Interviews: 8 mothers.</w:t>
            </w:r>
          </w:p>
        </w:tc>
        <w:tc>
          <w:tcPr>
            <w:tcW w:w="2266" w:type="dxa"/>
            <w:shd w:val="clear" w:color="auto" w:fill="auto"/>
            <w:hideMark/>
          </w:tcPr>
          <w:p w14:paraId="23B8463C"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lang w:val="en-US"/>
              </w:rPr>
              <w:t xml:space="preserve">Main themes: knowledge and experience of breastfeeding; structural barriers (home and workplace); consequences of inadequate breastfeeding; perception and experience of using expressed breast milk. </w:t>
            </w:r>
            <w:r w:rsidRPr="00650150">
              <w:rPr>
                <w:rFonts w:ascii="Times New Roman" w:eastAsia="Times New Roman" w:hAnsi="Times New Roman" w:cs="Times New Roman"/>
                <w:sz w:val="20"/>
                <w:szCs w:val="20"/>
                <w:lang w:val="en-US"/>
              </w:rPr>
              <w:lastRenderedPageBreak/>
              <w:t xml:space="preserve">Most mothers introduced formula as early as 2 months to prepare for return to work. Barriers impeding EBF: excessive workload, inadequate crèche facilities at work, lack of adequate caregivers at home. </w:t>
            </w:r>
            <w:r w:rsidRPr="00650150">
              <w:rPr>
                <w:rFonts w:ascii="Times New Roman" w:eastAsia="Times New Roman" w:hAnsi="Times New Roman" w:cs="Times New Roman"/>
                <w:sz w:val="20"/>
                <w:szCs w:val="20"/>
              </w:rPr>
              <w:t>Very little knowledge of use of expressed breast milk.</w:t>
            </w:r>
          </w:p>
        </w:tc>
        <w:tc>
          <w:tcPr>
            <w:tcW w:w="1699" w:type="dxa"/>
            <w:shd w:val="clear" w:color="auto" w:fill="auto"/>
            <w:hideMark/>
          </w:tcPr>
          <w:p w14:paraId="6F6B3287"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Interviews (in-depth and key informant) + focus group discussions</w:t>
            </w:r>
          </w:p>
        </w:tc>
        <w:tc>
          <w:tcPr>
            <w:tcW w:w="1068" w:type="dxa"/>
            <w:shd w:val="clear" w:color="auto" w:fill="auto"/>
            <w:hideMark/>
          </w:tcPr>
          <w:p w14:paraId="7E7E50DC"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Bangladesh</w:t>
            </w:r>
          </w:p>
        </w:tc>
      </w:tr>
      <w:tr w:rsidR="00BE4ECD" w:rsidRPr="00650150" w14:paraId="65CC4B71" w14:textId="77777777" w:rsidTr="00B74BD6">
        <w:tc>
          <w:tcPr>
            <w:tcW w:w="308" w:type="dxa"/>
            <w:shd w:val="clear" w:color="auto" w:fill="auto"/>
            <w:hideMark/>
          </w:tcPr>
          <w:p w14:paraId="1204EC07"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w:t>
            </w:r>
          </w:p>
        </w:tc>
        <w:tc>
          <w:tcPr>
            <w:tcW w:w="1165" w:type="dxa"/>
            <w:shd w:val="clear" w:color="auto" w:fill="auto"/>
            <w:hideMark/>
          </w:tcPr>
          <w:p w14:paraId="61DF8070"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2020</w:t>
            </w:r>
          </w:p>
        </w:tc>
        <w:tc>
          <w:tcPr>
            <w:tcW w:w="1358" w:type="dxa"/>
            <w:shd w:val="clear" w:color="auto" w:fill="auto"/>
            <w:hideMark/>
          </w:tcPr>
          <w:p w14:paraId="564F35DB"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Kebede T, Woldemichael K, Jarso H, Bekele BB.</w:t>
            </w:r>
          </w:p>
        </w:tc>
        <w:tc>
          <w:tcPr>
            <w:tcW w:w="1399" w:type="dxa"/>
            <w:shd w:val="clear" w:color="auto" w:fill="auto"/>
            <w:hideMark/>
          </w:tcPr>
          <w:p w14:paraId="37D20559"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Exclusive breastfeeding cessation and associated factors among employed mothers in Dukem town, Central Ethiopia</w:t>
            </w:r>
          </w:p>
        </w:tc>
        <w:tc>
          <w:tcPr>
            <w:tcW w:w="1510" w:type="dxa"/>
            <w:shd w:val="clear" w:color="auto" w:fill="auto"/>
            <w:hideMark/>
          </w:tcPr>
          <w:p w14:paraId="0F240BAA"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Int Breastfeed J</w:t>
            </w:r>
          </w:p>
        </w:tc>
        <w:tc>
          <w:tcPr>
            <w:tcW w:w="1341" w:type="dxa"/>
            <w:shd w:val="clear" w:color="auto" w:fill="auto"/>
            <w:hideMark/>
          </w:tcPr>
          <w:p w14:paraId="74E0348C"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584CDD1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313 employed mothers (6 to 24 months children) working in governmental and nongovernmental organizations, mean age 27.1 (SD = 3.44) years.</w:t>
            </w:r>
          </w:p>
        </w:tc>
        <w:tc>
          <w:tcPr>
            <w:tcW w:w="2266" w:type="dxa"/>
            <w:shd w:val="clear" w:color="auto" w:fill="auto"/>
            <w:hideMark/>
          </w:tcPr>
          <w:p w14:paraId="17CB7DE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Prevalence of exclusive breastfeeding cessation 75.7% (95% CI 71.0, 80.5%). Cessation of EBF associated factors: short duration of maternity leave (AOR 9.3; 95% CI 3.8, 23), full time employee (AOR 3.5; 95% CI 1.7, 11), private organization employee (AOR=2.1, 95% CI(1, 4.3)), lack of flexible work time (AOR 3.0; 95% CI 1.2, 7.5), not pumping breast milk (AOR 4.3; 95% CI 1.7, 11), lack of a lactation break (AOR 6.7; 95% CI 3,14.5), work place far away from child (AOR 3.1; 95% CI 3.1, 6.3).</w:t>
            </w:r>
          </w:p>
        </w:tc>
        <w:tc>
          <w:tcPr>
            <w:tcW w:w="1699" w:type="dxa"/>
            <w:shd w:val="clear" w:color="auto" w:fill="auto"/>
            <w:hideMark/>
          </w:tcPr>
          <w:p w14:paraId="74AA9F26"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Ad hoc survey</w:t>
            </w:r>
          </w:p>
        </w:tc>
        <w:tc>
          <w:tcPr>
            <w:tcW w:w="1068" w:type="dxa"/>
            <w:shd w:val="clear" w:color="auto" w:fill="auto"/>
            <w:hideMark/>
          </w:tcPr>
          <w:p w14:paraId="50A85B8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Ethiopia</w:t>
            </w:r>
          </w:p>
        </w:tc>
      </w:tr>
      <w:tr w:rsidR="00BE4ECD" w:rsidRPr="00650150" w14:paraId="22876089" w14:textId="77777777" w:rsidTr="00B74BD6">
        <w:tc>
          <w:tcPr>
            <w:tcW w:w="308" w:type="dxa"/>
            <w:shd w:val="clear" w:color="auto" w:fill="auto"/>
            <w:hideMark/>
          </w:tcPr>
          <w:p w14:paraId="6977227D"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21</w:t>
            </w:r>
          </w:p>
        </w:tc>
        <w:tc>
          <w:tcPr>
            <w:tcW w:w="1165" w:type="dxa"/>
            <w:shd w:val="clear" w:color="auto" w:fill="auto"/>
            <w:hideMark/>
          </w:tcPr>
          <w:p w14:paraId="1A72F998"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2020</w:t>
            </w:r>
          </w:p>
        </w:tc>
        <w:tc>
          <w:tcPr>
            <w:tcW w:w="1358" w:type="dxa"/>
            <w:shd w:val="clear" w:color="auto" w:fill="auto"/>
            <w:hideMark/>
          </w:tcPr>
          <w:p w14:paraId="47DDEA13"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Mabaso B.P.; Jaga A.; Doherty T.</w:t>
            </w:r>
          </w:p>
        </w:tc>
        <w:tc>
          <w:tcPr>
            <w:tcW w:w="1399" w:type="dxa"/>
            <w:shd w:val="clear" w:color="auto" w:fill="auto"/>
            <w:hideMark/>
          </w:tcPr>
          <w:p w14:paraId="2769BB0A"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Experiences of workplace breastfeeding in a provincial government setting: a </w:t>
            </w:r>
            <w:r w:rsidRPr="00650150">
              <w:rPr>
                <w:rFonts w:ascii="Times New Roman" w:eastAsia="Times New Roman" w:hAnsi="Times New Roman" w:cs="Times New Roman"/>
                <w:sz w:val="20"/>
                <w:szCs w:val="20"/>
                <w:lang w:val="en-US"/>
              </w:rPr>
              <w:lastRenderedPageBreak/>
              <w:t>qualitative exploratory study among managers and mothers in South Africa</w:t>
            </w:r>
          </w:p>
        </w:tc>
        <w:tc>
          <w:tcPr>
            <w:tcW w:w="1510" w:type="dxa"/>
            <w:shd w:val="clear" w:color="auto" w:fill="auto"/>
            <w:hideMark/>
          </w:tcPr>
          <w:p w14:paraId="1E3923D6"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International Breastfeeding Journal</w:t>
            </w:r>
          </w:p>
        </w:tc>
        <w:tc>
          <w:tcPr>
            <w:tcW w:w="1341" w:type="dxa"/>
            <w:shd w:val="clear" w:color="auto" w:fill="auto"/>
            <w:hideMark/>
          </w:tcPr>
          <w:p w14:paraId="11207ADF"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Qualitative study </w:t>
            </w:r>
          </w:p>
        </w:tc>
        <w:tc>
          <w:tcPr>
            <w:tcW w:w="2173" w:type="dxa"/>
            <w:shd w:val="clear" w:color="auto" w:fill="auto"/>
            <w:hideMark/>
          </w:tcPr>
          <w:p w14:paraId="2616845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8 mothers.</w:t>
            </w:r>
          </w:p>
        </w:tc>
        <w:tc>
          <w:tcPr>
            <w:tcW w:w="2266" w:type="dxa"/>
            <w:shd w:val="clear" w:color="auto" w:fill="auto"/>
            <w:hideMark/>
          </w:tcPr>
          <w:p w14:paraId="48DFFACF"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3 critical maternity periods: pregnancy, maternity leave, and return to work. Lack of knowledge about comprehensive maternity </w:t>
            </w:r>
            <w:r w:rsidRPr="00650150">
              <w:rPr>
                <w:rFonts w:ascii="Times New Roman" w:eastAsia="Times New Roman" w:hAnsi="Times New Roman" w:cs="Times New Roman"/>
                <w:sz w:val="20"/>
                <w:szCs w:val="20"/>
                <w:lang w:val="en-US"/>
              </w:rPr>
              <w:lastRenderedPageBreak/>
              <w:t xml:space="preserve">benefits. Most participants stopped breastfeeding prior to or immediately upon return to work. Barriers to breastfeeding continuation: absence of conversation about infant feeding plans between managers and mothers. </w:t>
            </w:r>
          </w:p>
        </w:tc>
        <w:tc>
          <w:tcPr>
            <w:tcW w:w="1699" w:type="dxa"/>
            <w:shd w:val="clear" w:color="auto" w:fill="auto"/>
            <w:hideMark/>
          </w:tcPr>
          <w:p w14:paraId="53A5C50B"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Semi-structured interviews</w:t>
            </w:r>
          </w:p>
        </w:tc>
        <w:tc>
          <w:tcPr>
            <w:tcW w:w="1068" w:type="dxa"/>
            <w:shd w:val="clear" w:color="auto" w:fill="auto"/>
            <w:hideMark/>
          </w:tcPr>
          <w:p w14:paraId="19851BC7"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South Africa</w:t>
            </w:r>
          </w:p>
        </w:tc>
      </w:tr>
      <w:tr w:rsidR="00BE4ECD" w:rsidRPr="00650150" w14:paraId="34557E25" w14:textId="77777777" w:rsidTr="00B74BD6">
        <w:tc>
          <w:tcPr>
            <w:tcW w:w="308" w:type="dxa"/>
            <w:shd w:val="clear" w:color="auto" w:fill="auto"/>
            <w:hideMark/>
          </w:tcPr>
          <w:p w14:paraId="3E8F26EF"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22</w:t>
            </w:r>
          </w:p>
        </w:tc>
        <w:tc>
          <w:tcPr>
            <w:tcW w:w="1165" w:type="dxa"/>
            <w:shd w:val="clear" w:color="auto" w:fill="auto"/>
            <w:hideMark/>
          </w:tcPr>
          <w:p w14:paraId="14D57D63"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2020</w:t>
            </w:r>
          </w:p>
        </w:tc>
        <w:tc>
          <w:tcPr>
            <w:tcW w:w="1358" w:type="dxa"/>
            <w:shd w:val="clear" w:color="auto" w:fill="auto"/>
            <w:hideMark/>
          </w:tcPr>
          <w:p w14:paraId="5D37FB48"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Trafford Z.; Jewett S.; Swartz A.; Lefevre A.E.; Winch P.J.; Colvin C.J.; Barron P.; Bamford L.</w:t>
            </w:r>
          </w:p>
        </w:tc>
        <w:tc>
          <w:tcPr>
            <w:tcW w:w="1399" w:type="dxa"/>
            <w:shd w:val="clear" w:color="auto" w:fill="auto"/>
            <w:hideMark/>
          </w:tcPr>
          <w:p w14:paraId="47AFDB76"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Reported infant feeding practices and contextual influences on breastfeeding: qualitative interviews with women registered to MomConnect in three South African provinces</w:t>
            </w:r>
          </w:p>
        </w:tc>
        <w:tc>
          <w:tcPr>
            <w:tcW w:w="1510" w:type="dxa"/>
            <w:shd w:val="clear" w:color="auto" w:fill="auto"/>
            <w:hideMark/>
          </w:tcPr>
          <w:p w14:paraId="408323B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International Breastfeeding Journal</w:t>
            </w:r>
          </w:p>
        </w:tc>
        <w:tc>
          <w:tcPr>
            <w:tcW w:w="1341" w:type="dxa"/>
            <w:shd w:val="clear" w:color="auto" w:fill="auto"/>
            <w:hideMark/>
          </w:tcPr>
          <w:p w14:paraId="01FD37B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Qualitative study </w:t>
            </w:r>
          </w:p>
        </w:tc>
        <w:tc>
          <w:tcPr>
            <w:tcW w:w="2173" w:type="dxa"/>
            <w:shd w:val="clear" w:color="auto" w:fill="auto"/>
            <w:hideMark/>
          </w:tcPr>
          <w:p w14:paraId="6A4FF97E"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115 women registered to MomConnec: 67 involved in individual interviews and 48 in focus group discussions</w:t>
            </w:r>
          </w:p>
        </w:tc>
        <w:tc>
          <w:tcPr>
            <w:tcW w:w="2266" w:type="dxa"/>
            <w:shd w:val="clear" w:color="auto" w:fill="auto"/>
            <w:hideMark/>
          </w:tcPr>
          <w:p w14:paraId="19233A95"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Returning to work or school sometimes prevented 6 months of EBF.</w:t>
            </w:r>
          </w:p>
        </w:tc>
        <w:tc>
          <w:tcPr>
            <w:tcW w:w="1699" w:type="dxa"/>
            <w:shd w:val="clear" w:color="auto" w:fill="auto"/>
            <w:hideMark/>
          </w:tcPr>
          <w:p w14:paraId="778B2E82"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Individual in-depth interviews + focus group discussions</w:t>
            </w:r>
          </w:p>
        </w:tc>
        <w:tc>
          <w:tcPr>
            <w:tcW w:w="1068" w:type="dxa"/>
            <w:shd w:val="clear" w:color="auto" w:fill="auto"/>
            <w:hideMark/>
          </w:tcPr>
          <w:p w14:paraId="31841CE6"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South Africa</w:t>
            </w:r>
          </w:p>
        </w:tc>
      </w:tr>
      <w:tr w:rsidR="00BE4ECD" w:rsidRPr="00650150" w14:paraId="1F2FCF20" w14:textId="77777777" w:rsidTr="00B74BD6">
        <w:tc>
          <w:tcPr>
            <w:tcW w:w="308" w:type="dxa"/>
            <w:shd w:val="clear" w:color="auto" w:fill="auto"/>
            <w:hideMark/>
          </w:tcPr>
          <w:p w14:paraId="4ED51C12"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23</w:t>
            </w:r>
          </w:p>
        </w:tc>
        <w:tc>
          <w:tcPr>
            <w:tcW w:w="1165" w:type="dxa"/>
            <w:shd w:val="clear" w:color="auto" w:fill="auto"/>
            <w:hideMark/>
          </w:tcPr>
          <w:p w14:paraId="60A2B514"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2019</w:t>
            </w:r>
          </w:p>
        </w:tc>
        <w:tc>
          <w:tcPr>
            <w:tcW w:w="1358" w:type="dxa"/>
            <w:shd w:val="clear" w:color="auto" w:fill="auto"/>
            <w:hideMark/>
          </w:tcPr>
          <w:p w14:paraId="5D09B899"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Abou-Elwafa H.S.; El-Gilany A.-H.</w:t>
            </w:r>
          </w:p>
        </w:tc>
        <w:tc>
          <w:tcPr>
            <w:tcW w:w="1399" w:type="dxa"/>
            <w:shd w:val="clear" w:color="auto" w:fill="auto"/>
            <w:hideMark/>
          </w:tcPr>
          <w:p w14:paraId="58FBBAD8"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Maternal work and exclusive breastfeeding in Mansoura, Egypt</w:t>
            </w:r>
          </w:p>
        </w:tc>
        <w:tc>
          <w:tcPr>
            <w:tcW w:w="1510" w:type="dxa"/>
            <w:shd w:val="clear" w:color="auto" w:fill="auto"/>
            <w:hideMark/>
          </w:tcPr>
          <w:p w14:paraId="4C3BD493"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Family Practice</w:t>
            </w:r>
          </w:p>
        </w:tc>
        <w:tc>
          <w:tcPr>
            <w:tcW w:w="1341" w:type="dxa"/>
            <w:shd w:val="clear" w:color="auto" w:fill="auto"/>
            <w:hideMark/>
          </w:tcPr>
          <w:p w14:paraId="2E56D8A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54C262EC"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633 working mothers attending health care facilities for vaccinating their infants aged 6 months</w:t>
            </w:r>
          </w:p>
        </w:tc>
        <w:tc>
          <w:tcPr>
            <w:tcW w:w="2266" w:type="dxa"/>
            <w:shd w:val="clear" w:color="auto" w:fill="auto"/>
            <w:hideMark/>
          </w:tcPr>
          <w:p w14:paraId="4059D2EC"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Exclusive breastfeeding rate was 14.1%. Results underline that EBF rate is low among working mothers return to work after 4 months by delivery.</w:t>
            </w:r>
          </w:p>
        </w:tc>
        <w:tc>
          <w:tcPr>
            <w:tcW w:w="1699" w:type="dxa"/>
            <w:shd w:val="clear" w:color="auto" w:fill="auto"/>
            <w:hideMark/>
          </w:tcPr>
          <w:p w14:paraId="50FD83BF"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Ad hoc questionnaires</w:t>
            </w:r>
          </w:p>
        </w:tc>
        <w:tc>
          <w:tcPr>
            <w:tcW w:w="1068" w:type="dxa"/>
            <w:shd w:val="clear" w:color="auto" w:fill="auto"/>
            <w:hideMark/>
          </w:tcPr>
          <w:p w14:paraId="28B41253"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Egypt</w:t>
            </w:r>
          </w:p>
        </w:tc>
      </w:tr>
      <w:tr w:rsidR="00BE4ECD" w:rsidRPr="00650150" w14:paraId="5FA0CE58" w14:textId="77777777" w:rsidTr="00B74BD6">
        <w:tc>
          <w:tcPr>
            <w:tcW w:w="308" w:type="dxa"/>
            <w:shd w:val="clear" w:color="auto" w:fill="auto"/>
            <w:hideMark/>
          </w:tcPr>
          <w:p w14:paraId="0829B15B"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24</w:t>
            </w:r>
          </w:p>
        </w:tc>
        <w:tc>
          <w:tcPr>
            <w:tcW w:w="1165" w:type="dxa"/>
            <w:shd w:val="clear" w:color="auto" w:fill="auto"/>
            <w:hideMark/>
          </w:tcPr>
          <w:p w14:paraId="4285A269"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2019</w:t>
            </w:r>
          </w:p>
        </w:tc>
        <w:tc>
          <w:tcPr>
            <w:tcW w:w="1358" w:type="dxa"/>
            <w:shd w:val="clear" w:color="auto" w:fill="auto"/>
            <w:hideMark/>
          </w:tcPr>
          <w:p w14:paraId="1BB4726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Burns E, Triandafilidis Z.</w:t>
            </w:r>
          </w:p>
        </w:tc>
        <w:tc>
          <w:tcPr>
            <w:tcW w:w="1399" w:type="dxa"/>
            <w:shd w:val="clear" w:color="auto" w:fill="auto"/>
            <w:hideMark/>
          </w:tcPr>
          <w:p w14:paraId="7494E414"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Taking the path of least resistance: a qualitative analysis of return to work or study while breastfeeding</w:t>
            </w:r>
          </w:p>
        </w:tc>
        <w:tc>
          <w:tcPr>
            <w:tcW w:w="1510" w:type="dxa"/>
            <w:shd w:val="clear" w:color="auto" w:fill="auto"/>
            <w:hideMark/>
          </w:tcPr>
          <w:p w14:paraId="0EFEC23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Int Breastfeed J</w:t>
            </w:r>
          </w:p>
        </w:tc>
        <w:tc>
          <w:tcPr>
            <w:tcW w:w="1341" w:type="dxa"/>
            <w:shd w:val="clear" w:color="auto" w:fill="auto"/>
            <w:hideMark/>
          </w:tcPr>
          <w:p w14:paraId="5E6E5215"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Qualitative study (we included only the results of the qualitative study of a mixed method research)</w:t>
            </w:r>
          </w:p>
        </w:tc>
        <w:tc>
          <w:tcPr>
            <w:tcW w:w="2173" w:type="dxa"/>
            <w:shd w:val="clear" w:color="auto" w:fill="auto"/>
            <w:hideMark/>
          </w:tcPr>
          <w:p w14:paraId="494FEB1C"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Interviews: 10 mothers employed as staff (n = 8) or enrolled as students (n = 2) at the university. Survey: 79 mothers, most of them were born in Australia [66%], had spent one to 5 years at </w:t>
            </w:r>
            <w:r w:rsidRPr="00650150">
              <w:rPr>
                <w:rFonts w:ascii="Times New Roman" w:eastAsia="Times New Roman" w:hAnsi="Times New Roman" w:cs="Times New Roman"/>
                <w:sz w:val="20"/>
                <w:szCs w:val="20"/>
                <w:lang w:val="en-US"/>
              </w:rPr>
              <w:lastRenderedPageBreak/>
              <w:t>the university [53%], were no longer breastfeeding [63%], and had one [49%] or two [28%] children.</w:t>
            </w:r>
          </w:p>
        </w:tc>
        <w:tc>
          <w:tcPr>
            <w:tcW w:w="2266" w:type="dxa"/>
            <w:shd w:val="clear" w:color="auto" w:fill="auto"/>
            <w:hideMark/>
          </w:tcPr>
          <w:p w14:paraId="19FB7833"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 xml:space="preserve">The analysis revealed four themes. The first theme explores staff and students’ experiences of maternity leave, flexible work arrangements, campus childcare, and their relationships with </w:t>
            </w:r>
            <w:r w:rsidRPr="00650150">
              <w:rPr>
                <w:rFonts w:ascii="Times New Roman" w:eastAsia="Times New Roman" w:hAnsi="Times New Roman" w:cs="Times New Roman"/>
                <w:sz w:val="20"/>
                <w:szCs w:val="20"/>
                <w:lang w:val="en-US"/>
              </w:rPr>
              <w:lastRenderedPageBreak/>
              <w:t xml:space="preserve">supervisor and colleagues. The second theme experiences of using designated spaces suitable to breastfeed and express breast milk, and their experiences related to storage of breast milk. The third theme reflects women’s experiences of mixing professional and personal lives. </w:t>
            </w:r>
            <w:r w:rsidRPr="00650150">
              <w:rPr>
                <w:rFonts w:ascii="Times New Roman" w:eastAsia="Times New Roman" w:hAnsi="Times New Roman" w:cs="Times New Roman"/>
                <w:sz w:val="20"/>
                <w:szCs w:val="20"/>
                <w:lang w:val="en-US"/>
              </w:rPr>
              <w:br/>
              <w:t>Feelings of guilt about taking time out to breastfeed were a feature of women’s experiences of returning to work at university.</w:t>
            </w:r>
            <w:r w:rsidRPr="00650150">
              <w:rPr>
                <w:rFonts w:ascii="Times New Roman" w:eastAsia="Times New Roman" w:hAnsi="Times New Roman" w:cs="Times New Roman"/>
                <w:sz w:val="20"/>
                <w:szCs w:val="20"/>
                <w:lang w:val="en-US"/>
              </w:rPr>
              <w:br/>
              <w:t>Returned to work mums identified that by the time they returned to work they would only need to feed before and after work and could manage the daytime by expressing for comfort if needed.</w:t>
            </w:r>
          </w:p>
        </w:tc>
        <w:tc>
          <w:tcPr>
            <w:tcW w:w="1699" w:type="dxa"/>
            <w:shd w:val="clear" w:color="auto" w:fill="auto"/>
            <w:hideMark/>
          </w:tcPr>
          <w:p w14:paraId="5F3F0D00"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In-depth interviews + open ended questions from a survey</w:t>
            </w:r>
          </w:p>
        </w:tc>
        <w:tc>
          <w:tcPr>
            <w:tcW w:w="1068" w:type="dxa"/>
            <w:shd w:val="clear" w:color="auto" w:fill="auto"/>
            <w:hideMark/>
          </w:tcPr>
          <w:p w14:paraId="10E295F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Australia</w:t>
            </w:r>
          </w:p>
        </w:tc>
      </w:tr>
      <w:tr w:rsidR="00BE4ECD" w:rsidRPr="00650150" w14:paraId="4B21693D" w14:textId="77777777" w:rsidTr="00B74BD6">
        <w:tc>
          <w:tcPr>
            <w:tcW w:w="308" w:type="dxa"/>
            <w:shd w:val="clear" w:color="auto" w:fill="auto"/>
            <w:hideMark/>
          </w:tcPr>
          <w:p w14:paraId="3718F217"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25</w:t>
            </w:r>
          </w:p>
        </w:tc>
        <w:tc>
          <w:tcPr>
            <w:tcW w:w="1165" w:type="dxa"/>
            <w:shd w:val="clear" w:color="auto" w:fill="auto"/>
            <w:hideMark/>
          </w:tcPr>
          <w:p w14:paraId="530C3A51"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2019</w:t>
            </w:r>
          </w:p>
        </w:tc>
        <w:tc>
          <w:tcPr>
            <w:tcW w:w="1358" w:type="dxa"/>
            <w:shd w:val="clear" w:color="auto" w:fill="auto"/>
            <w:hideMark/>
          </w:tcPr>
          <w:p w14:paraId="172606BA"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Dal Forno Martins G.; Leal C.L.; Schmidt B.; Piccinini C.A.</w:t>
            </w:r>
          </w:p>
        </w:tc>
        <w:tc>
          <w:tcPr>
            <w:tcW w:w="1399" w:type="dxa"/>
            <w:shd w:val="clear" w:color="auto" w:fill="auto"/>
            <w:hideMark/>
          </w:tcPr>
          <w:p w14:paraId="28DCC41F"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Motherhood and work: Experience of women with established careers</w:t>
            </w:r>
          </w:p>
        </w:tc>
        <w:tc>
          <w:tcPr>
            <w:tcW w:w="1510" w:type="dxa"/>
            <w:shd w:val="clear" w:color="auto" w:fill="auto"/>
            <w:hideMark/>
          </w:tcPr>
          <w:p w14:paraId="385C95BB"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Trends in Psychology</w:t>
            </w:r>
          </w:p>
        </w:tc>
        <w:tc>
          <w:tcPr>
            <w:tcW w:w="1341" w:type="dxa"/>
            <w:shd w:val="clear" w:color="auto" w:fill="auto"/>
            <w:hideMark/>
          </w:tcPr>
          <w:p w14:paraId="52E8F0D0"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Qualitative study </w:t>
            </w:r>
          </w:p>
        </w:tc>
        <w:tc>
          <w:tcPr>
            <w:tcW w:w="2173" w:type="dxa"/>
            <w:shd w:val="clear" w:color="auto" w:fill="auto"/>
            <w:hideMark/>
          </w:tcPr>
          <w:p w14:paraId="4D6B3926"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3 public employees mothers.</w:t>
            </w:r>
          </w:p>
        </w:tc>
        <w:tc>
          <w:tcPr>
            <w:tcW w:w="2266" w:type="dxa"/>
            <w:shd w:val="clear" w:color="auto" w:fill="auto"/>
            <w:hideMark/>
          </w:tcPr>
          <w:p w14:paraId="257C3BA0"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Since pregnancy, concerns regarding changes and reconciliation of maternal and professional demands arises. Feelings of insecurity and ambivalence were also present when babies entered daycare center and women returned to work.</w:t>
            </w:r>
            <w:r w:rsidRPr="00650150">
              <w:rPr>
                <w:rFonts w:ascii="Times New Roman" w:eastAsia="Times New Roman" w:hAnsi="Times New Roman" w:cs="Times New Roman"/>
                <w:sz w:val="20"/>
                <w:szCs w:val="20"/>
                <w:lang w:val="en-US"/>
              </w:rPr>
              <w:br/>
              <w:t xml:space="preserve">A sense of overload by </w:t>
            </w:r>
            <w:r w:rsidRPr="00650150">
              <w:rPr>
                <w:rFonts w:ascii="Times New Roman" w:eastAsia="Times New Roman" w:hAnsi="Times New Roman" w:cs="Times New Roman"/>
                <w:sz w:val="20"/>
                <w:szCs w:val="20"/>
                <w:lang w:val="en-US"/>
              </w:rPr>
              <w:lastRenderedPageBreak/>
              <w:t xml:space="preserve">the activities after the baby’s entrance in daycare center and the mother’s return to work were evidenced. </w:t>
            </w:r>
          </w:p>
        </w:tc>
        <w:tc>
          <w:tcPr>
            <w:tcW w:w="1699" w:type="dxa"/>
            <w:shd w:val="clear" w:color="auto" w:fill="auto"/>
            <w:hideMark/>
          </w:tcPr>
          <w:p w14:paraId="2A08344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Interviews</w:t>
            </w:r>
          </w:p>
        </w:tc>
        <w:tc>
          <w:tcPr>
            <w:tcW w:w="1068" w:type="dxa"/>
            <w:shd w:val="clear" w:color="auto" w:fill="auto"/>
            <w:hideMark/>
          </w:tcPr>
          <w:p w14:paraId="17CA68C1"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Brazil</w:t>
            </w:r>
          </w:p>
        </w:tc>
      </w:tr>
      <w:tr w:rsidR="00BE4ECD" w:rsidRPr="00650150" w14:paraId="722EE585" w14:textId="77777777" w:rsidTr="00B74BD6">
        <w:tc>
          <w:tcPr>
            <w:tcW w:w="308" w:type="dxa"/>
            <w:shd w:val="clear" w:color="auto" w:fill="auto"/>
            <w:hideMark/>
          </w:tcPr>
          <w:p w14:paraId="5BCF1AAE"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26</w:t>
            </w:r>
          </w:p>
        </w:tc>
        <w:tc>
          <w:tcPr>
            <w:tcW w:w="1165" w:type="dxa"/>
            <w:shd w:val="clear" w:color="auto" w:fill="auto"/>
            <w:hideMark/>
          </w:tcPr>
          <w:p w14:paraId="333F7707"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2019</w:t>
            </w:r>
          </w:p>
        </w:tc>
        <w:tc>
          <w:tcPr>
            <w:tcW w:w="1358" w:type="dxa"/>
            <w:shd w:val="clear" w:color="auto" w:fill="auto"/>
            <w:hideMark/>
          </w:tcPr>
          <w:p w14:paraId="24C61E03"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de Lauzon-Guillain B, Thierry X, Bois C, Bournez M, Davisse-Paturet C, Dufourg MN, Kersuzan C, Ksiazek E, Nicklaus S, Vicaire H, Wagner S, Lioret S, Charles MA.</w:t>
            </w:r>
          </w:p>
        </w:tc>
        <w:tc>
          <w:tcPr>
            <w:tcW w:w="1399" w:type="dxa"/>
            <w:shd w:val="clear" w:color="auto" w:fill="auto"/>
            <w:hideMark/>
          </w:tcPr>
          <w:p w14:paraId="5F7A2417"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Maternity or parental leave and breastfeeding duration: Results from the ELFE cohort</w:t>
            </w:r>
          </w:p>
        </w:tc>
        <w:tc>
          <w:tcPr>
            <w:tcW w:w="1510" w:type="dxa"/>
            <w:shd w:val="clear" w:color="auto" w:fill="auto"/>
            <w:hideMark/>
          </w:tcPr>
          <w:p w14:paraId="6BC77FB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Matern Child Nutr</w:t>
            </w:r>
          </w:p>
        </w:tc>
        <w:tc>
          <w:tcPr>
            <w:tcW w:w="1341" w:type="dxa"/>
            <w:shd w:val="clear" w:color="auto" w:fill="auto"/>
            <w:hideMark/>
          </w:tcPr>
          <w:p w14:paraId="5F7C5963"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Cohort study</w:t>
            </w:r>
          </w:p>
        </w:tc>
        <w:tc>
          <w:tcPr>
            <w:tcW w:w="2173" w:type="dxa"/>
            <w:shd w:val="clear" w:color="auto" w:fill="auto"/>
            <w:hideMark/>
          </w:tcPr>
          <w:p w14:paraId="407E222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8,009 mother-child pairs.</w:t>
            </w:r>
          </w:p>
        </w:tc>
        <w:tc>
          <w:tcPr>
            <w:tcW w:w="2266" w:type="dxa"/>
            <w:shd w:val="clear" w:color="auto" w:fill="auto"/>
            <w:hideMark/>
          </w:tcPr>
          <w:p w14:paraId="41F1F1D0"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Older infant age at maternal return to work was related to greater likelihood to initiate breastfeeding and longer breastfeeding duration among breastfeeding mothers. Among primiparous women, both postponing return to work for at least 3 weeks after statutory postnatal maternity leave and working less than full‐time at 1-year post‐partum (as compared with full‐time) were related to higher prevalence of breastfeeding initiation. Among women giving birth to their first or second child, postponing the return to work until at least 15 weeks was related toa higher prevalence of long breastfeeding duration (at least 6 months) as compared with intermediate duration (3 to &lt;6 months). Working part‐time was also positively related to breastfeeding duration.</w:t>
            </w:r>
          </w:p>
        </w:tc>
        <w:tc>
          <w:tcPr>
            <w:tcW w:w="1699" w:type="dxa"/>
            <w:shd w:val="clear" w:color="auto" w:fill="auto"/>
            <w:hideMark/>
          </w:tcPr>
          <w:p w14:paraId="79D68DC1"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Ad hoc questions administered in person and by phone, records from medical files. Data were collected from the ELFE (Etude Longitudinale Française depuis l'Enfance) study</w:t>
            </w:r>
          </w:p>
        </w:tc>
        <w:tc>
          <w:tcPr>
            <w:tcW w:w="1068" w:type="dxa"/>
            <w:shd w:val="clear" w:color="auto" w:fill="auto"/>
            <w:hideMark/>
          </w:tcPr>
          <w:p w14:paraId="3709131C"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France</w:t>
            </w:r>
          </w:p>
        </w:tc>
      </w:tr>
      <w:tr w:rsidR="00BE4ECD" w:rsidRPr="00650150" w14:paraId="6B68CEC0" w14:textId="77777777" w:rsidTr="00B74BD6">
        <w:tc>
          <w:tcPr>
            <w:tcW w:w="308" w:type="dxa"/>
            <w:shd w:val="clear" w:color="auto" w:fill="auto"/>
            <w:hideMark/>
          </w:tcPr>
          <w:p w14:paraId="0C28230B"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27</w:t>
            </w:r>
          </w:p>
        </w:tc>
        <w:tc>
          <w:tcPr>
            <w:tcW w:w="1165" w:type="dxa"/>
            <w:shd w:val="clear" w:color="auto" w:fill="auto"/>
            <w:hideMark/>
          </w:tcPr>
          <w:p w14:paraId="7AD51CE8"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2019</w:t>
            </w:r>
          </w:p>
        </w:tc>
        <w:tc>
          <w:tcPr>
            <w:tcW w:w="1358" w:type="dxa"/>
            <w:shd w:val="clear" w:color="auto" w:fill="auto"/>
            <w:hideMark/>
          </w:tcPr>
          <w:p w14:paraId="5CC2EE29"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Febrianingtyas Y.; Februhartanty J.; Hadihardjono D.N.</w:t>
            </w:r>
          </w:p>
        </w:tc>
        <w:tc>
          <w:tcPr>
            <w:tcW w:w="1399" w:type="dxa"/>
            <w:shd w:val="clear" w:color="auto" w:fill="auto"/>
            <w:hideMark/>
          </w:tcPr>
          <w:p w14:paraId="3D377ABA"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Workplace support and exclusive breastfeeding practice: A qualitative study in Jakarta, Indonesia</w:t>
            </w:r>
          </w:p>
        </w:tc>
        <w:tc>
          <w:tcPr>
            <w:tcW w:w="1510" w:type="dxa"/>
            <w:shd w:val="clear" w:color="auto" w:fill="auto"/>
            <w:hideMark/>
          </w:tcPr>
          <w:p w14:paraId="146C17A0"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Malaysian Journal of Nutrition</w:t>
            </w:r>
          </w:p>
        </w:tc>
        <w:tc>
          <w:tcPr>
            <w:tcW w:w="1341" w:type="dxa"/>
            <w:shd w:val="clear" w:color="auto" w:fill="auto"/>
            <w:hideMark/>
          </w:tcPr>
          <w:p w14:paraId="11D317B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Qualitative study </w:t>
            </w:r>
          </w:p>
        </w:tc>
        <w:tc>
          <w:tcPr>
            <w:tcW w:w="2173" w:type="dxa"/>
            <w:shd w:val="clear" w:color="auto" w:fill="auto"/>
            <w:hideMark/>
          </w:tcPr>
          <w:p w14:paraId="6A42737E"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18 working mothers.</w:t>
            </w:r>
          </w:p>
        </w:tc>
        <w:tc>
          <w:tcPr>
            <w:tcW w:w="2266" w:type="dxa"/>
            <w:shd w:val="clear" w:color="auto" w:fill="auto"/>
            <w:hideMark/>
          </w:tcPr>
          <w:p w14:paraId="12558DB4"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Mothers revealed that upon returning to work, their breastfeeding performance was reduced because of the need to adapt their breastfeeding/breastmilk expression to the home and office. Moreover, mothers were worried about their breast milk stock right after returning to work, and that made them lose confidence with their ability to breastfeed. </w:t>
            </w:r>
          </w:p>
        </w:tc>
        <w:tc>
          <w:tcPr>
            <w:tcW w:w="1699" w:type="dxa"/>
            <w:shd w:val="clear" w:color="auto" w:fill="auto"/>
            <w:hideMark/>
          </w:tcPr>
          <w:p w14:paraId="7729FF90"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Interviews</w:t>
            </w:r>
          </w:p>
        </w:tc>
        <w:tc>
          <w:tcPr>
            <w:tcW w:w="1068" w:type="dxa"/>
            <w:shd w:val="clear" w:color="auto" w:fill="auto"/>
            <w:hideMark/>
          </w:tcPr>
          <w:p w14:paraId="213E3AF7"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Indonesia</w:t>
            </w:r>
          </w:p>
        </w:tc>
      </w:tr>
      <w:tr w:rsidR="00BE4ECD" w:rsidRPr="00650150" w14:paraId="1CE1887E" w14:textId="77777777" w:rsidTr="00B74BD6">
        <w:tc>
          <w:tcPr>
            <w:tcW w:w="308" w:type="dxa"/>
            <w:shd w:val="clear" w:color="auto" w:fill="auto"/>
            <w:hideMark/>
          </w:tcPr>
          <w:p w14:paraId="2ED07E5B"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28</w:t>
            </w:r>
          </w:p>
        </w:tc>
        <w:tc>
          <w:tcPr>
            <w:tcW w:w="1165" w:type="dxa"/>
            <w:shd w:val="clear" w:color="auto" w:fill="auto"/>
            <w:hideMark/>
          </w:tcPr>
          <w:p w14:paraId="0F8C4466"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2019</w:t>
            </w:r>
          </w:p>
        </w:tc>
        <w:tc>
          <w:tcPr>
            <w:tcW w:w="1358" w:type="dxa"/>
            <w:shd w:val="clear" w:color="auto" w:fill="auto"/>
            <w:hideMark/>
          </w:tcPr>
          <w:p w14:paraId="1328C0A5"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Gianni M.L.; Bettinelli M.E.; Manfra P.; Sorrentino G.; Bezze E.; Plevani L.; Cavallaro G.; Raffaeli G.; Crippa B.L.; Colombo L.; Morniroli D.; Liotto N.; Roggero P.; Villamor E.; Marchisio P.; Mosca F.</w:t>
            </w:r>
          </w:p>
        </w:tc>
        <w:tc>
          <w:tcPr>
            <w:tcW w:w="1399" w:type="dxa"/>
            <w:shd w:val="clear" w:color="auto" w:fill="auto"/>
            <w:hideMark/>
          </w:tcPr>
          <w:p w14:paraId="1D732747"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Breastfeeding difficulties and risk for early breastfeeding cessation</w:t>
            </w:r>
          </w:p>
        </w:tc>
        <w:tc>
          <w:tcPr>
            <w:tcW w:w="1510" w:type="dxa"/>
            <w:shd w:val="clear" w:color="auto" w:fill="auto"/>
            <w:hideMark/>
          </w:tcPr>
          <w:p w14:paraId="65B67E25"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Nutrients</w:t>
            </w:r>
          </w:p>
        </w:tc>
        <w:tc>
          <w:tcPr>
            <w:tcW w:w="1341" w:type="dxa"/>
            <w:shd w:val="clear" w:color="auto" w:fill="auto"/>
            <w:hideMark/>
          </w:tcPr>
          <w:p w14:paraId="251249DA"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49A80610"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552 mothers </w:t>
            </w:r>
          </w:p>
        </w:tc>
        <w:tc>
          <w:tcPr>
            <w:tcW w:w="2266" w:type="dxa"/>
            <w:shd w:val="clear" w:color="auto" w:fill="auto"/>
            <w:hideMark/>
          </w:tcPr>
          <w:p w14:paraId="4DFD73CC"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Return to work (OR=7.65; p= &lt;0.0001) was associated with a higher risk of non-exclusive breastfeeding at three months of delivery. </w:t>
            </w:r>
          </w:p>
        </w:tc>
        <w:tc>
          <w:tcPr>
            <w:tcW w:w="1699" w:type="dxa"/>
            <w:shd w:val="clear" w:color="auto" w:fill="auto"/>
            <w:hideMark/>
          </w:tcPr>
          <w:p w14:paraId="0F5026B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Ad hoc questionnaires</w:t>
            </w:r>
          </w:p>
        </w:tc>
        <w:tc>
          <w:tcPr>
            <w:tcW w:w="1068" w:type="dxa"/>
            <w:shd w:val="clear" w:color="auto" w:fill="auto"/>
            <w:hideMark/>
          </w:tcPr>
          <w:p w14:paraId="10EADB0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Italy</w:t>
            </w:r>
          </w:p>
        </w:tc>
      </w:tr>
      <w:tr w:rsidR="00BE4ECD" w:rsidRPr="00650150" w14:paraId="7B48B06A" w14:textId="77777777" w:rsidTr="00B74BD6">
        <w:tc>
          <w:tcPr>
            <w:tcW w:w="308" w:type="dxa"/>
            <w:shd w:val="clear" w:color="auto" w:fill="auto"/>
            <w:hideMark/>
          </w:tcPr>
          <w:p w14:paraId="133E014C"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29</w:t>
            </w:r>
          </w:p>
        </w:tc>
        <w:tc>
          <w:tcPr>
            <w:tcW w:w="1165" w:type="dxa"/>
            <w:shd w:val="clear" w:color="auto" w:fill="auto"/>
            <w:hideMark/>
          </w:tcPr>
          <w:p w14:paraId="4CC48AF0"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2019</w:t>
            </w:r>
          </w:p>
        </w:tc>
        <w:tc>
          <w:tcPr>
            <w:tcW w:w="1358" w:type="dxa"/>
            <w:shd w:val="clear" w:color="auto" w:fill="auto"/>
            <w:hideMark/>
          </w:tcPr>
          <w:p w14:paraId="2B12FA39"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Juengst S.B.; Royston A.; Huang I.; Wright B.</w:t>
            </w:r>
          </w:p>
        </w:tc>
        <w:tc>
          <w:tcPr>
            <w:tcW w:w="1399" w:type="dxa"/>
            <w:shd w:val="clear" w:color="auto" w:fill="auto"/>
            <w:hideMark/>
          </w:tcPr>
          <w:p w14:paraId="121618C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Family Leave and Return-to-Work Experiences of Physician Mothers</w:t>
            </w:r>
          </w:p>
        </w:tc>
        <w:tc>
          <w:tcPr>
            <w:tcW w:w="1510" w:type="dxa"/>
            <w:shd w:val="clear" w:color="auto" w:fill="auto"/>
            <w:hideMark/>
          </w:tcPr>
          <w:p w14:paraId="74C23DDF"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JAMA Network Open</w:t>
            </w:r>
          </w:p>
        </w:tc>
        <w:tc>
          <w:tcPr>
            <w:tcW w:w="1341" w:type="dxa"/>
            <w:shd w:val="clear" w:color="auto" w:fill="auto"/>
            <w:hideMark/>
          </w:tcPr>
          <w:p w14:paraId="5ACC8633"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73454BD5"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844 physician mothers aged between 27-67 years</w:t>
            </w:r>
          </w:p>
        </w:tc>
        <w:tc>
          <w:tcPr>
            <w:tcW w:w="2266" w:type="dxa"/>
            <w:shd w:val="clear" w:color="auto" w:fill="auto"/>
            <w:hideMark/>
          </w:tcPr>
          <w:p w14:paraId="447B2D81"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Of the women surveyed, 619 (73.3%) felt that leave time was insufficient. The majority (751 [89.0%]) would have preferred 11 weeks to 6 months of leave vs the 5 to 12 weeks (often not </w:t>
            </w:r>
            <w:r w:rsidRPr="00650150">
              <w:rPr>
                <w:rFonts w:ascii="Times New Roman" w:eastAsia="Times New Roman" w:hAnsi="Times New Roman" w:cs="Times New Roman"/>
                <w:sz w:val="20"/>
                <w:szCs w:val="20"/>
                <w:lang w:val="en-US"/>
              </w:rPr>
              <w:lastRenderedPageBreak/>
              <w:t xml:space="preserve">paid) most commonly available. The most frequently reported negative experiences when returning to work were associated with lack of facilities for breast pumping (range, 12 of 78 [15.4%] for the third child to 272 of 844 [32.2%] for the first child) and time for breast pumping (range, 27 of 78 [34.6%] for the third child to 407 of 844[48.2%] for the first child), difficulty obtaining childcare (e.g., for the first child, 298 of 844 [35.3%]),and discrimination (eg, for the first child, 152 of 844 [18.0%]). </w:t>
            </w:r>
            <w:r w:rsidRPr="00650150">
              <w:rPr>
                <w:rFonts w:ascii="Times New Roman" w:eastAsia="Times New Roman" w:hAnsi="Times New Roman" w:cs="Times New Roman"/>
                <w:sz w:val="20"/>
                <w:szCs w:val="20"/>
                <w:lang w:val="en-US"/>
              </w:rPr>
              <w:br/>
              <w:t>The most common positive experience was emotional support (e.g., for the first child, 504 of 844 [59.7%]), primarily from colleagues.</w:t>
            </w:r>
          </w:p>
        </w:tc>
        <w:tc>
          <w:tcPr>
            <w:tcW w:w="1699" w:type="dxa"/>
            <w:shd w:val="clear" w:color="auto" w:fill="auto"/>
            <w:hideMark/>
          </w:tcPr>
          <w:p w14:paraId="448D82C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Ad hoc survey</w:t>
            </w:r>
          </w:p>
        </w:tc>
        <w:tc>
          <w:tcPr>
            <w:tcW w:w="1068" w:type="dxa"/>
            <w:shd w:val="clear" w:color="auto" w:fill="auto"/>
            <w:hideMark/>
          </w:tcPr>
          <w:p w14:paraId="03DE1E9A"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USA</w:t>
            </w:r>
          </w:p>
        </w:tc>
      </w:tr>
      <w:tr w:rsidR="00BE4ECD" w:rsidRPr="00650150" w14:paraId="515E93E4" w14:textId="77777777" w:rsidTr="00B74BD6">
        <w:tc>
          <w:tcPr>
            <w:tcW w:w="308" w:type="dxa"/>
            <w:shd w:val="clear" w:color="auto" w:fill="auto"/>
            <w:hideMark/>
          </w:tcPr>
          <w:p w14:paraId="2EA4D4BC"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30</w:t>
            </w:r>
          </w:p>
        </w:tc>
        <w:tc>
          <w:tcPr>
            <w:tcW w:w="1165" w:type="dxa"/>
            <w:shd w:val="clear" w:color="auto" w:fill="auto"/>
            <w:hideMark/>
          </w:tcPr>
          <w:p w14:paraId="0481FE4D"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2019</w:t>
            </w:r>
          </w:p>
        </w:tc>
        <w:tc>
          <w:tcPr>
            <w:tcW w:w="1358" w:type="dxa"/>
            <w:shd w:val="clear" w:color="auto" w:fill="auto"/>
            <w:hideMark/>
          </w:tcPr>
          <w:p w14:paraId="0A0586D3"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Riaz S, Condon L.</w:t>
            </w:r>
          </w:p>
        </w:tc>
        <w:tc>
          <w:tcPr>
            <w:tcW w:w="1399" w:type="dxa"/>
            <w:shd w:val="clear" w:color="auto" w:fill="auto"/>
            <w:hideMark/>
          </w:tcPr>
          <w:p w14:paraId="1111FEA2"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The experiences of breastfeeding mothers returning to work as hospital nurses in Pakistan: A qualitative study</w:t>
            </w:r>
          </w:p>
        </w:tc>
        <w:tc>
          <w:tcPr>
            <w:tcW w:w="1510" w:type="dxa"/>
            <w:shd w:val="clear" w:color="auto" w:fill="auto"/>
            <w:hideMark/>
          </w:tcPr>
          <w:p w14:paraId="7A62463E"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Women Birth</w:t>
            </w:r>
          </w:p>
        </w:tc>
        <w:tc>
          <w:tcPr>
            <w:tcW w:w="1341" w:type="dxa"/>
            <w:shd w:val="clear" w:color="auto" w:fill="auto"/>
            <w:hideMark/>
          </w:tcPr>
          <w:p w14:paraId="272DBDF9"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Qualitative study </w:t>
            </w:r>
          </w:p>
        </w:tc>
        <w:tc>
          <w:tcPr>
            <w:tcW w:w="2173" w:type="dxa"/>
            <w:shd w:val="clear" w:color="auto" w:fill="auto"/>
            <w:hideMark/>
          </w:tcPr>
          <w:p w14:paraId="20DDC044"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7 mothers returning to full-time work as nurses in a tertiary hospital.</w:t>
            </w:r>
          </w:p>
        </w:tc>
        <w:tc>
          <w:tcPr>
            <w:tcW w:w="2266" w:type="dxa"/>
            <w:shd w:val="clear" w:color="auto" w:fill="auto"/>
            <w:hideMark/>
          </w:tcPr>
          <w:p w14:paraId="7625BD21"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Themes identified were: a child’s right to breastfeed, institutional power and family support to maintain breastfeeding. Returning to work mothers encountered rigid hospital policies and practices, such as a short and non-negotiable period of </w:t>
            </w:r>
            <w:r w:rsidRPr="00650150">
              <w:rPr>
                <w:rFonts w:ascii="Times New Roman" w:eastAsia="Times New Roman" w:hAnsi="Times New Roman" w:cs="Times New Roman"/>
                <w:sz w:val="20"/>
                <w:szCs w:val="20"/>
                <w:lang w:val="en-US"/>
              </w:rPr>
              <w:lastRenderedPageBreak/>
              <w:t>maternity leave, inflexible shift patterns, and lack of childcare services</w:t>
            </w:r>
          </w:p>
        </w:tc>
        <w:tc>
          <w:tcPr>
            <w:tcW w:w="1699" w:type="dxa"/>
            <w:shd w:val="clear" w:color="auto" w:fill="auto"/>
            <w:hideMark/>
          </w:tcPr>
          <w:p w14:paraId="20D57F5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Semi-structured interviews </w:t>
            </w:r>
          </w:p>
        </w:tc>
        <w:tc>
          <w:tcPr>
            <w:tcW w:w="1068" w:type="dxa"/>
            <w:shd w:val="clear" w:color="auto" w:fill="auto"/>
            <w:hideMark/>
          </w:tcPr>
          <w:p w14:paraId="398228A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Pakistan</w:t>
            </w:r>
          </w:p>
        </w:tc>
      </w:tr>
      <w:tr w:rsidR="00BE4ECD" w:rsidRPr="00650150" w14:paraId="5F022623" w14:textId="77777777" w:rsidTr="00B74BD6">
        <w:tc>
          <w:tcPr>
            <w:tcW w:w="308" w:type="dxa"/>
            <w:shd w:val="clear" w:color="auto" w:fill="auto"/>
            <w:hideMark/>
          </w:tcPr>
          <w:p w14:paraId="345C6A05"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31</w:t>
            </w:r>
          </w:p>
        </w:tc>
        <w:tc>
          <w:tcPr>
            <w:tcW w:w="1165" w:type="dxa"/>
            <w:shd w:val="clear" w:color="auto" w:fill="auto"/>
            <w:hideMark/>
          </w:tcPr>
          <w:p w14:paraId="585C13A3"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2019</w:t>
            </w:r>
          </w:p>
        </w:tc>
        <w:tc>
          <w:tcPr>
            <w:tcW w:w="1358" w:type="dxa"/>
            <w:shd w:val="clear" w:color="auto" w:fill="auto"/>
            <w:hideMark/>
          </w:tcPr>
          <w:p w14:paraId="5F6A3B8A"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Zhuang J.; Bresnahan M.J.; Yan X.; Zhu Y.; Goldbort J.; Bogdan-Lovis E.</w:t>
            </w:r>
          </w:p>
        </w:tc>
        <w:tc>
          <w:tcPr>
            <w:tcW w:w="1399" w:type="dxa"/>
            <w:shd w:val="clear" w:color="auto" w:fill="auto"/>
            <w:hideMark/>
          </w:tcPr>
          <w:p w14:paraId="097B097C"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Keep Doing the Good Work: Impact of Coworker and Community Support on Continuation of Breastfeeding</w:t>
            </w:r>
          </w:p>
        </w:tc>
        <w:tc>
          <w:tcPr>
            <w:tcW w:w="1510" w:type="dxa"/>
            <w:shd w:val="clear" w:color="auto" w:fill="auto"/>
            <w:hideMark/>
          </w:tcPr>
          <w:p w14:paraId="5027802F"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Health Communication</w:t>
            </w:r>
          </w:p>
        </w:tc>
        <w:tc>
          <w:tcPr>
            <w:tcW w:w="1341" w:type="dxa"/>
            <w:shd w:val="clear" w:color="auto" w:fill="auto"/>
            <w:hideMark/>
          </w:tcPr>
          <w:p w14:paraId="166D7660"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0062F88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500 working mothers aged between 18 and 35 years</w:t>
            </w:r>
          </w:p>
        </w:tc>
        <w:tc>
          <w:tcPr>
            <w:tcW w:w="2266" w:type="dxa"/>
            <w:shd w:val="clear" w:color="auto" w:fill="auto"/>
            <w:hideMark/>
          </w:tcPr>
          <w:p w14:paraId="6FE5EB1F"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Perception of coworker support was the only significant predictor of mothers’ decision to continue breastfeeding after returning to work, </w:t>
            </w:r>
            <w:r w:rsidRPr="00650150">
              <w:rPr>
                <w:rFonts w:ascii="Times New Roman" w:eastAsia="Times New Roman" w:hAnsi="Times New Roman" w:cs="Times New Roman"/>
                <w:sz w:val="20"/>
                <w:szCs w:val="20"/>
              </w:rPr>
              <w:t>β</w:t>
            </w:r>
            <w:r w:rsidRPr="00650150">
              <w:rPr>
                <w:rFonts w:ascii="Times New Roman" w:eastAsia="Times New Roman" w:hAnsi="Times New Roman" w:cs="Times New Roman"/>
                <w:sz w:val="20"/>
                <w:szCs w:val="20"/>
                <w:lang w:val="en-US"/>
              </w:rPr>
              <w:t xml:space="preserve"> = .50, t = 9.44, p &lt; .001.</w:t>
            </w:r>
          </w:p>
        </w:tc>
        <w:tc>
          <w:tcPr>
            <w:tcW w:w="1699" w:type="dxa"/>
            <w:shd w:val="clear" w:color="auto" w:fill="auto"/>
            <w:hideMark/>
          </w:tcPr>
          <w:p w14:paraId="627A036A"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Ad hoc surveys, with sone items adapted from existing research</w:t>
            </w:r>
          </w:p>
        </w:tc>
        <w:tc>
          <w:tcPr>
            <w:tcW w:w="1068" w:type="dxa"/>
            <w:shd w:val="clear" w:color="auto" w:fill="auto"/>
            <w:hideMark/>
          </w:tcPr>
          <w:p w14:paraId="7DE1EB05"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USA</w:t>
            </w:r>
          </w:p>
        </w:tc>
      </w:tr>
      <w:tr w:rsidR="00BE4ECD" w:rsidRPr="00650150" w14:paraId="386C054F" w14:textId="77777777" w:rsidTr="00B74BD6">
        <w:tc>
          <w:tcPr>
            <w:tcW w:w="308" w:type="dxa"/>
            <w:shd w:val="clear" w:color="auto" w:fill="auto"/>
            <w:hideMark/>
          </w:tcPr>
          <w:p w14:paraId="707DE833"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32</w:t>
            </w:r>
          </w:p>
        </w:tc>
        <w:tc>
          <w:tcPr>
            <w:tcW w:w="1165" w:type="dxa"/>
            <w:shd w:val="clear" w:color="auto" w:fill="auto"/>
            <w:hideMark/>
          </w:tcPr>
          <w:p w14:paraId="2941E46A"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2018</w:t>
            </w:r>
          </w:p>
        </w:tc>
        <w:tc>
          <w:tcPr>
            <w:tcW w:w="1358" w:type="dxa"/>
            <w:shd w:val="clear" w:color="auto" w:fill="auto"/>
            <w:hideMark/>
          </w:tcPr>
          <w:p w14:paraId="5FE481F5"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Hendaus M.A.; Alhammadi A.H.; Khan S.; Osman S.; Hamad A.</w:t>
            </w:r>
          </w:p>
        </w:tc>
        <w:tc>
          <w:tcPr>
            <w:tcW w:w="1399" w:type="dxa"/>
            <w:shd w:val="clear" w:color="auto" w:fill="auto"/>
            <w:hideMark/>
          </w:tcPr>
          <w:p w14:paraId="5C5A90D5"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Breastfeeding rates and barriers: A report from the state of Qatar</w:t>
            </w:r>
          </w:p>
        </w:tc>
        <w:tc>
          <w:tcPr>
            <w:tcW w:w="1510" w:type="dxa"/>
            <w:shd w:val="clear" w:color="auto" w:fill="auto"/>
            <w:hideMark/>
          </w:tcPr>
          <w:p w14:paraId="19732CC0"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International Journal of Women's Health</w:t>
            </w:r>
          </w:p>
        </w:tc>
        <w:tc>
          <w:tcPr>
            <w:tcW w:w="1341" w:type="dxa"/>
            <w:shd w:val="clear" w:color="auto" w:fill="auto"/>
            <w:hideMark/>
          </w:tcPr>
          <w:p w14:paraId="72886E6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77006F8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453 mothers</w:t>
            </w:r>
          </w:p>
        </w:tc>
        <w:tc>
          <w:tcPr>
            <w:tcW w:w="2266" w:type="dxa"/>
            <w:shd w:val="clear" w:color="auto" w:fill="auto"/>
            <w:hideMark/>
          </w:tcPr>
          <w:p w14:paraId="66C2C56F"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Among the most common barriers to breastfeeding, 16.3% women reported returning to work.</w:t>
            </w:r>
          </w:p>
        </w:tc>
        <w:tc>
          <w:tcPr>
            <w:tcW w:w="1699" w:type="dxa"/>
            <w:shd w:val="clear" w:color="auto" w:fill="auto"/>
            <w:hideMark/>
          </w:tcPr>
          <w:p w14:paraId="591D333A"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Ad hoc telephone survey</w:t>
            </w:r>
          </w:p>
        </w:tc>
        <w:tc>
          <w:tcPr>
            <w:tcW w:w="1068" w:type="dxa"/>
            <w:shd w:val="clear" w:color="auto" w:fill="auto"/>
            <w:hideMark/>
          </w:tcPr>
          <w:p w14:paraId="5043143B"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Qatar</w:t>
            </w:r>
          </w:p>
        </w:tc>
      </w:tr>
      <w:tr w:rsidR="00BE4ECD" w:rsidRPr="00650150" w14:paraId="7939A2B8" w14:textId="77777777" w:rsidTr="00B74BD6">
        <w:tc>
          <w:tcPr>
            <w:tcW w:w="308" w:type="dxa"/>
            <w:shd w:val="clear" w:color="auto" w:fill="auto"/>
            <w:hideMark/>
          </w:tcPr>
          <w:p w14:paraId="2314746E"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33</w:t>
            </w:r>
          </w:p>
        </w:tc>
        <w:tc>
          <w:tcPr>
            <w:tcW w:w="1165" w:type="dxa"/>
            <w:shd w:val="clear" w:color="auto" w:fill="auto"/>
            <w:hideMark/>
          </w:tcPr>
          <w:p w14:paraId="62C3536F"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2018</w:t>
            </w:r>
          </w:p>
        </w:tc>
        <w:tc>
          <w:tcPr>
            <w:tcW w:w="1358" w:type="dxa"/>
            <w:shd w:val="clear" w:color="auto" w:fill="auto"/>
            <w:hideMark/>
          </w:tcPr>
          <w:p w14:paraId="7A64C15B"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Horwood C.; Haskins L.; Engebretsen I.; Phakathi S.; Connolly C.; Coutsoudis A.; Spies L.</w:t>
            </w:r>
          </w:p>
        </w:tc>
        <w:tc>
          <w:tcPr>
            <w:tcW w:w="1399" w:type="dxa"/>
            <w:shd w:val="clear" w:color="auto" w:fill="auto"/>
            <w:hideMark/>
          </w:tcPr>
          <w:p w14:paraId="065ABFD1"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Improved rates of exclusive breastfeeding at 14 weeks of age in KwaZulu Natal, South Africa: What are the challenges now?</w:t>
            </w:r>
          </w:p>
        </w:tc>
        <w:tc>
          <w:tcPr>
            <w:tcW w:w="1510" w:type="dxa"/>
            <w:shd w:val="clear" w:color="auto" w:fill="auto"/>
            <w:hideMark/>
          </w:tcPr>
          <w:p w14:paraId="627D5CDC"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BMC Public Health</w:t>
            </w:r>
          </w:p>
        </w:tc>
        <w:tc>
          <w:tcPr>
            <w:tcW w:w="1341" w:type="dxa"/>
            <w:shd w:val="clear" w:color="auto" w:fill="auto"/>
            <w:hideMark/>
          </w:tcPr>
          <w:p w14:paraId="7E605D01"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51DCDD95"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3,659 mothers (from a sample of 4,172 caregivers) of 14-week-old infants. Among mothers 49.8% were exclusive breastfeeding, 23.1% were mixed breastfeeding and 27.0% were not breastfeeding. Among non-maternal caregivers 11.8% reported exclusive breast feeding, 23.4% mixed breastfeeding and 62.3% were not giving breastmilk.</w:t>
            </w:r>
          </w:p>
        </w:tc>
        <w:tc>
          <w:tcPr>
            <w:tcW w:w="2266" w:type="dxa"/>
            <w:shd w:val="clear" w:color="auto" w:fill="auto"/>
            <w:hideMark/>
          </w:tcPr>
          <w:p w14:paraId="212D7E77"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Higher education (OR 0.6, 95% CI 0.4–0.8) and being in the highest socio-economic tertile (OR 0.7, 95% CI 0.6–0.9) are risk factors for not practicing exclusive breastfeeding. However, returning to work (OR 0.3, 95% CI0.2–0.3) and school (OR 0.2 95% CI, 0.1–0.3) were most strongly associated with less exclusive breastfeeding. </w:t>
            </w:r>
          </w:p>
        </w:tc>
        <w:tc>
          <w:tcPr>
            <w:tcW w:w="1699" w:type="dxa"/>
            <w:shd w:val="clear" w:color="auto" w:fill="auto"/>
            <w:hideMark/>
          </w:tcPr>
          <w:p w14:paraId="69594CD5"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Ad hoc survey</w:t>
            </w:r>
          </w:p>
        </w:tc>
        <w:tc>
          <w:tcPr>
            <w:tcW w:w="1068" w:type="dxa"/>
            <w:shd w:val="clear" w:color="auto" w:fill="auto"/>
            <w:hideMark/>
          </w:tcPr>
          <w:p w14:paraId="21E56AA9"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South Africa</w:t>
            </w:r>
          </w:p>
        </w:tc>
      </w:tr>
      <w:tr w:rsidR="00BE4ECD" w:rsidRPr="00650150" w14:paraId="00E8DB85" w14:textId="77777777" w:rsidTr="00B74BD6">
        <w:tc>
          <w:tcPr>
            <w:tcW w:w="308" w:type="dxa"/>
            <w:shd w:val="clear" w:color="auto" w:fill="auto"/>
            <w:hideMark/>
          </w:tcPr>
          <w:p w14:paraId="33245811"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34</w:t>
            </w:r>
          </w:p>
        </w:tc>
        <w:tc>
          <w:tcPr>
            <w:tcW w:w="1165" w:type="dxa"/>
            <w:shd w:val="clear" w:color="auto" w:fill="auto"/>
            <w:hideMark/>
          </w:tcPr>
          <w:p w14:paraId="14535B52"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2018</w:t>
            </w:r>
          </w:p>
        </w:tc>
        <w:tc>
          <w:tcPr>
            <w:tcW w:w="1358" w:type="dxa"/>
            <w:shd w:val="clear" w:color="auto" w:fill="auto"/>
            <w:hideMark/>
          </w:tcPr>
          <w:p w14:paraId="5CE315C7"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Sulaiman Z, Liamputtong P, Amir LH.</w:t>
            </w:r>
          </w:p>
        </w:tc>
        <w:tc>
          <w:tcPr>
            <w:tcW w:w="1399" w:type="dxa"/>
            <w:shd w:val="clear" w:color="auto" w:fill="auto"/>
            <w:hideMark/>
          </w:tcPr>
          <w:p w14:paraId="0EC76DF4"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Timing of return to work and women's </w:t>
            </w:r>
            <w:r w:rsidRPr="00650150">
              <w:rPr>
                <w:rFonts w:ascii="Times New Roman" w:eastAsia="Times New Roman" w:hAnsi="Times New Roman" w:cs="Times New Roman"/>
                <w:sz w:val="20"/>
                <w:szCs w:val="20"/>
                <w:lang w:val="en-US"/>
              </w:rPr>
              <w:lastRenderedPageBreak/>
              <w:t>breastfeeding practices in urban Malaysia: A qualitative study</w:t>
            </w:r>
          </w:p>
        </w:tc>
        <w:tc>
          <w:tcPr>
            <w:tcW w:w="1510" w:type="dxa"/>
            <w:shd w:val="clear" w:color="auto" w:fill="auto"/>
            <w:hideMark/>
          </w:tcPr>
          <w:p w14:paraId="13D1EA6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Health Soc Care Community</w:t>
            </w:r>
          </w:p>
        </w:tc>
        <w:tc>
          <w:tcPr>
            <w:tcW w:w="1341" w:type="dxa"/>
            <w:shd w:val="clear" w:color="auto" w:fill="auto"/>
            <w:hideMark/>
          </w:tcPr>
          <w:p w14:paraId="771962A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Qualitative study </w:t>
            </w:r>
          </w:p>
        </w:tc>
        <w:tc>
          <w:tcPr>
            <w:tcW w:w="2173" w:type="dxa"/>
            <w:shd w:val="clear" w:color="auto" w:fill="auto"/>
            <w:hideMark/>
          </w:tcPr>
          <w:p w14:paraId="23EB8614"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40 working women with a mean age of 32 years.</w:t>
            </w:r>
          </w:p>
        </w:tc>
        <w:tc>
          <w:tcPr>
            <w:tcW w:w="2266" w:type="dxa"/>
            <w:shd w:val="clear" w:color="auto" w:fill="auto"/>
            <w:hideMark/>
          </w:tcPr>
          <w:p w14:paraId="1D837114"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Most women (75%) returned to work between 2 and 3 months. Only </w:t>
            </w:r>
            <w:r w:rsidRPr="00650150">
              <w:rPr>
                <w:rFonts w:ascii="Times New Roman" w:eastAsia="Times New Roman" w:hAnsi="Times New Roman" w:cs="Times New Roman"/>
                <w:sz w:val="20"/>
                <w:szCs w:val="20"/>
                <w:lang w:val="en-US"/>
              </w:rPr>
              <w:lastRenderedPageBreak/>
              <w:t>10% returned to work 4 months or later postpartum, and 15% had an early return to work (defined here as less than 2 months). Women fell into three groups: Passionate women with a strong determination to breastfeed, who exclusively breastfed for 6 months; Ambivalent women, who commenced breastfeeding but were unable to sustain this after returning to work; and Equivalent women, who perceived formula feedings equally nutritious as breast milk. Although longer maternity leave was very important for Ambivalent women to maintain breastfeeding, it was not as important for the Equivalent or Passionate women. In conclusion, returning earlier was not an absolute barrier to continuing breastfeeding. Instead, a woman’s beliefs and perceptions of breastfeeding were more important than the timing of her return to work in determining her ability to maintain breastfeeding or breast milk feeding.</w:t>
            </w:r>
          </w:p>
        </w:tc>
        <w:tc>
          <w:tcPr>
            <w:tcW w:w="1699" w:type="dxa"/>
            <w:shd w:val="clear" w:color="auto" w:fill="auto"/>
            <w:hideMark/>
          </w:tcPr>
          <w:p w14:paraId="5695CE80"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Interviews</w:t>
            </w:r>
          </w:p>
        </w:tc>
        <w:tc>
          <w:tcPr>
            <w:tcW w:w="1068" w:type="dxa"/>
            <w:shd w:val="clear" w:color="auto" w:fill="auto"/>
            <w:hideMark/>
          </w:tcPr>
          <w:p w14:paraId="4C1FF43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Malaysia</w:t>
            </w:r>
          </w:p>
        </w:tc>
      </w:tr>
      <w:tr w:rsidR="00BE4ECD" w:rsidRPr="00650150" w14:paraId="33337805" w14:textId="77777777" w:rsidTr="00B74BD6">
        <w:tc>
          <w:tcPr>
            <w:tcW w:w="308" w:type="dxa"/>
            <w:shd w:val="clear" w:color="auto" w:fill="auto"/>
            <w:hideMark/>
          </w:tcPr>
          <w:p w14:paraId="003A2243"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35</w:t>
            </w:r>
          </w:p>
        </w:tc>
        <w:tc>
          <w:tcPr>
            <w:tcW w:w="1165" w:type="dxa"/>
            <w:shd w:val="clear" w:color="auto" w:fill="auto"/>
            <w:hideMark/>
          </w:tcPr>
          <w:p w14:paraId="51410682"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2018</w:t>
            </w:r>
          </w:p>
        </w:tc>
        <w:tc>
          <w:tcPr>
            <w:tcW w:w="1358" w:type="dxa"/>
            <w:shd w:val="clear" w:color="auto" w:fill="auto"/>
            <w:hideMark/>
          </w:tcPr>
          <w:p w14:paraId="46A387F9"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Zhang Y.; Jin Y.; Vereijken C.; Stahl B.; Jiang H.</w:t>
            </w:r>
          </w:p>
        </w:tc>
        <w:tc>
          <w:tcPr>
            <w:tcW w:w="1399" w:type="dxa"/>
            <w:shd w:val="clear" w:color="auto" w:fill="auto"/>
            <w:hideMark/>
          </w:tcPr>
          <w:p w14:paraId="0AA42843"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Breastfeeding experience, challenges and service demands among Chinese mothers: A qualitative study in two cities</w:t>
            </w:r>
          </w:p>
        </w:tc>
        <w:tc>
          <w:tcPr>
            <w:tcW w:w="1510" w:type="dxa"/>
            <w:shd w:val="clear" w:color="auto" w:fill="auto"/>
            <w:hideMark/>
          </w:tcPr>
          <w:p w14:paraId="56A94CC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Appetite</w:t>
            </w:r>
          </w:p>
        </w:tc>
        <w:tc>
          <w:tcPr>
            <w:tcW w:w="1341" w:type="dxa"/>
            <w:shd w:val="clear" w:color="auto" w:fill="auto"/>
            <w:hideMark/>
          </w:tcPr>
          <w:p w14:paraId="37F3889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Qualitative study </w:t>
            </w:r>
          </w:p>
        </w:tc>
        <w:tc>
          <w:tcPr>
            <w:tcW w:w="2173" w:type="dxa"/>
            <w:shd w:val="clear" w:color="auto" w:fill="auto"/>
            <w:hideMark/>
          </w:tcPr>
          <w:p w14:paraId="14CB22CE"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In-depth interviews: 10 mothers in Shangai, 10 mothers in Weifang. Focus groups: 6 mothers in each focus group, 5 realized in Shangai and 5 in Weifang.</w:t>
            </w:r>
          </w:p>
        </w:tc>
        <w:tc>
          <w:tcPr>
            <w:tcW w:w="2266" w:type="dxa"/>
            <w:shd w:val="clear" w:color="auto" w:fill="auto"/>
            <w:hideMark/>
          </w:tcPr>
          <w:p w14:paraId="5003038A"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Returning to work constituted the most important barrier to continued breast feeding to six months for working mothers.</w:t>
            </w:r>
          </w:p>
        </w:tc>
        <w:tc>
          <w:tcPr>
            <w:tcW w:w="1699" w:type="dxa"/>
            <w:shd w:val="clear" w:color="auto" w:fill="auto"/>
            <w:hideMark/>
          </w:tcPr>
          <w:p w14:paraId="1EABA2A5"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Individual in-depth interviews + focus group discussions</w:t>
            </w:r>
          </w:p>
        </w:tc>
        <w:tc>
          <w:tcPr>
            <w:tcW w:w="1068" w:type="dxa"/>
            <w:shd w:val="clear" w:color="auto" w:fill="auto"/>
            <w:hideMark/>
          </w:tcPr>
          <w:p w14:paraId="398B61CB"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China</w:t>
            </w:r>
          </w:p>
        </w:tc>
      </w:tr>
      <w:tr w:rsidR="00BE4ECD" w:rsidRPr="00650150" w14:paraId="6AB76B4B" w14:textId="77777777" w:rsidTr="00B74BD6">
        <w:tc>
          <w:tcPr>
            <w:tcW w:w="308" w:type="dxa"/>
            <w:shd w:val="clear" w:color="auto" w:fill="auto"/>
            <w:hideMark/>
          </w:tcPr>
          <w:p w14:paraId="58903866"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36</w:t>
            </w:r>
          </w:p>
        </w:tc>
        <w:tc>
          <w:tcPr>
            <w:tcW w:w="1165" w:type="dxa"/>
            <w:shd w:val="clear" w:color="auto" w:fill="auto"/>
            <w:hideMark/>
          </w:tcPr>
          <w:p w14:paraId="2FD08011"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2017</w:t>
            </w:r>
          </w:p>
        </w:tc>
        <w:tc>
          <w:tcPr>
            <w:tcW w:w="1358" w:type="dxa"/>
            <w:shd w:val="clear" w:color="auto" w:fill="auto"/>
            <w:hideMark/>
          </w:tcPr>
          <w:p w14:paraId="6CCDCBF0"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Hmone M.P.; Li M.; Agho K.; Alam A.; Dibley M.J.</w:t>
            </w:r>
          </w:p>
        </w:tc>
        <w:tc>
          <w:tcPr>
            <w:tcW w:w="1399" w:type="dxa"/>
            <w:shd w:val="clear" w:color="auto" w:fill="auto"/>
            <w:hideMark/>
          </w:tcPr>
          <w:p w14:paraId="2E15A622"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Factors associated with intention to exclusive breastfeed in central women's hospital, Yangon, Myanmar</w:t>
            </w:r>
          </w:p>
        </w:tc>
        <w:tc>
          <w:tcPr>
            <w:tcW w:w="1510" w:type="dxa"/>
            <w:shd w:val="clear" w:color="auto" w:fill="auto"/>
            <w:hideMark/>
          </w:tcPr>
          <w:p w14:paraId="0F932811"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International Breastfeeding Journal</w:t>
            </w:r>
          </w:p>
        </w:tc>
        <w:tc>
          <w:tcPr>
            <w:tcW w:w="1341" w:type="dxa"/>
            <w:shd w:val="clear" w:color="auto" w:fill="auto"/>
            <w:hideMark/>
          </w:tcPr>
          <w:p w14:paraId="1B74D31E"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Qualitative study (we included only the results of the qualitative study of a mixed method research)</w:t>
            </w:r>
          </w:p>
        </w:tc>
        <w:tc>
          <w:tcPr>
            <w:tcW w:w="2173" w:type="dxa"/>
            <w:shd w:val="clear" w:color="auto" w:fill="auto"/>
            <w:hideMark/>
          </w:tcPr>
          <w:p w14:paraId="6BD3EF8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24 women.</w:t>
            </w:r>
          </w:p>
        </w:tc>
        <w:tc>
          <w:tcPr>
            <w:tcW w:w="2266" w:type="dxa"/>
            <w:shd w:val="clear" w:color="auto" w:fill="auto"/>
            <w:hideMark/>
          </w:tcPr>
          <w:p w14:paraId="3C99E344"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Returning to work was the main barrier to continue breastfeeding</w:t>
            </w:r>
          </w:p>
        </w:tc>
        <w:tc>
          <w:tcPr>
            <w:tcW w:w="1699" w:type="dxa"/>
            <w:shd w:val="clear" w:color="auto" w:fill="auto"/>
            <w:hideMark/>
          </w:tcPr>
          <w:p w14:paraId="76B088E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In-depth interviews</w:t>
            </w:r>
          </w:p>
        </w:tc>
        <w:tc>
          <w:tcPr>
            <w:tcW w:w="1068" w:type="dxa"/>
            <w:shd w:val="clear" w:color="auto" w:fill="auto"/>
            <w:hideMark/>
          </w:tcPr>
          <w:p w14:paraId="6D80367E"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Myanmar</w:t>
            </w:r>
          </w:p>
        </w:tc>
      </w:tr>
      <w:tr w:rsidR="00BE4ECD" w:rsidRPr="00650150" w14:paraId="35F33E21" w14:textId="77777777" w:rsidTr="00B74BD6">
        <w:tc>
          <w:tcPr>
            <w:tcW w:w="308" w:type="dxa"/>
            <w:shd w:val="clear" w:color="auto" w:fill="auto"/>
            <w:hideMark/>
          </w:tcPr>
          <w:p w14:paraId="199C0F44"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37</w:t>
            </w:r>
          </w:p>
        </w:tc>
        <w:tc>
          <w:tcPr>
            <w:tcW w:w="1165" w:type="dxa"/>
            <w:shd w:val="clear" w:color="auto" w:fill="auto"/>
            <w:hideMark/>
          </w:tcPr>
          <w:p w14:paraId="13025037"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2017</w:t>
            </w:r>
          </w:p>
        </w:tc>
        <w:tc>
          <w:tcPr>
            <w:tcW w:w="1358" w:type="dxa"/>
            <w:shd w:val="clear" w:color="auto" w:fill="auto"/>
            <w:hideMark/>
          </w:tcPr>
          <w:p w14:paraId="5ACBFD69"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Kobayashi M.; Usui E.</w:t>
            </w:r>
          </w:p>
        </w:tc>
        <w:tc>
          <w:tcPr>
            <w:tcW w:w="1399" w:type="dxa"/>
            <w:shd w:val="clear" w:color="auto" w:fill="auto"/>
            <w:hideMark/>
          </w:tcPr>
          <w:p w14:paraId="5EC57E28"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Breastfeeding practices and parental employment in Japan</w:t>
            </w:r>
          </w:p>
        </w:tc>
        <w:tc>
          <w:tcPr>
            <w:tcW w:w="1510" w:type="dxa"/>
            <w:shd w:val="clear" w:color="auto" w:fill="auto"/>
            <w:hideMark/>
          </w:tcPr>
          <w:p w14:paraId="5985BCA4"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Review of Economics of the Household</w:t>
            </w:r>
          </w:p>
        </w:tc>
        <w:tc>
          <w:tcPr>
            <w:tcW w:w="1341" w:type="dxa"/>
            <w:shd w:val="clear" w:color="auto" w:fill="auto"/>
            <w:hideMark/>
          </w:tcPr>
          <w:p w14:paraId="7AA2BFEF"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Cohort study</w:t>
            </w:r>
          </w:p>
        </w:tc>
        <w:tc>
          <w:tcPr>
            <w:tcW w:w="2173" w:type="dxa"/>
            <w:shd w:val="clear" w:color="auto" w:fill="auto"/>
            <w:hideMark/>
          </w:tcPr>
          <w:p w14:paraId="50AA244A"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 3,651 parents and 7,148 children.</w:t>
            </w:r>
          </w:p>
        </w:tc>
        <w:tc>
          <w:tcPr>
            <w:tcW w:w="2266" w:type="dxa"/>
            <w:shd w:val="clear" w:color="auto" w:fill="auto"/>
            <w:hideMark/>
          </w:tcPr>
          <w:p w14:paraId="2A3F1D73"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Compared to mothers who leave their jobs after childbirth, mothers who return to work within a year after childbirth do not significantly differ in breastfeeding initiation but have a breastfeeding duration which is shorter by 1.654 months. On the other hand, when fathers work under a flextime system after childbirth, breastfeeding initiation is higher, and the duration is longer by 4.418 months.</w:t>
            </w:r>
          </w:p>
        </w:tc>
        <w:tc>
          <w:tcPr>
            <w:tcW w:w="1699" w:type="dxa"/>
            <w:shd w:val="clear" w:color="auto" w:fill="auto"/>
            <w:hideMark/>
          </w:tcPr>
          <w:p w14:paraId="52599433"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Surveys. Data were collected from the Japanese Longitudinal Survey on Employment and Fertility (LOSEF)</w:t>
            </w:r>
          </w:p>
        </w:tc>
        <w:tc>
          <w:tcPr>
            <w:tcW w:w="1068" w:type="dxa"/>
            <w:shd w:val="clear" w:color="auto" w:fill="auto"/>
            <w:hideMark/>
          </w:tcPr>
          <w:p w14:paraId="5197570C"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Japan</w:t>
            </w:r>
          </w:p>
        </w:tc>
      </w:tr>
      <w:tr w:rsidR="00BE4ECD" w:rsidRPr="00650150" w14:paraId="6042D8FF" w14:textId="77777777" w:rsidTr="00B74BD6">
        <w:tc>
          <w:tcPr>
            <w:tcW w:w="308" w:type="dxa"/>
            <w:shd w:val="clear" w:color="auto" w:fill="auto"/>
            <w:hideMark/>
          </w:tcPr>
          <w:p w14:paraId="4FA33880"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38</w:t>
            </w:r>
          </w:p>
        </w:tc>
        <w:tc>
          <w:tcPr>
            <w:tcW w:w="1165" w:type="dxa"/>
            <w:shd w:val="clear" w:color="auto" w:fill="auto"/>
            <w:hideMark/>
          </w:tcPr>
          <w:p w14:paraId="43BB6F66"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2017</w:t>
            </w:r>
          </w:p>
        </w:tc>
        <w:tc>
          <w:tcPr>
            <w:tcW w:w="1358" w:type="dxa"/>
            <w:shd w:val="clear" w:color="auto" w:fill="auto"/>
            <w:hideMark/>
          </w:tcPr>
          <w:p w14:paraId="08AD8149"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Soomro JA, Shaikh ZN, </w:t>
            </w:r>
            <w:r w:rsidRPr="00650150">
              <w:rPr>
                <w:rFonts w:ascii="Times New Roman" w:eastAsia="Times New Roman" w:hAnsi="Times New Roman" w:cs="Times New Roman"/>
                <w:sz w:val="20"/>
                <w:szCs w:val="20"/>
              </w:rPr>
              <w:lastRenderedPageBreak/>
              <w:t>Bijarani SA, Saheer TB.</w:t>
            </w:r>
          </w:p>
        </w:tc>
        <w:tc>
          <w:tcPr>
            <w:tcW w:w="1399" w:type="dxa"/>
            <w:shd w:val="clear" w:color="auto" w:fill="auto"/>
            <w:hideMark/>
          </w:tcPr>
          <w:p w14:paraId="03459036"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 xml:space="preserve">Factors affecting breastfeeding </w:t>
            </w:r>
            <w:r w:rsidRPr="00650150">
              <w:rPr>
                <w:rFonts w:ascii="Times New Roman" w:eastAsia="Times New Roman" w:hAnsi="Times New Roman" w:cs="Times New Roman"/>
                <w:sz w:val="20"/>
                <w:szCs w:val="20"/>
                <w:lang w:val="en-US"/>
              </w:rPr>
              <w:lastRenderedPageBreak/>
              <w:t>practices among working women in Pakistan</w:t>
            </w:r>
          </w:p>
        </w:tc>
        <w:tc>
          <w:tcPr>
            <w:tcW w:w="1510" w:type="dxa"/>
            <w:shd w:val="clear" w:color="auto" w:fill="auto"/>
            <w:hideMark/>
          </w:tcPr>
          <w:p w14:paraId="1EBA0E0F"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East Mediterr Health J</w:t>
            </w:r>
          </w:p>
        </w:tc>
        <w:tc>
          <w:tcPr>
            <w:tcW w:w="1341" w:type="dxa"/>
            <w:shd w:val="clear" w:color="auto" w:fill="auto"/>
            <w:hideMark/>
          </w:tcPr>
          <w:p w14:paraId="62BA0FE5"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1700A8BF"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297 mothers.</w:t>
            </w:r>
          </w:p>
        </w:tc>
        <w:tc>
          <w:tcPr>
            <w:tcW w:w="2266" w:type="dxa"/>
            <w:shd w:val="clear" w:color="auto" w:fill="auto"/>
            <w:hideMark/>
          </w:tcPr>
          <w:p w14:paraId="0F567816"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Mothers from 36 (12.1%) sites reported receiving breastfeeding breaks, and </w:t>
            </w:r>
            <w:r w:rsidRPr="00650150">
              <w:rPr>
                <w:rFonts w:ascii="Times New Roman" w:eastAsia="Times New Roman" w:hAnsi="Times New Roman" w:cs="Times New Roman"/>
                <w:sz w:val="20"/>
                <w:szCs w:val="20"/>
                <w:lang w:val="en-US"/>
              </w:rPr>
              <w:lastRenderedPageBreak/>
              <w:t>86% of the mothers had received 3 months paid maternity leave. Provision of a lighter job and information about breastfeeding options on return to work were reported from 15% and 5% of the workplaces, respectively. Only two sites had designated breastfeeding corners. Significantly different results were found between types of employers (government or private) and type of organization (national or multinational) with regard to breastfeeding breaks, breastfeeding corners, lighter jobs and paid maternity leave. Public and multinational companies were slightly better than private and national ones in providing breastfeeding facilities.</w:t>
            </w:r>
          </w:p>
        </w:tc>
        <w:tc>
          <w:tcPr>
            <w:tcW w:w="1699" w:type="dxa"/>
            <w:shd w:val="clear" w:color="auto" w:fill="auto"/>
            <w:hideMark/>
          </w:tcPr>
          <w:p w14:paraId="0349AF86"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Ad hoc questionnaire</w:t>
            </w:r>
          </w:p>
        </w:tc>
        <w:tc>
          <w:tcPr>
            <w:tcW w:w="1068" w:type="dxa"/>
            <w:shd w:val="clear" w:color="auto" w:fill="auto"/>
            <w:hideMark/>
          </w:tcPr>
          <w:p w14:paraId="3CDF5EC1"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Pakistan</w:t>
            </w:r>
          </w:p>
        </w:tc>
      </w:tr>
      <w:tr w:rsidR="00BE4ECD" w:rsidRPr="00650150" w14:paraId="4D8ACF08" w14:textId="77777777" w:rsidTr="00B74BD6">
        <w:tc>
          <w:tcPr>
            <w:tcW w:w="308" w:type="dxa"/>
            <w:shd w:val="clear" w:color="auto" w:fill="auto"/>
            <w:hideMark/>
          </w:tcPr>
          <w:p w14:paraId="7F8B9908"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39</w:t>
            </w:r>
          </w:p>
        </w:tc>
        <w:tc>
          <w:tcPr>
            <w:tcW w:w="1165" w:type="dxa"/>
            <w:shd w:val="clear" w:color="auto" w:fill="auto"/>
            <w:hideMark/>
          </w:tcPr>
          <w:p w14:paraId="297AC56A"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2016</w:t>
            </w:r>
          </w:p>
        </w:tc>
        <w:tc>
          <w:tcPr>
            <w:tcW w:w="1358" w:type="dxa"/>
            <w:shd w:val="clear" w:color="auto" w:fill="auto"/>
            <w:hideMark/>
          </w:tcPr>
          <w:p w14:paraId="65F43093"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Dagher R.K.; McGovern P.M.; Schold J.D.; Randall X.J.</w:t>
            </w:r>
          </w:p>
        </w:tc>
        <w:tc>
          <w:tcPr>
            <w:tcW w:w="1399" w:type="dxa"/>
            <w:shd w:val="clear" w:color="auto" w:fill="auto"/>
            <w:hideMark/>
          </w:tcPr>
          <w:p w14:paraId="63F852AA"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Determinants of breastfeeding initiation and cessation among employed mothers: A prospective cohort study</w:t>
            </w:r>
          </w:p>
        </w:tc>
        <w:tc>
          <w:tcPr>
            <w:tcW w:w="1510" w:type="dxa"/>
            <w:shd w:val="clear" w:color="auto" w:fill="auto"/>
            <w:hideMark/>
          </w:tcPr>
          <w:p w14:paraId="488826B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BMC Pregnancy and Childbirth</w:t>
            </w:r>
          </w:p>
        </w:tc>
        <w:tc>
          <w:tcPr>
            <w:tcW w:w="1341" w:type="dxa"/>
            <w:shd w:val="clear" w:color="auto" w:fill="auto"/>
            <w:hideMark/>
          </w:tcPr>
          <w:p w14:paraId="2A42F87A"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Cohort study</w:t>
            </w:r>
          </w:p>
        </w:tc>
        <w:tc>
          <w:tcPr>
            <w:tcW w:w="2173" w:type="dxa"/>
            <w:shd w:val="clear" w:color="auto" w:fill="auto"/>
            <w:hideMark/>
          </w:tcPr>
          <w:p w14:paraId="664335A9"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817 women aged 18 and older while hospitalized for childbirth.</w:t>
            </w:r>
          </w:p>
        </w:tc>
        <w:tc>
          <w:tcPr>
            <w:tcW w:w="2266" w:type="dxa"/>
            <w:shd w:val="clear" w:color="auto" w:fill="auto"/>
            <w:hideMark/>
          </w:tcPr>
          <w:p w14:paraId="3B6E9054"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The hazard for breastfeeding cessation by 6 months was higher for women who returned to work at any time during the 6 months postpartum versus those who did not return, lower for professional workers, higher among single than married women, higher </w:t>
            </w:r>
            <w:r w:rsidRPr="00650150">
              <w:rPr>
                <w:rFonts w:ascii="Times New Roman" w:eastAsia="Times New Roman" w:hAnsi="Times New Roman" w:cs="Times New Roman"/>
                <w:sz w:val="20"/>
                <w:szCs w:val="20"/>
                <w:lang w:val="en-US"/>
              </w:rPr>
              <w:lastRenderedPageBreak/>
              <w:t>for every educational category compared to graduate school, and higher for those with no family or friends who breastfeed.</w:t>
            </w:r>
          </w:p>
        </w:tc>
        <w:tc>
          <w:tcPr>
            <w:tcW w:w="1699" w:type="dxa"/>
            <w:shd w:val="clear" w:color="auto" w:fill="auto"/>
            <w:hideMark/>
          </w:tcPr>
          <w:p w14:paraId="1BA3AAA1"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Ad hoc questions administered in person and by phone, records from medical files</w:t>
            </w:r>
          </w:p>
        </w:tc>
        <w:tc>
          <w:tcPr>
            <w:tcW w:w="1068" w:type="dxa"/>
            <w:shd w:val="clear" w:color="auto" w:fill="auto"/>
            <w:hideMark/>
          </w:tcPr>
          <w:p w14:paraId="70D59A3B"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USA</w:t>
            </w:r>
          </w:p>
        </w:tc>
      </w:tr>
      <w:tr w:rsidR="00BE4ECD" w:rsidRPr="00650150" w14:paraId="08275BAB" w14:textId="77777777" w:rsidTr="00B74BD6">
        <w:tc>
          <w:tcPr>
            <w:tcW w:w="308" w:type="dxa"/>
            <w:shd w:val="clear" w:color="auto" w:fill="auto"/>
            <w:hideMark/>
          </w:tcPr>
          <w:p w14:paraId="61353AA6"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40</w:t>
            </w:r>
          </w:p>
        </w:tc>
        <w:tc>
          <w:tcPr>
            <w:tcW w:w="1165" w:type="dxa"/>
            <w:shd w:val="clear" w:color="auto" w:fill="auto"/>
            <w:hideMark/>
          </w:tcPr>
          <w:p w14:paraId="5217DCDA"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2016</w:t>
            </w:r>
          </w:p>
        </w:tc>
        <w:tc>
          <w:tcPr>
            <w:tcW w:w="1358" w:type="dxa"/>
            <w:shd w:val="clear" w:color="auto" w:fill="auto"/>
            <w:hideMark/>
          </w:tcPr>
          <w:p w14:paraId="78807C45"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Desmond D.; Meaney S.</w:t>
            </w:r>
          </w:p>
        </w:tc>
        <w:tc>
          <w:tcPr>
            <w:tcW w:w="1399" w:type="dxa"/>
            <w:shd w:val="clear" w:color="auto" w:fill="auto"/>
            <w:hideMark/>
          </w:tcPr>
          <w:p w14:paraId="742C648A"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A qualitative study investigating the barriers to returning to work for breastfeeding mothers in Ireland</w:t>
            </w:r>
          </w:p>
        </w:tc>
        <w:tc>
          <w:tcPr>
            <w:tcW w:w="1510" w:type="dxa"/>
            <w:shd w:val="clear" w:color="auto" w:fill="auto"/>
            <w:hideMark/>
          </w:tcPr>
          <w:p w14:paraId="6619FD8A"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International Breastfeeding Journal</w:t>
            </w:r>
          </w:p>
        </w:tc>
        <w:tc>
          <w:tcPr>
            <w:tcW w:w="1341" w:type="dxa"/>
            <w:shd w:val="clear" w:color="auto" w:fill="auto"/>
            <w:hideMark/>
          </w:tcPr>
          <w:p w14:paraId="0E207745"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Qualitative study </w:t>
            </w:r>
          </w:p>
        </w:tc>
        <w:tc>
          <w:tcPr>
            <w:tcW w:w="2173" w:type="dxa"/>
            <w:shd w:val="clear" w:color="auto" w:fill="auto"/>
            <w:hideMark/>
          </w:tcPr>
          <w:p w14:paraId="0E8C4745"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16 mothers who returned to the workforce.</w:t>
            </w:r>
          </w:p>
        </w:tc>
        <w:tc>
          <w:tcPr>
            <w:tcW w:w="2266" w:type="dxa"/>
            <w:shd w:val="clear" w:color="auto" w:fill="auto"/>
            <w:hideMark/>
          </w:tcPr>
          <w:p w14:paraId="3696D432"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Mothers with the desire to continue to breastfeed after their return to work did so with some difficulty. Many did not disclose to their employers that they were breastfeeding and did not make enquiries about being facilitated to continue to breastfeed after their return to the workplace. The perceived lack of support from their employers as well as embarrassment about their breastfeeding status meant many women concealed that they were breastfeeding after their return to the workplace.</w:t>
            </w:r>
          </w:p>
        </w:tc>
        <w:tc>
          <w:tcPr>
            <w:tcW w:w="1699" w:type="dxa"/>
            <w:shd w:val="clear" w:color="auto" w:fill="auto"/>
            <w:hideMark/>
          </w:tcPr>
          <w:p w14:paraId="5357497F"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Interviews</w:t>
            </w:r>
          </w:p>
        </w:tc>
        <w:tc>
          <w:tcPr>
            <w:tcW w:w="1068" w:type="dxa"/>
            <w:shd w:val="clear" w:color="auto" w:fill="auto"/>
            <w:hideMark/>
          </w:tcPr>
          <w:p w14:paraId="56AB63FA"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Ireland</w:t>
            </w:r>
          </w:p>
        </w:tc>
      </w:tr>
      <w:tr w:rsidR="00BE4ECD" w:rsidRPr="00650150" w14:paraId="279A995C" w14:textId="77777777" w:rsidTr="00B74BD6">
        <w:tc>
          <w:tcPr>
            <w:tcW w:w="308" w:type="dxa"/>
            <w:shd w:val="clear" w:color="auto" w:fill="auto"/>
            <w:hideMark/>
          </w:tcPr>
          <w:p w14:paraId="68F46D89"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41</w:t>
            </w:r>
          </w:p>
        </w:tc>
        <w:tc>
          <w:tcPr>
            <w:tcW w:w="1165" w:type="dxa"/>
            <w:shd w:val="clear" w:color="auto" w:fill="auto"/>
            <w:hideMark/>
          </w:tcPr>
          <w:p w14:paraId="041B0660"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2016</w:t>
            </w:r>
          </w:p>
        </w:tc>
        <w:tc>
          <w:tcPr>
            <w:tcW w:w="1358" w:type="dxa"/>
            <w:shd w:val="clear" w:color="auto" w:fill="auto"/>
            <w:hideMark/>
          </w:tcPr>
          <w:p w14:paraId="1BD0500B"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Lubold A.M.</w:t>
            </w:r>
          </w:p>
        </w:tc>
        <w:tc>
          <w:tcPr>
            <w:tcW w:w="1399" w:type="dxa"/>
            <w:shd w:val="clear" w:color="auto" w:fill="auto"/>
            <w:hideMark/>
          </w:tcPr>
          <w:p w14:paraId="219B6E32"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Breastfeeding and employment: A propensity score matching approach</w:t>
            </w:r>
          </w:p>
        </w:tc>
        <w:tc>
          <w:tcPr>
            <w:tcW w:w="1510" w:type="dxa"/>
            <w:shd w:val="clear" w:color="auto" w:fill="auto"/>
            <w:hideMark/>
          </w:tcPr>
          <w:p w14:paraId="62DF307B"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Sociological Spectrum</w:t>
            </w:r>
          </w:p>
        </w:tc>
        <w:tc>
          <w:tcPr>
            <w:tcW w:w="1341" w:type="dxa"/>
            <w:shd w:val="clear" w:color="auto" w:fill="auto"/>
            <w:hideMark/>
          </w:tcPr>
          <w:p w14:paraId="2753C0FE"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Cohort study</w:t>
            </w:r>
          </w:p>
        </w:tc>
        <w:tc>
          <w:tcPr>
            <w:tcW w:w="2173" w:type="dxa"/>
            <w:shd w:val="clear" w:color="auto" w:fill="auto"/>
            <w:hideMark/>
          </w:tcPr>
          <w:p w14:paraId="531F8FB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746 women.</w:t>
            </w:r>
          </w:p>
        </w:tc>
        <w:tc>
          <w:tcPr>
            <w:tcW w:w="2266" w:type="dxa"/>
            <w:shd w:val="clear" w:color="auto" w:fill="auto"/>
            <w:hideMark/>
          </w:tcPr>
          <w:p w14:paraId="7CDA19BA"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Mothers who return to paid work within three months of giving birth breastfeed an average of five fewer weeks than new mothers who do not return to paid work for three months or more. In addition, among mothers who return to paid work within three months, full-time workers breastfeed </w:t>
            </w:r>
            <w:r w:rsidRPr="00650150">
              <w:rPr>
                <w:rFonts w:ascii="Times New Roman" w:eastAsia="Times New Roman" w:hAnsi="Times New Roman" w:cs="Times New Roman"/>
                <w:sz w:val="20"/>
                <w:szCs w:val="20"/>
                <w:lang w:val="en-US"/>
              </w:rPr>
              <w:lastRenderedPageBreak/>
              <w:t xml:space="preserve">an average of more than 15 fewer weeks than part-timeworkers. </w:t>
            </w:r>
          </w:p>
        </w:tc>
        <w:tc>
          <w:tcPr>
            <w:tcW w:w="1699" w:type="dxa"/>
            <w:shd w:val="clear" w:color="auto" w:fill="auto"/>
            <w:hideMark/>
          </w:tcPr>
          <w:p w14:paraId="5619ED21"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Ad hoc questionnaires, records from the Centers for Disease Control data</w:t>
            </w:r>
          </w:p>
        </w:tc>
        <w:tc>
          <w:tcPr>
            <w:tcW w:w="1068" w:type="dxa"/>
            <w:shd w:val="clear" w:color="auto" w:fill="auto"/>
            <w:hideMark/>
          </w:tcPr>
          <w:p w14:paraId="3BAAEEDE"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USA</w:t>
            </w:r>
          </w:p>
        </w:tc>
      </w:tr>
      <w:tr w:rsidR="00BE4ECD" w:rsidRPr="00650150" w14:paraId="29BBA60B" w14:textId="77777777" w:rsidTr="00B74BD6">
        <w:tc>
          <w:tcPr>
            <w:tcW w:w="308" w:type="dxa"/>
            <w:shd w:val="clear" w:color="auto" w:fill="auto"/>
            <w:hideMark/>
          </w:tcPr>
          <w:p w14:paraId="70FA28AC"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42</w:t>
            </w:r>
          </w:p>
        </w:tc>
        <w:tc>
          <w:tcPr>
            <w:tcW w:w="1165" w:type="dxa"/>
            <w:shd w:val="clear" w:color="auto" w:fill="auto"/>
            <w:hideMark/>
          </w:tcPr>
          <w:p w14:paraId="47F74EE9"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2016</w:t>
            </w:r>
          </w:p>
        </w:tc>
        <w:tc>
          <w:tcPr>
            <w:tcW w:w="1358" w:type="dxa"/>
            <w:shd w:val="clear" w:color="auto" w:fill="auto"/>
            <w:hideMark/>
          </w:tcPr>
          <w:p w14:paraId="759B2738"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Spitzmueller C.; Wang Z.; Zhang J.; Thomas C.L.; Fisher G.G.; Matthews R.A.; Strathearn L.</w:t>
            </w:r>
          </w:p>
        </w:tc>
        <w:tc>
          <w:tcPr>
            <w:tcW w:w="1399" w:type="dxa"/>
            <w:shd w:val="clear" w:color="auto" w:fill="auto"/>
            <w:hideMark/>
          </w:tcPr>
          <w:p w14:paraId="5C3C82BB"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Got milk? Workplace factors related to breastfeeding among working mothers</w:t>
            </w:r>
          </w:p>
        </w:tc>
        <w:tc>
          <w:tcPr>
            <w:tcW w:w="1510" w:type="dxa"/>
            <w:shd w:val="clear" w:color="auto" w:fill="auto"/>
            <w:hideMark/>
          </w:tcPr>
          <w:p w14:paraId="187035A6"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Journal of Organizational Behavior</w:t>
            </w:r>
          </w:p>
        </w:tc>
        <w:tc>
          <w:tcPr>
            <w:tcW w:w="1341" w:type="dxa"/>
            <w:shd w:val="clear" w:color="auto" w:fill="auto"/>
            <w:hideMark/>
          </w:tcPr>
          <w:p w14:paraId="23C6E27F"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Cohort study</w:t>
            </w:r>
          </w:p>
        </w:tc>
        <w:tc>
          <w:tcPr>
            <w:tcW w:w="2173" w:type="dxa"/>
            <w:shd w:val="clear" w:color="auto" w:fill="auto"/>
            <w:hideMark/>
          </w:tcPr>
          <w:p w14:paraId="1FEBD6AA"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259 working mothers.</w:t>
            </w:r>
          </w:p>
        </w:tc>
        <w:tc>
          <w:tcPr>
            <w:tcW w:w="2266" w:type="dxa"/>
            <w:shd w:val="clear" w:color="auto" w:fill="auto"/>
            <w:hideMark/>
          </w:tcPr>
          <w:p w14:paraId="3596F7E6"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Women who return to work and continue breastfeeding experience more family-to-work conflict and overload than women who do not reconcile work and breast feeding. Breastfeeding goal intentions were negatively associated with the hazard rate of ceasing breast feeding after return to work (B= 0.16, Wald = 83.74, p&lt;.001).</w:t>
            </w:r>
          </w:p>
        </w:tc>
        <w:tc>
          <w:tcPr>
            <w:tcW w:w="1699" w:type="dxa"/>
            <w:shd w:val="clear" w:color="auto" w:fill="auto"/>
            <w:hideMark/>
          </w:tcPr>
          <w:p w14:paraId="7BB0F89C"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Ad hoc questionnaires and surveys</w:t>
            </w:r>
          </w:p>
        </w:tc>
        <w:tc>
          <w:tcPr>
            <w:tcW w:w="1068" w:type="dxa"/>
            <w:shd w:val="clear" w:color="auto" w:fill="auto"/>
            <w:hideMark/>
          </w:tcPr>
          <w:p w14:paraId="4F3E7281"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USA</w:t>
            </w:r>
          </w:p>
        </w:tc>
      </w:tr>
      <w:tr w:rsidR="00BE4ECD" w:rsidRPr="00650150" w14:paraId="31990BD7" w14:textId="77777777" w:rsidTr="00B74BD6">
        <w:tc>
          <w:tcPr>
            <w:tcW w:w="308" w:type="dxa"/>
            <w:shd w:val="clear" w:color="auto" w:fill="auto"/>
            <w:hideMark/>
          </w:tcPr>
          <w:p w14:paraId="1EDDAC0B"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43</w:t>
            </w:r>
          </w:p>
        </w:tc>
        <w:tc>
          <w:tcPr>
            <w:tcW w:w="1165" w:type="dxa"/>
            <w:shd w:val="clear" w:color="auto" w:fill="auto"/>
            <w:hideMark/>
          </w:tcPr>
          <w:p w14:paraId="391DF6BE"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2016</w:t>
            </w:r>
          </w:p>
        </w:tc>
        <w:tc>
          <w:tcPr>
            <w:tcW w:w="1358" w:type="dxa"/>
            <w:shd w:val="clear" w:color="auto" w:fill="auto"/>
            <w:hideMark/>
          </w:tcPr>
          <w:p w14:paraId="4D8F9B35"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Xiang N.; Zadoroznyj M.; Tomaszewski W.; Martin B.</w:t>
            </w:r>
          </w:p>
        </w:tc>
        <w:tc>
          <w:tcPr>
            <w:tcW w:w="1399" w:type="dxa"/>
            <w:shd w:val="clear" w:color="auto" w:fill="auto"/>
            <w:hideMark/>
          </w:tcPr>
          <w:p w14:paraId="19422556"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Timing of return to work and breastfeeding in Australia</w:t>
            </w:r>
          </w:p>
        </w:tc>
        <w:tc>
          <w:tcPr>
            <w:tcW w:w="1510" w:type="dxa"/>
            <w:shd w:val="clear" w:color="auto" w:fill="auto"/>
            <w:hideMark/>
          </w:tcPr>
          <w:p w14:paraId="199F08FF"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Pediatrics</w:t>
            </w:r>
          </w:p>
        </w:tc>
        <w:tc>
          <w:tcPr>
            <w:tcW w:w="1341" w:type="dxa"/>
            <w:shd w:val="clear" w:color="auto" w:fill="auto"/>
            <w:hideMark/>
          </w:tcPr>
          <w:p w14:paraId="0528CD5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09597C7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2,300 mothers in paid employment in the 13 months before giving birth.</w:t>
            </w:r>
          </w:p>
        </w:tc>
        <w:tc>
          <w:tcPr>
            <w:tcW w:w="2266" w:type="dxa"/>
            <w:shd w:val="clear" w:color="auto" w:fill="auto"/>
            <w:hideMark/>
          </w:tcPr>
          <w:p w14:paraId="490975A4"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lang w:val="en-US"/>
              </w:rPr>
              <w:t xml:space="preserve">Mothers who returned to work within 6 months and who worked for ≥20 hours per week were significantly less likely than mothers who had not returned to work to be breastfeeding at 6 months. However, returning to work for ≤19 hours per week had no significant impact on the likelihood of breastfeeding regardless of when mothers returned to work. Older maternal age, higher educational attainment, better physical or mental health, managerial or professional maternal occupation, and being </w:t>
            </w:r>
            <w:r w:rsidRPr="00650150">
              <w:rPr>
                <w:rFonts w:ascii="Times New Roman" w:eastAsia="Times New Roman" w:hAnsi="Times New Roman" w:cs="Times New Roman"/>
                <w:sz w:val="20"/>
                <w:szCs w:val="20"/>
                <w:lang w:val="en-US"/>
              </w:rPr>
              <w:lastRenderedPageBreak/>
              <w:t xml:space="preserve">self-employed all significantly contributed to the increased likelihood of any breastfeeding at 6 months. </w:t>
            </w:r>
            <w:r w:rsidRPr="00650150">
              <w:rPr>
                <w:rFonts w:ascii="Times New Roman" w:eastAsia="Times New Roman" w:hAnsi="Times New Roman" w:cs="Times New Roman"/>
                <w:sz w:val="20"/>
                <w:szCs w:val="20"/>
              </w:rPr>
              <w:t>Similar patterns exist for predominant breastfeeding at 16 weeks.</w:t>
            </w:r>
          </w:p>
        </w:tc>
        <w:tc>
          <w:tcPr>
            <w:tcW w:w="1699" w:type="dxa"/>
            <w:shd w:val="clear" w:color="auto" w:fill="auto"/>
            <w:hideMark/>
          </w:tcPr>
          <w:p w14:paraId="0AF2F131"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Ad hoc survey</w:t>
            </w:r>
          </w:p>
        </w:tc>
        <w:tc>
          <w:tcPr>
            <w:tcW w:w="1068" w:type="dxa"/>
            <w:shd w:val="clear" w:color="auto" w:fill="auto"/>
            <w:hideMark/>
          </w:tcPr>
          <w:p w14:paraId="251BABC3"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Australia</w:t>
            </w:r>
          </w:p>
        </w:tc>
      </w:tr>
      <w:tr w:rsidR="00BE4ECD" w:rsidRPr="00650150" w14:paraId="241C6248" w14:textId="77777777" w:rsidTr="00B74BD6">
        <w:tc>
          <w:tcPr>
            <w:tcW w:w="308" w:type="dxa"/>
            <w:shd w:val="clear" w:color="auto" w:fill="auto"/>
            <w:hideMark/>
          </w:tcPr>
          <w:p w14:paraId="57681331"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44</w:t>
            </w:r>
          </w:p>
        </w:tc>
        <w:tc>
          <w:tcPr>
            <w:tcW w:w="1165" w:type="dxa"/>
            <w:shd w:val="clear" w:color="auto" w:fill="auto"/>
            <w:hideMark/>
          </w:tcPr>
          <w:p w14:paraId="4EB521B5"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2015</w:t>
            </w:r>
          </w:p>
        </w:tc>
        <w:tc>
          <w:tcPr>
            <w:tcW w:w="1358" w:type="dxa"/>
            <w:shd w:val="clear" w:color="auto" w:fill="auto"/>
            <w:hideMark/>
          </w:tcPr>
          <w:p w14:paraId="15DAED9B"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Aikawa T, Pavadhgul P, Chongsuwat R, Sawasdivorn S, Boonshuyar C.</w:t>
            </w:r>
          </w:p>
        </w:tc>
        <w:tc>
          <w:tcPr>
            <w:tcW w:w="1399" w:type="dxa"/>
            <w:shd w:val="clear" w:color="auto" w:fill="auto"/>
            <w:hideMark/>
          </w:tcPr>
          <w:p w14:paraId="0ADA066A"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Maternal return to paid work and breastfeeding practices in Bangkok, Thailand</w:t>
            </w:r>
          </w:p>
        </w:tc>
        <w:tc>
          <w:tcPr>
            <w:tcW w:w="1510" w:type="dxa"/>
            <w:shd w:val="clear" w:color="auto" w:fill="auto"/>
            <w:hideMark/>
          </w:tcPr>
          <w:p w14:paraId="6934BF56"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Asia Pac J Public Health</w:t>
            </w:r>
          </w:p>
        </w:tc>
        <w:tc>
          <w:tcPr>
            <w:tcW w:w="1341" w:type="dxa"/>
            <w:shd w:val="clear" w:color="auto" w:fill="auto"/>
            <w:hideMark/>
          </w:tcPr>
          <w:p w14:paraId="279D343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54E9D483"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84 working mothers with a child aged 6 to 24 months.</w:t>
            </w:r>
          </w:p>
        </w:tc>
        <w:tc>
          <w:tcPr>
            <w:tcW w:w="2266" w:type="dxa"/>
            <w:shd w:val="clear" w:color="auto" w:fill="auto"/>
            <w:hideMark/>
          </w:tcPr>
          <w:p w14:paraId="298A82F4"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Exclusive breastfeeding for 3 months was 78.6%, and for 6 months was 38.1%. Mothers who returned to work 3 months or more after giving birth exclusively breastfed more than the mothers who returned to work in less than 3 months (crude odds ratio [OR] = 4.26, 95% confidence interval [CI] = 1.39-13.05; adjusted OR = 4.15, 95% CI = 1.15-14.95). Moreover, mothers who worked at self-employed or family-owned businesses and some mothers working at private companies showed tendencies of returning to work in less than 3 months. </w:t>
            </w:r>
          </w:p>
        </w:tc>
        <w:tc>
          <w:tcPr>
            <w:tcW w:w="1699" w:type="dxa"/>
            <w:shd w:val="clear" w:color="auto" w:fill="auto"/>
            <w:hideMark/>
          </w:tcPr>
          <w:p w14:paraId="41CE8A8E"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Ad hoc questionnaires</w:t>
            </w:r>
          </w:p>
        </w:tc>
        <w:tc>
          <w:tcPr>
            <w:tcW w:w="1068" w:type="dxa"/>
            <w:shd w:val="clear" w:color="auto" w:fill="auto"/>
            <w:hideMark/>
          </w:tcPr>
          <w:p w14:paraId="2BA6411B"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Thailand</w:t>
            </w:r>
          </w:p>
        </w:tc>
      </w:tr>
      <w:tr w:rsidR="00BE4ECD" w:rsidRPr="00650150" w14:paraId="6B055414" w14:textId="77777777" w:rsidTr="00B74BD6">
        <w:tc>
          <w:tcPr>
            <w:tcW w:w="308" w:type="dxa"/>
            <w:shd w:val="clear" w:color="auto" w:fill="auto"/>
            <w:hideMark/>
          </w:tcPr>
          <w:p w14:paraId="6FF323D8"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45</w:t>
            </w:r>
          </w:p>
        </w:tc>
        <w:tc>
          <w:tcPr>
            <w:tcW w:w="1165" w:type="dxa"/>
            <w:shd w:val="clear" w:color="auto" w:fill="auto"/>
            <w:hideMark/>
          </w:tcPr>
          <w:p w14:paraId="5DB2FE71"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2015</w:t>
            </w:r>
          </w:p>
        </w:tc>
        <w:tc>
          <w:tcPr>
            <w:tcW w:w="1358" w:type="dxa"/>
            <w:shd w:val="clear" w:color="auto" w:fill="auto"/>
            <w:hideMark/>
          </w:tcPr>
          <w:p w14:paraId="36D82153"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Bai D.L.; Fong D.Y.T.; Tarrant M.</w:t>
            </w:r>
          </w:p>
        </w:tc>
        <w:tc>
          <w:tcPr>
            <w:tcW w:w="1399" w:type="dxa"/>
            <w:shd w:val="clear" w:color="auto" w:fill="auto"/>
            <w:hideMark/>
          </w:tcPr>
          <w:p w14:paraId="1C8332B0"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Factors Associated with Breastfeeding Duration and Exclusivity in </w:t>
            </w:r>
            <w:r w:rsidRPr="00650150">
              <w:rPr>
                <w:rFonts w:ascii="Times New Roman" w:eastAsia="Times New Roman" w:hAnsi="Times New Roman" w:cs="Times New Roman"/>
                <w:sz w:val="20"/>
                <w:szCs w:val="20"/>
                <w:lang w:val="en-US"/>
              </w:rPr>
              <w:lastRenderedPageBreak/>
              <w:t>Mothers Returning to Paid Employment Postpartum</w:t>
            </w:r>
          </w:p>
        </w:tc>
        <w:tc>
          <w:tcPr>
            <w:tcW w:w="1510" w:type="dxa"/>
            <w:shd w:val="clear" w:color="auto" w:fill="auto"/>
            <w:hideMark/>
          </w:tcPr>
          <w:p w14:paraId="703C52F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Maternal and Child Health Journal</w:t>
            </w:r>
          </w:p>
        </w:tc>
        <w:tc>
          <w:tcPr>
            <w:tcW w:w="1341" w:type="dxa"/>
            <w:shd w:val="clear" w:color="auto" w:fill="auto"/>
            <w:hideMark/>
          </w:tcPr>
          <w:p w14:paraId="5548B7EF"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Cohort study</w:t>
            </w:r>
          </w:p>
        </w:tc>
        <w:tc>
          <w:tcPr>
            <w:tcW w:w="2173" w:type="dxa"/>
            <w:shd w:val="clear" w:color="auto" w:fill="auto"/>
            <w:hideMark/>
          </w:tcPr>
          <w:p w14:paraId="61C5279C"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1,738 mothers who returned to paid employment postpartum</w:t>
            </w:r>
          </w:p>
        </w:tc>
        <w:tc>
          <w:tcPr>
            <w:tcW w:w="2266" w:type="dxa"/>
            <w:shd w:val="clear" w:color="auto" w:fill="auto"/>
            <w:hideMark/>
          </w:tcPr>
          <w:p w14:paraId="638D7911"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32 % of the sample combined breastfeeding and employment. A later return to work and higher maternal education were associated with new </w:t>
            </w:r>
            <w:r w:rsidRPr="00650150">
              <w:rPr>
                <w:rFonts w:ascii="Times New Roman" w:eastAsia="Times New Roman" w:hAnsi="Times New Roman" w:cs="Times New Roman"/>
                <w:sz w:val="20"/>
                <w:szCs w:val="20"/>
                <w:lang w:val="en-US"/>
              </w:rPr>
              <w:lastRenderedPageBreak/>
              <w:t xml:space="preserve">mothers being able to combine breastfeeding and employment. Later return to work, shorter working hours, parental childcare, and higher maternal education were also associated with less likelihood of weaning from any or exclusive breastfeeding. </w:t>
            </w:r>
          </w:p>
        </w:tc>
        <w:tc>
          <w:tcPr>
            <w:tcW w:w="1699" w:type="dxa"/>
            <w:shd w:val="clear" w:color="auto" w:fill="auto"/>
            <w:hideMark/>
          </w:tcPr>
          <w:p w14:paraId="456A628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Ad hoc questionnaires</w:t>
            </w:r>
          </w:p>
        </w:tc>
        <w:tc>
          <w:tcPr>
            <w:tcW w:w="1068" w:type="dxa"/>
            <w:shd w:val="clear" w:color="auto" w:fill="auto"/>
            <w:hideMark/>
          </w:tcPr>
          <w:p w14:paraId="1D51ED3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China</w:t>
            </w:r>
          </w:p>
        </w:tc>
      </w:tr>
      <w:tr w:rsidR="00BE4ECD" w:rsidRPr="00650150" w14:paraId="7A341CBD" w14:textId="77777777" w:rsidTr="00B74BD6">
        <w:tc>
          <w:tcPr>
            <w:tcW w:w="308" w:type="dxa"/>
            <w:shd w:val="clear" w:color="auto" w:fill="auto"/>
            <w:hideMark/>
          </w:tcPr>
          <w:p w14:paraId="467776F4"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46</w:t>
            </w:r>
          </w:p>
        </w:tc>
        <w:tc>
          <w:tcPr>
            <w:tcW w:w="1165" w:type="dxa"/>
            <w:shd w:val="clear" w:color="auto" w:fill="auto"/>
            <w:hideMark/>
          </w:tcPr>
          <w:p w14:paraId="701B59DC"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2014</w:t>
            </w:r>
          </w:p>
        </w:tc>
        <w:tc>
          <w:tcPr>
            <w:tcW w:w="1358" w:type="dxa"/>
            <w:shd w:val="clear" w:color="auto" w:fill="auto"/>
            <w:hideMark/>
          </w:tcPr>
          <w:p w14:paraId="64534A5A"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Dagher R.K.; McGovern P.M.; Dowd B.E.</w:t>
            </w:r>
          </w:p>
        </w:tc>
        <w:tc>
          <w:tcPr>
            <w:tcW w:w="1399" w:type="dxa"/>
            <w:shd w:val="clear" w:color="auto" w:fill="auto"/>
            <w:hideMark/>
          </w:tcPr>
          <w:p w14:paraId="6A583B14"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Maternity leave duration and postpartum mental and physical health: Implications for leave policies</w:t>
            </w:r>
          </w:p>
        </w:tc>
        <w:tc>
          <w:tcPr>
            <w:tcW w:w="1510" w:type="dxa"/>
            <w:shd w:val="clear" w:color="auto" w:fill="auto"/>
            <w:hideMark/>
          </w:tcPr>
          <w:p w14:paraId="55DF6D0B"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Journal of Health Politics, Policy and Law</w:t>
            </w:r>
          </w:p>
        </w:tc>
        <w:tc>
          <w:tcPr>
            <w:tcW w:w="1341" w:type="dxa"/>
            <w:shd w:val="clear" w:color="auto" w:fill="auto"/>
            <w:hideMark/>
          </w:tcPr>
          <w:p w14:paraId="776725B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Cohort study</w:t>
            </w:r>
          </w:p>
        </w:tc>
        <w:tc>
          <w:tcPr>
            <w:tcW w:w="2173" w:type="dxa"/>
            <w:shd w:val="clear" w:color="auto" w:fill="auto"/>
            <w:hideMark/>
          </w:tcPr>
          <w:p w14:paraId="4B1F052B"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716 employed women.</w:t>
            </w:r>
          </w:p>
        </w:tc>
        <w:tc>
          <w:tcPr>
            <w:tcW w:w="2266" w:type="dxa"/>
            <w:shd w:val="clear" w:color="auto" w:fill="auto"/>
            <w:hideMark/>
          </w:tcPr>
          <w:p w14:paraId="00163018"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In the first postpartum year, an increase in leave duration is associated with a decrease in depressive symptoms until six months postpartum. Moreover, analysis showed a significant linear positive association between leave duration and physical health. </w:t>
            </w:r>
          </w:p>
        </w:tc>
        <w:tc>
          <w:tcPr>
            <w:tcW w:w="1699" w:type="dxa"/>
            <w:shd w:val="clear" w:color="auto" w:fill="auto"/>
            <w:hideMark/>
          </w:tcPr>
          <w:p w14:paraId="6E3FCAA7"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1. Edinburgh Postnatal Depression Scale; 2. SF-12 Health Survey; 3. ad hoc questionnaire for maternal childbirth-related symptoms; 4. data from medical records. Data were collected from the Maternal Postpartum Health Study</w:t>
            </w:r>
          </w:p>
        </w:tc>
        <w:tc>
          <w:tcPr>
            <w:tcW w:w="1068" w:type="dxa"/>
            <w:shd w:val="clear" w:color="auto" w:fill="auto"/>
            <w:hideMark/>
          </w:tcPr>
          <w:p w14:paraId="204E62E1"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USA</w:t>
            </w:r>
          </w:p>
        </w:tc>
      </w:tr>
      <w:tr w:rsidR="00BE4ECD" w:rsidRPr="00650150" w14:paraId="2B95A52C" w14:textId="77777777" w:rsidTr="00B74BD6">
        <w:tc>
          <w:tcPr>
            <w:tcW w:w="308" w:type="dxa"/>
            <w:shd w:val="clear" w:color="auto" w:fill="auto"/>
            <w:hideMark/>
          </w:tcPr>
          <w:p w14:paraId="3C3F780B"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47</w:t>
            </w:r>
          </w:p>
        </w:tc>
        <w:tc>
          <w:tcPr>
            <w:tcW w:w="1165" w:type="dxa"/>
            <w:shd w:val="clear" w:color="auto" w:fill="auto"/>
            <w:hideMark/>
          </w:tcPr>
          <w:p w14:paraId="69ED21B9"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2014</w:t>
            </w:r>
          </w:p>
        </w:tc>
        <w:tc>
          <w:tcPr>
            <w:tcW w:w="1358" w:type="dxa"/>
            <w:shd w:val="clear" w:color="auto" w:fill="auto"/>
            <w:hideMark/>
          </w:tcPr>
          <w:p w14:paraId="4933AD5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Mandal B.; Roe B.E.; Fein S.B.</w:t>
            </w:r>
          </w:p>
        </w:tc>
        <w:tc>
          <w:tcPr>
            <w:tcW w:w="1399" w:type="dxa"/>
            <w:shd w:val="clear" w:color="auto" w:fill="auto"/>
            <w:hideMark/>
          </w:tcPr>
          <w:p w14:paraId="5E8DDB77"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Work and breastfeeding decisions are jointly determined for higher socioeconomic status US mothers</w:t>
            </w:r>
          </w:p>
        </w:tc>
        <w:tc>
          <w:tcPr>
            <w:tcW w:w="1510" w:type="dxa"/>
            <w:shd w:val="clear" w:color="auto" w:fill="auto"/>
            <w:hideMark/>
          </w:tcPr>
          <w:p w14:paraId="03293D8D"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Review of Economics of the Household</w:t>
            </w:r>
          </w:p>
        </w:tc>
        <w:tc>
          <w:tcPr>
            <w:tcW w:w="1341" w:type="dxa"/>
            <w:shd w:val="clear" w:color="auto" w:fill="auto"/>
            <w:hideMark/>
          </w:tcPr>
          <w:p w14:paraId="602AEB1D"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Cohort study</w:t>
            </w:r>
          </w:p>
        </w:tc>
        <w:tc>
          <w:tcPr>
            <w:tcW w:w="2173" w:type="dxa"/>
            <w:shd w:val="clear" w:color="auto" w:fill="auto"/>
            <w:hideMark/>
          </w:tcPr>
          <w:p w14:paraId="698AADC6"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2,236 women who worked before childbirth.</w:t>
            </w:r>
          </w:p>
        </w:tc>
        <w:tc>
          <w:tcPr>
            <w:tcW w:w="2266" w:type="dxa"/>
            <w:shd w:val="clear" w:color="auto" w:fill="auto"/>
            <w:hideMark/>
          </w:tcPr>
          <w:p w14:paraId="0839678A"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Returning to paid work 1 week earlier reduces any breastfeeding duration by about two-thirds of a week while extending breastfeeding by a week delays work participation by about one-third of a week. </w:t>
            </w:r>
          </w:p>
        </w:tc>
        <w:tc>
          <w:tcPr>
            <w:tcW w:w="1699" w:type="dxa"/>
            <w:shd w:val="clear" w:color="auto" w:fill="auto"/>
            <w:hideMark/>
          </w:tcPr>
          <w:p w14:paraId="1D45CE1C"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Ad hoc surveys. Data were collected from the Infant Feeding Practices Study II (IFPS II)</w:t>
            </w:r>
          </w:p>
        </w:tc>
        <w:tc>
          <w:tcPr>
            <w:tcW w:w="1068" w:type="dxa"/>
            <w:shd w:val="clear" w:color="auto" w:fill="auto"/>
            <w:hideMark/>
          </w:tcPr>
          <w:p w14:paraId="1A00CBC3"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USA</w:t>
            </w:r>
          </w:p>
        </w:tc>
      </w:tr>
      <w:tr w:rsidR="00BE4ECD" w:rsidRPr="00650150" w14:paraId="3918D469" w14:textId="77777777" w:rsidTr="00B74BD6">
        <w:tc>
          <w:tcPr>
            <w:tcW w:w="308" w:type="dxa"/>
            <w:shd w:val="clear" w:color="auto" w:fill="auto"/>
            <w:hideMark/>
          </w:tcPr>
          <w:p w14:paraId="26EE5EB4"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48</w:t>
            </w:r>
          </w:p>
        </w:tc>
        <w:tc>
          <w:tcPr>
            <w:tcW w:w="1165" w:type="dxa"/>
            <w:shd w:val="clear" w:color="auto" w:fill="auto"/>
            <w:hideMark/>
          </w:tcPr>
          <w:p w14:paraId="21B3F170"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2014</w:t>
            </w:r>
          </w:p>
        </w:tc>
        <w:tc>
          <w:tcPr>
            <w:tcW w:w="1358" w:type="dxa"/>
            <w:shd w:val="clear" w:color="auto" w:fill="auto"/>
            <w:hideMark/>
          </w:tcPr>
          <w:p w14:paraId="0F422B8F"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Mirkovic K.R.; Perrine C.G.; Scanlon K.S.; </w:t>
            </w:r>
            <w:r w:rsidRPr="00650150">
              <w:rPr>
                <w:rFonts w:ascii="Times New Roman" w:eastAsia="Times New Roman" w:hAnsi="Times New Roman" w:cs="Times New Roman"/>
                <w:sz w:val="20"/>
                <w:szCs w:val="20"/>
                <w:lang w:val="en-US"/>
              </w:rPr>
              <w:lastRenderedPageBreak/>
              <w:t>Grummer-Strawn L.M.</w:t>
            </w:r>
          </w:p>
        </w:tc>
        <w:tc>
          <w:tcPr>
            <w:tcW w:w="1399" w:type="dxa"/>
            <w:shd w:val="clear" w:color="auto" w:fill="auto"/>
            <w:hideMark/>
          </w:tcPr>
          <w:p w14:paraId="788DC691"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 xml:space="preserve">Maternity leave duration and full-time/part-time </w:t>
            </w:r>
            <w:r w:rsidRPr="00650150">
              <w:rPr>
                <w:rFonts w:ascii="Times New Roman" w:eastAsia="Times New Roman" w:hAnsi="Times New Roman" w:cs="Times New Roman"/>
                <w:sz w:val="20"/>
                <w:szCs w:val="20"/>
                <w:lang w:val="en-US"/>
              </w:rPr>
              <w:lastRenderedPageBreak/>
              <w:t>work status are associated with us mothers' ability to meet breastfeeding intentions</w:t>
            </w:r>
          </w:p>
        </w:tc>
        <w:tc>
          <w:tcPr>
            <w:tcW w:w="1510" w:type="dxa"/>
            <w:shd w:val="clear" w:color="auto" w:fill="auto"/>
            <w:hideMark/>
          </w:tcPr>
          <w:p w14:paraId="72079CA9"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Journal of Human Lactation</w:t>
            </w:r>
          </w:p>
        </w:tc>
        <w:tc>
          <w:tcPr>
            <w:tcW w:w="1341" w:type="dxa"/>
            <w:shd w:val="clear" w:color="auto" w:fill="auto"/>
            <w:hideMark/>
          </w:tcPr>
          <w:p w14:paraId="2912067E"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Cohort study</w:t>
            </w:r>
          </w:p>
        </w:tc>
        <w:tc>
          <w:tcPr>
            <w:tcW w:w="2173" w:type="dxa"/>
            <w:shd w:val="clear" w:color="auto" w:fill="auto"/>
            <w:hideMark/>
          </w:tcPr>
          <w:p w14:paraId="338FD66F"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1,172 women employed prenatally who intended to breastfeed 3 months or longer.</w:t>
            </w:r>
          </w:p>
        </w:tc>
        <w:tc>
          <w:tcPr>
            <w:tcW w:w="2266" w:type="dxa"/>
            <w:shd w:val="clear" w:color="auto" w:fill="auto"/>
            <w:hideMark/>
          </w:tcPr>
          <w:p w14:paraId="30221ED1"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28.8% of mothers did not meet their intention to breastfeed at least 3 months. Odds of not </w:t>
            </w:r>
            <w:r w:rsidRPr="00650150">
              <w:rPr>
                <w:rFonts w:ascii="Times New Roman" w:eastAsia="Times New Roman" w:hAnsi="Times New Roman" w:cs="Times New Roman"/>
                <w:sz w:val="20"/>
                <w:szCs w:val="20"/>
                <w:lang w:val="en-US"/>
              </w:rPr>
              <w:lastRenderedPageBreak/>
              <w:t>meeting intention to breastfeed at least 3 months were higher among mothers who returned to work full time before 3 months (&lt; 6 weeks/full time: AOR = 2.25, 95% confidence interval, 1.23-4.12; 6 weeks-3 months/full time: AOR = 1.82, 95% confidence interval, 1.30-2.56), compared with mothers not working at 3 months.</w:t>
            </w:r>
          </w:p>
        </w:tc>
        <w:tc>
          <w:tcPr>
            <w:tcW w:w="1699" w:type="dxa"/>
            <w:shd w:val="clear" w:color="auto" w:fill="auto"/>
            <w:hideMark/>
          </w:tcPr>
          <w:p w14:paraId="2804FE23"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 xml:space="preserve">Ad hoc surveys. Data were collected from the Infant Feeding </w:t>
            </w:r>
            <w:r w:rsidRPr="00650150">
              <w:rPr>
                <w:rFonts w:ascii="Times New Roman" w:eastAsia="Times New Roman" w:hAnsi="Times New Roman" w:cs="Times New Roman"/>
                <w:sz w:val="20"/>
                <w:szCs w:val="20"/>
                <w:lang w:val="en-US"/>
              </w:rPr>
              <w:lastRenderedPageBreak/>
              <w:t>Practices Study II (IFPS II)</w:t>
            </w:r>
          </w:p>
        </w:tc>
        <w:tc>
          <w:tcPr>
            <w:tcW w:w="1068" w:type="dxa"/>
            <w:shd w:val="clear" w:color="auto" w:fill="auto"/>
            <w:hideMark/>
          </w:tcPr>
          <w:p w14:paraId="62963FC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USA</w:t>
            </w:r>
          </w:p>
        </w:tc>
      </w:tr>
      <w:tr w:rsidR="00BE4ECD" w:rsidRPr="00650150" w14:paraId="21AB56A2" w14:textId="77777777" w:rsidTr="00B74BD6">
        <w:tc>
          <w:tcPr>
            <w:tcW w:w="308" w:type="dxa"/>
            <w:shd w:val="clear" w:color="auto" w:fill="auto"/>
            <w:hideMark/>
          </w:tcPr>
          <w:p w14:paraId="08999F4F"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49</w:t>
            </w:r>
          </w:p>
        </w:tc>
        <w:tc>
          <w:tcPr>
            <w:tcW w:w="1165" w:type="dxa"/>
            <w:shd w:val="clear" w:color="auto" w:fill="auto"/>
            <w:hideMark/>
          </w:tcPr>
          <w:p w14:paraId="0881410A"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2013</w:t>
            </w:r>
          </w:p>
        </w:tc>
        <w:tc>
          <w:tcPr>
            <w:tcW w:w="1358" w:type="dxa"/>
            <w:shd w:val="clear" w:color="auto" w:fill="auto"/>
            <w:hideMark/>
          </w:tcPr>
          <w:p w14:paraId="61A8DDF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Ahmadi M, Moosavi SM.</w:t>
            </w:r>
          </w:p>
        </w:tc>
        <w:tc>
          <w:tcPr>
            <w:tcW w:w="1399" w:type="dxa"/>
            <w:shd w:val="clear" w:color="auto" w:fill="auto"/>
            <w:hideMark/>
          </w:tcPr>
          <w:p w14:paraId="26585BEC"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Evaluation of occupational factors on continuation of breastfeeding and formula initiation in employed mothers</w:t>
            </w:r>
          </w:p>
        </w:tc>
        <w:tc>
          <w:tcPr>
            <w:tcW w:w="1510" w:type="dxa"/>
            <w:shd w:val="clear" w:color="auto" w:fill="auto"/>
            <w:hideMark/>
          </w:tcPr>
          <w:p w14:paraId="26CB24A2"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Glob J Health Sci</w:t>
            </w:r>
          </w:p>
        </w:tc>
        <w:tc>
          <w:tcPr>
            <w:tcW w:w="1341" w:type="dxa"/>
            <w:shd w:val="clear" w:color="auto" w:fill="auto"/>
            <w:hideMark/>
          </w:tcPr>
          <w:p w14:paraId="5A4921A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429D1CD2"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212 mothers with infants aged 6-12 months.</w:t>
            </w:r>
          </w:p>
        </w:tc>
        <w:tc>
          <w:tcPr>
            <w:tcW w:w="2266" w:type="dxa"/>
            <w:shd w:val="clear" w:color="auto" w:fill="auto"/>
            <w:hideMark/>
          </w:tcPr>
          <w:p w14:paraId="2067889F"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52.38% of the sample used formula to feed their children, and 27.36% had discontinued breastfeeding. The rate of formula use was significantly higher in mothers who had less than 6 months of maternity leave, those who did not have a suitable nursery or place to milk themselves and preserve the milk in their workplace, those working more than 6 hours per day, and those who could not take a breastfeeding break.</w:t>
            </w:r>
          </w:p>
        </w:tc>
        <w:tc>
          <w:tcPr>
            <w:tcW w:w="1699" w:type="dxa"/>
            <w:shd w:val="clear" w:color="auto" w:fill="auto"/>
            <w:hideMark/>
          </w:tcPr>
          <w:p w14:paraId="3EF0F78E"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Ad hoc questionnaire</w:t>
            </w:r>
          </w:p>
        </w:tc>
        <w:tc>
          <w:tcPr>
            <w:tcW w:w="1068" w:type="dxa"/>
            <w:shd w:val="clear" w:color="auto" w:fill="auto"/>
            <w:hideMark/>
          </w:tcPr>
          <w:p w14:paraId="3D55DA7A"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Iran</w:t>
            </w:r>
          </w:p>
        </w:tc>
      </w:tr>
      <w:tr w:rsidR="00BE4ECD" w:rsidRPr="00650150" w14:paraId="359883F3" w14:textId="77777777" w:rsidTr="00B74BD6">
        <w:tc>
          <w:tcPr>
            <w:tcW w:w="308" w:type="dxa"/>
            <w:shd w:val="clear" w:color="auto" w:fill="auto"/>
            <w:hideMark/>
          </w:tcPr>
          <w:p w14:paraId="4527564C"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50</w:t>
            </w:r>
          </w:p>
        </w:tc>
        <w:tc>
          <w:tcPr>
            <w:tcW w:w="1165" w:type="dxa"/>
            <w:shd w:val="clear" w:color="auto" w:fill="auto"/>
            <w:hideMark/>
          </w:tcPr>
          <w:p w14:paraId="11268C76"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2013</w:t>
            </w:r>
          </w:p>
        </w:tc>
        <w:tc>
          <w:tcPr>
            <w:tcW w:w="1358" w:type="dxa"/>
            <w:shd w:val="clear" w:color="auto" w:fill="auto"/>
            <w:hideMark/>
          </w:tcPr>
          <w:p w14:paraId="0EE73F18"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Bonet M.; Marchand L.; Kaminski M.; Fohran A.; Betoko A.; </w:t>
            </w:r>
            <w:r w:rsidRPr="00650150">
              <w:rPr>
                <w:rFonts w:ascii="Times New Roman" w:eastAsia="Times New Roman" w:hAnsi="Times New Roman" w:cs="Times New Roman"/>
                <w:sz w:val="20"/>
                <w:szCs w:val="20"/>
                <w:lang w:val="en-US"/>
              </w:rPr>
              <w:lastRenderedPageBreak/>
              <w:t>Charles M.-A.; Blondel B.</w:t>
            </w:r>
          </w:p>
        </w:tc>
        <w:tc>
          <w:tcPr>
            <w:tcW w:w="1399" w:type="dxa"/>
            <w:shd w:val="clear" w:color="auto" w:fill="auto"/>
            <w:hideMark/>
          </w:tcPr>
          <w:p w14:paraId="586C4659"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 xml:space="preserve">Breastfeeding duration, social and occupational characteristics </w:t>
            </w:r>
            <w:r w:rsidRPr="00650150">
              <w:rPr>
                <w:rFonts w:ascii="Times New Roman" w:eastAsia="Times New Roman" w:hAnsi="Times New Roman" w:cs="Times New Roman"/>
                <w:sz w:val="20"/>
                <w:szCs w:val="20"/>
                <w:lang w:val="en-US"/>
              </w:rPr>
              <w:lastRenderedPageBreak/>
              <w:t>of mothers in the French 'EDEN mother-child' cohort</w:t>
            </w:r>
          </w:p>
        </w:tc>
        <w:tc>
          <w:tcPr>
            <w:tcW w:w="1510" w:type="dxa"/>
            <w:shd w:val="clear" w:color="auto" w:fill="auto"/>
            <w:hideMark/>
          </w:tcPr>
          <w:p w14:paraId="4CD39AE0"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Maternal and Child Health Journal</w:t>
            </w:r>
          </w:p>
        </w:tc>
        <w:tc>
          <w:tcPr>
            <w:tcW w:w="1341" w:type="dxa"/>
            <w:shd w:val="clear" w:color="auto" w:fill="auto"/>
            <w:hideMark/>
          </w:tcPr>
          <w:p w14:paraId="6CE9555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Cohort study</w:t>
            </w:r>
          </w:p>
        </w:tc>
        <w:tc>
          <w:tcPr>
            <w:tcW w:w="2173" w:type="dxa"/>
            <w:shd w:val="clear" w:color="auto" w:fill="auto"/>
            <w:hideMark/>
          </w:tcPr>
          <w:p w14:paraId="4E7C063B"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1,339 mothers who were breastfeeding at discharge from the maternity unit.</w:t>
            </w:r>
          </w:p>
        </w:tc>
        <w:tc>
          <w:tcPr>
            <w:tcW w:w="2266" w:type="dxa"/>
            <w:shd w:val="clear" w:color="auto" w:fill="auto"/>
            <w:hideMark/>
          </w:tcPr>
          <w:p w14:paraId="0707E99E"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Returning to work was the major predictor for stopping breastfeeding: The sooner mothers returned to work, the less </w:t>
            </w:r>
            <w:r w:rsidRPr="00650150">
              <w:rPr>
                <w:rFonts w:ascii="Times New Roman" w:eastAsia="Times New Roman" w:hAnsi="Times New Roman" w:cs="Times New Roman"/>
                <w:sz w:val="20"/>
                <w:szCs w:val="20"/>
                <w:lang w:val="en-US"/>
              </w:rPr>
              <w:lastRenderedPageBreak/>
              <w:t xml:space="preserve">they breastfed their babies at 4 months, independently of full-time or part-time employment. </w:t>
            </w:r>
          </w:p>
        </w:tc>
        <w:tc>
          <w:tcPr>
            <w:tcW w:w="1699" w:type="dxa"/>
            <w:shd w:val="clear" w:color="auto" w:fill="auto"/>
            <w:hideMark/>
          </w:tcPr>
          <w:p w14:paraId="559A0041"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lastRenderedPageBreak/>
              <w:t xml:space="preserve">Ad hoc questionnaires, data from medical records. Data were collected from the </w:t>
            </w:r>
            <w:r w:rsidRPr="00650150">
              <w:rPr>
                <w:rFonts w:ascii="Times New Roman" w:eastAsia="Times New Roman" w:hAnsi="Times New Roman" w:cs="Times New Roman"/>
                <w:sz w:val="20"/>
                <w:szCs w:val="20"/>
                <w:lang w:val="en-US"/>
              </w:rPr>
              <w:lastRenderedPageBreak/>
              <w:t>Etude des Déterminants pré et postnatals précoces du développement et de la santé de l’Enfant (EDEN) study</w:t>
            </w:r>
          </w:p>
        </w:tc>
        <w:tc>
          <w:tcPr>
            <w:tcW w:w="1068" w:type="dxa"/>
            <w:shd w:val="clear" w:color="auto" w:fill="auto"/>
            <w:hideMark/>
          </w:tcPr>
          <w:p w14:paraId="10089DC0"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France</w:t>
            </w:r>
          </w:p>
        </w:tc>
      </w:tr>
      <w:tr w:rsidR="00BE4ECD" w:rsidRPr="00650150" w14:paraId="08486209" w14:textId="77777777" w:rsidTr="00B74BD6">
        <w:tc>
          <w:tcPr>
            <w:tcW w:w="308" w:type="dxa"/>
            <w:shd w:val="clear" w:color="auto" w:fill="auto"/>
            <w:hideMark/>
          </w:tcPr>
          <w:p w14:paraId="370AD9C5"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51</w:t>
            </w:r>
          </w:p>
        </w:tc>
        <w:tc>
          <w:tcPr>
            <w:tcW w:w="1165" w:type="dxa"/>
            <w:shd w:val="clear" w:color="auto" w:fill="auto"/>
            <w:hideMark/>
          </w:tcPr>
          <w:p w14:paraId="365121E6"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2013</w:t>
            </w:r>
          </w:p>
        </w:tc>
        <w:tc>
          <w:tcPr>
            <w:tcW w:w="1358" w:type="dxa"/>
            <w:shd w:val="clear" w:color="auto" w:fill="auto"/>
            <w:hideMark/>
          </w:tcPr>
          <w:p w14:paraId="618E4B65"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Parcsi L, Curtin M.</w:t>
            </w:r>
          </w:p>
        </w:tc>
        <w:tc>
          <w:tcPr>
            <w:tcW w:w="1399" w:type="dxa"/>
            <w:shd w:val="clear" w:color="auto" w:fill="auto"/>
            <w:hideMark/>
          </w:tcPr>
          <w:p w14:paraId="2AEF4F8A"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Experiences of occupational therapists returning to work after maternity leave</w:t>
            </w:r>
          </w:p>
        </w:tc>
        <w:tc>
          <w:tcPr>
            <w:tcW w:w="1510" w:type="dxa"/>
            <w:shd w:val="clear" w:color="auto" w:fill="auto"/>
            <w:hideMark/>
          </w:tcPr>
          <w:p w14:paraId="39CB1F8C"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Aust Occup Ther J</w:t>
            </w:r>
          </w:p>
        </w:tc>
        <w:tc>
          <w:tcPr>
            <w:tcW w:w="1341" w:type="dxa"/>
            <w:shd w:val="clear" w:color="auto" w:fill="auto"/>
            <w:hideMark/>
          </w:tcPr>
          <w:p w14:paraId="40862376"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Qualitative study </w:t>
            </w:r>
          </w:p>
        </w:tc>
        <w:tc>
          <w:tcPr>
            <w:tcW w:w="2173" w:type="dxa"/>
            <w:shd w:val="clear" w:color="auto" w:fill="auto"/>
            <w:hideMark/>
          </w:tcPr>
          <w:p w14:paraId="750B4B64"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6 occupational therapists.</w:t>
            </w:r>
          </w:p>
        </w:tc>
        <w:tc>
          <w:tcPr>
            <w:tcW w:w="2266" w:type="dxa"/>
            <w:shd w:val="clear" w:color="auto" w:fill="auto"/>
            <w:hideMark/>
          </w:tcPr>
          <w:p w14:paraId="4D584040"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Two major themes emerged: compromise and feeling valued. The experience of returning to work was a process of compromise in which women found strategies to cope with their changing roles and demands, to find a balance between home and work life. Women wanted to feel valued by their managers and co-workers, as this enabled them to feel comfortable and confident with some of the compromises they made.</w:t>
            </w:r>
          </w:p>
        </w:tc>
        <w:tc>
          <w:tcPr>
            <w:tcW w:w="1699" w:type="dxa"/>
            <w:shd w:val="clear" w:color="auto" w:fill="auto"/>
            <w:hideMark/>
          </w:tcPr>
          <w:p w14:paraId="4DA5B9EE"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Semi-structured interviews </w:t>
            </w:r>
          </w:p>
        </w:tc>
        <w:tc>
          <w:tcPr>
            <w:tcW w:w="1068" w:type="dxa"/>
            <w:shd w:val="clear" w:color="auto" w:fill="auto"/>
            <w:hideMark/>
          </w:tcPr>
          <w:p w14:paraId="69DAC1C4"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Australia</w:t>
            </w:r>
          </w:p>
        </w:tc>
      </w:tr>
      <w:tr w:rsidR="00BE4ECD" w:rsidRPr="00650150" w14:paraId="5896764B" w14:textId="77777777" w:rsidTr="00B74BD6">
        <w:tc>
          <w:tcPr>
            <w:tcW w:w="308" w:type="dxa"/>
            <w:shd w:val="clear" w:color="auto" w:fill="auto"/>
            <w:hideMark/>
          </w:tcPr>
          <w:p w14:paraId="5BE5A0F9"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52</w:t>
            </w:r>
          </w:p>
        </w:tc>
        <w:tc>
          <w:tcPr>
            <w:tcW w:w="1165" w:type="dxa"/>
            <w:shd w:val="clear" w:color="auto" w:fill="auto"/>
            <w:hideMark/>
          </w:tcPr>
          <w:p w14:paraId="135D6905" w14:textId="77777777" w:rsidR="00BE4ECD" w:rsidRPr="00650150" w:rsidRDefault="00BE4ECD" w:rsidP="00E564C0">
            <w:pPr>
              <w:jc w:val="right"/>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2013</w:t>
            </w:r>
          </w:p>
        </w:tc>
        <w:tc>
          <w:tcPr>
            <w:tcW w:w="1358" w:type="dxa"/>
            <w:shd w:val="clear" w:color="auto" w:fill="auto"/>
            <w:hideMark/>
          </w:tcPr>
          <w:p w14:paraId="0192A243"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Tsai S.-Y.</w:t>
            </w:r>
          </w:p>
        </w:tc>
        <w:tc>
          <w:tcPr>
            <w:tcW w:w="1399" w:type="dxa"/>
            <w:shd w:val="clear" w:color="auto" w:fill="auto"/>
            <w:hideMark/>
          </w:tcPr>
          <w:p w14:paraId="716795B7"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Impact of a breastfeeding-friendly workplace on an employed mother's intention to continue breastfeeding after returning to work</w:t>
            </w:r>
          </w:p>
        </w:tc>
        <w:tc>
          <w:tcPr>
            <w:tcW w:w="1510" w:type="dxa"/>
            <w:shd w:val="clear" w:color="auto" w:fill="auto"/>
            <w:hideMark/>
          </w:tcPr>
          <w:p w14:paraId="2DE78239"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Breastfeeding Medicine</w:t>
            </w:r>
          </w:p>
        </w:tc>
        <w:tc>
          <w:tcPr>
            <w:tcW w:w="1341" w:type="dxa"/>
            <w:shd w:val="clear" w:color="auto" w:fill="auto"/>
            <w:hideMark/>
          </w:tcPr>
          <w:p w14:paraId="257B8393"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 xml:space="preserve">Cross-sectional study </w:t>
            </w:r>
          </w:p>
        </w:tc>
        <w:tc>
          <w:tcPr>
            <w:tcW w:w="2173" w:type="dxa"/>
            <w:shd w:val="clear" w:color="auto" w:fill="auto"/>
            <w:hideMark/>
          </w:tcPr>
          <w:p w14:paraId="0E73611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715 working mothers.</w:t>
            </w:r>
          </w:p>
        </w:tc>
        <w:tc>
          <w:tcPr>
            <w:tcW w:w="2266" w:type="dxa"/>
            <w:shd w:val="clear" w:color="auto" w:fill="auto"/>
            <w:hideMark/>
          </w:tcPr>
          <w:p w14:paraId="7B607C27" w14:textId="77777777" w:rsidR="00BE4ECD" w:rsidRPr="00650150" w:rsidRDefault="00BE4ECD" w:rsidP="00E564C0">
            <w:pPr>
              <w:rPr>
                <w:rFonts w:ascii="Times New Roman" w:eastAsia="Times New Roman" w:hAnsi="Times New Roman" w:cs="Times New Roman"/>
                <w:sz w:val="20"/>
                <w:szCs w:val="20"/>
                <w:lang w:val="en-US"/>
              </w:rPr>
            </w:pPr>
            <w:r w:rsidRPr="00650150">
              <w:rPr>
                <w:rFonts w:ascii="Times New Roman" w:eastAsia="Times New Roman" w:hAnsi="Times New Roman" w:cs="Times New Roman"/>
                <w:sz w:val="20"/>
                <w:szCs w:val="20"/>
                <w:lang w:val="en-US"/>
              </w:rPr>
              <w:t xml:space="preserve">Results underline that a higher education level (OR = 2.66), lower workload (8 work hours/day) (OR = 2.66), lactation room with dedicated space (OR = 2.38), use of breast pumping breaks (OR = 61.6), and encouragement from colleagues (OR = 2.78) and supervisors (OR </w:t>
            </w:r>
            <w:r w:rsidRPr="00650150">
              <w:rPr>
                <w:rFonts w:ascii="Times New Roman" w:eastAsia="Times New Roman" w:hAnsi="Times New Roman" w:cs="Times New Roman"/>
                <w:sz w:val="20"/>
                <w:szCs w:val="20"/>
                <w:lang w:val="en-US"/>
              </w:rPr>
              <w:lastRenderedPageBreak/>
              <w:t>= 2.44) to use breast pumping breaks were significant predictors of continued breastfeeding for more than 6 months after returning to work.</w:t>
            </w:r>
          </w:p>
        </w:tc>
        <w:tc>
          <w:tcPr>
            <w:tcW w:w="1699" w:type="dxa"/>
            <w:shd w:val="clear" w:color="auto" w:fill="auto"/>
            <w:hideMark/>
          </w:tcPr>
          <w:p w14:paraId="3F87EB57"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lastRenderedPageBreak/>
              <w:t>Ad hoc questionnaires</w:t>
            </w:r>
          </w:p>
        </w:tc>
        <w:tc>
          <w:tcPr>
            <w:tcW w:w="1068" w:type="dxa"/>
            <w:shd w:val="clear" w:color="auto" w:fill="auto"/>
            <w:hideMark/>
          </w:tcPr>
          <w:p w14:paraId="5C5C3628" w14:textId="77777777" w:rsidR="00BE4ECD" w:rsidRPr="00650150" w:rsidRDefault="00BE4ECD" w:rsidP="00E564C0">
            <w:pPr>
              <w:rPr>
                <w:rFonts w:ascii="Times New Roman" w:eastAsia="Times New Roman" w:hAnsi="Times New Roman" w:cs="Times New Roman"/>
                <w:sz w:val="20"/>
                <w:szCs w:val="20"/>
              </w:rPr>
            </w:pPr>
            <w:r w:rsidRPr="00650150">
              <w:rPr>
                <w:rFonts w:ascii="Times New Roman" w:eastAsia="Times New Roman" w:hAnsi="Times New Roman" w:cs="Times New Roman"/>
                <w:sz w:val="20"/>
                <w:szCs w:val="20"/>
              </w:rPr>
              <w:t>Taiwan</w:t>
            </w:r>
          </w:p>
        </w:tc>
      </w:tr>
    </w:tbl>
    <w:p w14:paraId="1F450C51" w14:textId="77777777" w:rsidR="00BE4ECD" w:rsidRPr="00BE4ECD" w:rsidRDefault="00BE4ECD" w:rsidP="00BE4ECD">
      <w:pPr>
        <w:rPr>
          <w:rFonts w:ascii="Times New Roman" w:hAnsi="Times New Roman" w:cs="Times New Roman"/>
        </w:rPr>
      </w:pPr>
    </w:p>
    <w:p w14:paraId="7D88B779" w14:textId="77777777" w:rsidR="00BE4ECD" w:rsidRPr="00BE4ECD" w:rsidRDefault="00BE4ECD">
      <w:pPr>
        <w:rPr>
          <w:rFonts w:ascii="Times New Roman" w:hAnsi="Times New Roman" w:cs="Times New Roman"/>
          <w:sz w:val="20"/>
          <w:szCs w:val="20"/>
          <w:lang w:val="en-US"/>
        </w:rPr>
      </w:pPr>
    </w:p>
    <w:p w14:paraId="1A3A9E2A" w14:textId="77777777" w:rsidR="00BE4ECD" w:rsidRPr="00BE4ECD" w:rsidRDefault="00BE4ECD">
      <w:pPr>
        <w:rPr>
          <w:rFonts w:ascii="Times New Roman" w:hAnsi="Times New Roman" w:cs="Times New Roman"/>
          <w:sz w:val="20"/>
          <w:szCs w:val="20"/>
          <w:lang w:val="en-US"/>
        </w:rPr>
      </w:pPr>
    </w:p>
    <w:p w14:paraId="066EDAF2" w14:textId="77777777" w:rsidR="00BE4ECD" w:rsidRPr="00BE4ECD" w:rsidRDefault="00BE4ECD">
      <w:pPr>
        <w:rPr>
          <w:rFonts w:ascii="Times New Roman" w:hAnsi="Times New Roman" w:cs="Times New Roman"/>
          <w:sz w:val="20"/>
          <w:szCs w:val="20"/>
          <w:lang w:val="en-US"/>
        </w:rPr>
      </w:pPr>
    </w:p>
    <w:p w14:paraId="62006AB4" w14:textId="55D278BD" w:rsidR="00BE4ECD" w:rsidRPr="00BE4ECD" w:rsidRDefault="00BE4ECD">
      <w:pPr>
        <w:rPr>
          <w:rFonts w:ascii="Times New Roman" w:hAnsi="Times New Roman" w:cs="Times New Roman"/>
          <w:sz w:val="20"/>
          <w:szCs w:val="20"/>
          <w:lang w:val="en-US"/>
        </w:rPr>
      </w:pPr>
      <w:r w:rsidRPr="00BE4ECD">
        <w:rPr>
          <w:rFonts w:ascii="Times New Roman" w:hAnsi="Times New Roman" w:cs="Times New Roman"/>
          <w:sz w:val="20"/>
          <w:szCs w:val="20"/>
          <w:lang w:val="en-US"/>
        </w:rPr>
        <w:br w:type="page"/>
      </w:r>
    </w:p>
    <w:p w14:paraId="3A7B6D48" w14:textId="69D53BBF" w:rsidR="00BE4ECD" w:rsidRPr="00B74BD6" w:rsidRDefault="00BE4ECD">
      <w:pPr>
        <w:rPr>
          <w:rFonts w:ascii="Times New Roman" w:hAnsi="Times New Roman" w:cs="Times New Roman"/>
          <w:b/>
          <w:bCs/>
          <w:sz w:val="20"/>
          <w:szCs w:val="20"/>
          <w:lang w:val="en-US"/>
        </w:rPr>
      </w:pPr>
      <w:r w:rsidRPr="00B74BD6">
        <w:rPr>
          <w:rFonts w:ascii="Times New Roman" w:hAnsi="Times New Roman" w:cs="Times New Roman"/>
          <w:b/>
          <w:bCs/>
          <w:sz w:val="20"/>
          <w:szCs w:val="20"/>
          <w:lang w:val="en-US"/>
        </w:rPr>
        <w:lastRenderedPageBreak/>
        <w:t>Table 2. Risk of Bias</w:t>
      </w:r>
    </w:p>
    <w:tbl>
      <w:tblPr>
        <w:tblW w:w="13580" w:type="dxa"/>
        <w:tblCellMar>
          <w:left w:w="70" w:type="dxa"/>
          <w:right w:w="70" w:type="dxa"/>
        </w:tblCellMar>
        <w:tblLook w:val="04A0" w:firstRow="1" w:lastRow="0" w:firstColumn="1" w:lastColumn="0" w:noHBand="0" w:noVBand="1"/>
      </w:tblPr>
      <w:tblGrid>
        <w:gridCol w:w="1120"/>
        <w:gridCol w:w="4580"/>
        <w:gridCol w:w="660"/>
        <w:gridCol w:w="660"/>
        <w:gridCol w:w="560"/>
        <w:gridCol w:w="640"/>
        <w:gridCol w:w="640"/>
        <w:gridCol w:w="580"/>
        <w:gridCol w:w="600"/>
        <w:gridCol w:w="540"/>
        <w:gridCol w:w="580"/>
        <w:gridCol w:w="600"/>
        <w:gridCol w:w="660"/>
        <w:gridCol w:w="1160"/>
      </w:tblGrid>
      <w:tr w:rsidR="00BE4ECD" w:rsidRPr="00BE4ECD" w14:paraId="2F6BEA15" w14:textId="77777777" w:rsidTr="00BE4ECD">
        <w:trPr>
          <w:trHeight w:val="320"/>
        </w:trPr>
        <w:tc>
          <w:tcPr>
            <w:tcW w:w="1120" w:type="dxa"/>
            <w:tcBorders>
              <w:top w:val="single" w:sz="8" w:space="0" w:color="auto"/>
              <w:left w:val="nil"/>
              <w:bottom w:val="nil"/>
              <w:right w:val="nil"/>
            </w:tcBorders>
            <w:shd w:val="clear" w:color="auto" w:fill="auto"/>
            <w:noWrap/>
            <w:vAlign w:val="center"/>
            <w:hideMark/>
          </w:tcPr>
          <w:p w14:paraId="1F9540D8" w14:textId="378E1D22" w:rsidR="00BE4ECD" w:rsidRPr="00BE4ECD" w:rsidRDefault="00BE4ECD" w:rsidP="00BE4ECD">
            <w:pPr>
              <w:rPr>
                <w:rFonts w:ascii="Times New Roman" w:eastAsia="Times New Roman" w:hAnsi="Times New Roman" w:cs="Times New Roman"/>
                <w:b/>
                <w:bCs/>
                <w:color w:val="000000"/>
                <w:kern w:val="0"/>
                <w:sz w:val="16"/>
                <w:szCs w:val="16"/>
                <w:lang w:val="en-US" w:eastAsia="it-IT"/>
                <w14:ligatures w14:val="none"/>
              </w:rPr>
            </w:pPr>
            <w:r w:rsidRPr="00BE4ECD">
              <w:rPr>
                <w:rFonts w:ascii="Times New Roman" w:eastAsia="Times New Roman" w:hAnsi="Times New Roman" w:cs="Times New Roman"/>
                <w:b/>
                <w:bCs/>
                <w:color w:val="000000"/>
                <w:kern w:val="0"/>
                <w:sz w:val="16"/>
                <w:szCs w:val="16"/>
                <w:lang w:val="en-US" w:eastAsia="it-IT"/>
                <w14:ligatures w14:val="none"/>
              </w:rPr>
              <w:t> </w:t>
            </w:r>
            <w:bookmarkEnd w:id="0"/>
          </w:p>
        </w:tc>
        <w:tc>
          <w:tcPr>
            <w:tcW w:w="4580" w:type="dxa"/>
            <w:tcBorders>
              <w:top w:val="single" w:sz="8" w:space="0" w:color="auto"/>
              <w:left w:val="nil"/>
              <w:bottom w:val="nil"/>
              <w:right w:val="nil"/>
            </w:tcBorders>
            <w:shd w:val="clear" w:color="auto" w:fill="auto"/>
            <w:vAlign w:val="center"/>
            <w:hideMark/>
          </w:tcPr>
          <w:p w14:paraId="3BE55B89" w14:textId="77777777" w:rsidR="00BE4ECD" w:rsidRPr="00BE4ECD" w:rsidRDefault="00BE4ECD" w:rsidP="00BE4ECD">
            <w:pPr>
              <w:rPr>
                <w:rFonts w:ascii="Times New Roman" w:eastAsia="Times New Roman" w:hAnsi="Times New Roman" w:cs="Times New Roman"/>
                <w:b/>
                <w:bCs/>
                <w:color w:val="000000"/>
                <w:kern w:val="0"/>
                <w:sz w:val="18"/>
                <w:szCs w:val="18"/>
                <w:lang w:eastAsia="it-IT"/>
                <w14:ligatures w14:val="none"/>
              </w:rPr>
            </w:pPr>
            <w:r w:rsidRPr="00BE4ECD">
              <w:rPr>
                <w:rFonts w:ascii="Times New Roman" w:eastAsia="Times New Roman" w:hAnsi="Times New Roman" w:cs="Times New Roman"/>
                <w:b/>
                <w:bCs/>
                <w:color w:val="000000"/>
                <w:kern w:val="0"/>
                <w:sz w:val="18"/>
                <w:szCs w:val="18"/>
                <w:lang w:eastAsia="it-IT"/>
                <w14:ligatures w14:val="none"/>
              </w:rPr>
              <w:t>Authors</w:t>
            </w:r>
          </w:p>
        </w:tc>
        <w:tc>
          <w:tcPr>
            <w:tcW w:w="660" w:type="dxa"/>
            <w:tcBorders>
              <w:top w:val="single" w:sz="8" w:space="0" w:color="auto"/>
              <w:left w:val="nil"/>
              <w:bottom w:val="nil"/>
              <w:right w:val="nil"/>
            </w:tcBorders>
            <w:shd w:val="clear" w:color="auto" w:fill="auto"/>
            <w:vAlign w:val="center"/>
            <w:hideMark/>
          </w:tcPr>
          <w:p w14:paraId="68F57208" w14:textId="77777777" w:rsidR="00BE4ECD" w:rsidRPr="00BE4ECD" w:rsidRDefault="00BE4ECD" w:rsidP="00BE4ECD">
            <w:pPr>
              <w:rPr>
                <w:rFonts w:ascii="Times New Roman" w:eastAsia="Times New Roman" w:hAnsi="Times New Roman" w:cs="Times New Roman"/>
                <w:b/>
                <w:bCs/>
                <w:color w:val="000000"/>
                <w:kern w:val="0"/>
                <w:sz w:val="16"/>
                <w:szCs w:val="16"/>
                <w:lang w:eastAsia="it-IT"/>
                <w14:ligatures w14:val="none"/>
              </w:rPr>
            </w:pPr>
            <w:r w:rsidRPr="00BE4ECD">
              <w:rPr>
                <w:rFonts w:ascii="Times New Roman" w:eastAsia="Times New Roman" w:hAnsi="Times New Roman" w:cs="Times New Roman"/>
                <w:b/>
                <w:bCs/>
                <w:color w:val="000000"/>
                <w:kern w:val="0"/>
                <w:sz w:val="16"/>
                <w:szCs w:val="16"/>
                <w:lang w:eastAsia="it-IT"/>
                <w14:ligatures w14:val="none"/>
              </w:rPr>
              <w:t xml:space="preserve">Item 1 </w:t>
            </w:r>
          </w:p>
        </w:tc>
        <w:tc>
          <w:tcPr>
            <w:tcW w:w="660" w:type="dxa"/>
            <w:tcBorders>
              <w:top w:val="single" w:sz="8" w:space="0" w:color="auto"/>
              <w:left w:val="nil"/>
              <w:bottom w:val="nil"/>
              <w:right w:val="nil"/>
            </w:tcBorders>
            <w:shd w:val="clear" w:color="auto" w:fill="auto"/>
            <w:vAlign w:val="center"/>
            <w:hideMark/>
          </w:tcPr>
          <w:p w14:paraId="2B247FE3" w14:textId="77777777" w:rsidR="00BE4ECD" w:rsidRPr="00BE4ECD" w:rsidRDefault="00BE4ECD" w:rsidP="00BE4ECD">
            <w:pPr>
              <w:rPr>
                <w:rFonts w:ascii="Times New Roman" w:eastAsia="Times New Roman" w:hAnsi="Times New Roman" w:cs="Times New Roman"/>
                <w:b/>
                <w:bCs/>
                <w:color w:val="000000"/>
                <w:kern w:val="0"/>
                <w:sz w:val="16"/>
                <w:szCs w:val="16"/>
                <w:lang w:eastAsia="it-IT"/>
                <w14:ligatures w14:val="none"/>
              </w:rPr>
            </w:pPr>
            <w:r w:rsidRPr="00BE4ECD">
              <w:rPr>
                <w:rFonts w:ascii="Times New Roman" w:eastAsia="Times New Roman" w:hAnsi="Times New Roman" w:cs="Times New Roman"/>
                <w:b/>
                <w:bCs/>
                <w:color w:val="000000"/>
                <w:kern w:val="0"/>
                <w:sz w:val="16"/>
                <w:szCs w:val="16"/>
                <w:lang w:eastAsia="it-IT"/>
                <w14:ligatures w14:val="none"/>
              </w:rPr>
              <w:t xml:space="preserve">Item 2 </w:t>
            </w:r>
          </w:p>
        </w:tc>
        <w:tc>
          <w:tcPr>
            <w:tcW w:w="560" w:type="dxa"/>
            <w:tcBorders>
              <w:top w:val="single" w:sz="8" w:space="0" w:color="auto"/>
              <w:left w:val="nil"/>
              <w:bottom w:val="nil"/>
              <w:right w:val="nil"/>
            </w:tcBorders>
            <w:shd w:val="clear" w:color="auto" w:fill="auto"/>
            <w:vAlign w:val="center"/>
            <w:hideMark/>
          </w:tcPr>
          <w:p w14:paraId="324AFF48" w14:textId="77777777" w:rsidR="00BE4ECD" w:rsidRPr="00BE4ECD" w:rsidRDefault="00BE4ECD" w:rsidP="00BE4ECD">
            <w:pPr>
              <w:rPr>
                <w:rFonts w:ascii="Times New Roman" w:eastAsia="Times New Roman" w:hAnsi="Times New Roman" w:cs="Times New Roman"/>
                <w:b/>
                <w:bCs/>
                <w:color w:val="000000"/>
                <w:kern w:val="0"/>
                <w:sz w:val="16"/>
                <w:szCs w:val="16"/>
                <w:lang w:eastAsia="it-IT"/>
                <w14:ligatures w14:val="none"/>
              </w:rPr>
            </w:pPr>
            <w:r w:rsidRPr="00BE4ECD">
              <w:rPr>
                <w:rFonts w:ascii="Times New Roman" w:eastAsia="Times New Roman" w:hAnsi="Times New Roman" w:cs="Times New Roman"/>
                <w:b/>
                <w:bCs/>
                <w:color w:val="000000"/>
                <w:kern w:val="0"/>
                <w:sz w:val="16"/>
                <w:szCs w:val="16"/>
                <w:lang w:eastAsia="it-IT"/>
                <w14:ligatures w14:val="none"/>
              </w:rPr>
              <w:t>Item 3</w:t>
            </w:r>
          </w:p>
        </w:tc>
        <w:tc>
          <w:tcPr>
            <w:tcW w:w="640" w:type="dxa"/>
            <w:tcBorders>
              <w:top w:val="single" w:sz="8" w:space="0" w:color="auto"/>
              <w:left w:val="nil"/>
              <w:bottom w:val="nil"/>
              <w:right w:val="nil"/>
            </w:tcBorders>
            <w:shd w:val="clear" w:color="auto" w:fill="auto"/>
            <w:vAlign w:val="center"/>
            <w:hideMark/>
          </w:tcPr>
          <w:p w14:paraId="02304281" w14:textId="77777777" w:rsidR="00BE4ECD" w:rsidRPr="00BE4ECD" w:rsidRDefault="00BE4ECD" w:rsidP="00BE4ECD">
            <w:pPr>
              <w:rPr>
                <w:rFonts w:ascii="Times New Roman" w:eastAsia="Times New Roman" w:hAnsi="Times New Roman" w:cs="Times New Roman"/>
                <w:b/>
                <w:bCs/>
                <w:color w:val="000000"/>
                <w:kern w:val="0"/>
                <w:sz w:val="16"/>
                <w:szCs w:val="16"/>
                <w:lang w:eastAsia="it-IT"/>
                <w14:ligatures w14:val="none"/>
              </w:rPr>
            </w:pPr>
            <w:r w:rsidRPr="00BE4ECD">
              <w:rPr>
                <w:rFonts w:ascii="Times New Roman" w:eastAsia="Times New Roman" w:hAnsi="Times New Roman" w:cs="Times New Roman"/>
                <w:b/>
                <w:bCs/>
                <w:color w:val="000000"/>
                <w:kern w:val="0"/>
                <w:sz w:val="16"/>
                <w:szCs w:val="16"/>
                <w:lang w:eastAsia="it-IT"/>
                <w14:ligatures w14:val="none"/>
              </w:rPr>
              <w:t>Item 4</w:t>
            </w:r>
          </w:p>
        </w:tc>
        <w:tc>
          <w:tcPr>
            <w:tcW w:w="640" w:type="dxa"/>
            <w:tcBorders>
              <w:top w:val="single" w:sz="8" w:space="0" w:color="auto"/>
              <w:left w:val="nil"/>
              <w:bottom w:val="nil"/>
              <w:right w:val="nil"/>
            </w:tcBorders>
            <w:shd w:val="clear" w:color="auto" w:fill="auto"/>
            <w:vAlign w:val="center"/>
            <w:hideMark/>
          </w:tcPr>
          <w:p w14:paraId="1073FE12" w14:textId="77777777" w:rsidR="00BE4ECD" w:rsidRPr="00BE4ECD" w:rsidRDefault="00BE4ECD" w:rsidP="00BE4ECD">
            <w:pPr>
              <w:rPr>
                <w:rFonts w:ascii="Times New Roman" w:eastAsia="Times New Roman" w:hAnsi="Times New Roman" w:cs="Times New Roman"/>
                <w:b/>
                <w:bCs/>
                <w:color w:val="000000"/>
                <w:kern w:val="0"/>
                <w:sz w:val="16"/>
                <w:szCs w:val="16"/>
                <w:lang w:eastAsia="it-IT"/>
                <w14:ligatures w14:val="none"/>
              </w:rPr>
            </w:pPr>
            <w:r w:rsidRPr="00BE4ECD">
              <w:rPr>
                <w:rFonts w:ascii="Times New Roman" w:eastAsia="Times New Roman" w:hAnsi="Times New Roman" w:cs="Times New Roman"/>
                <w:b/>
                <w:bCs/>
                <w:color w:val="000000"/>
                <w:kern w:val="0"/>
                <w:sz w:val="16"/>
                <w:szCs w:val="16"/>
                <w:lang w:eastAsia="it-IT"/>
                <w14:ligatures w14:val="none"/>
              </w:rPr>
              <w:t>Item 5</w:t>
            </w:r>
          </w:p>
        </w:tc>
        <w:tc>
          <w:tcPr>
            <w:tcW w:w="580" w:type="dxa"/>
            <w:tcBorders>
              <w:top w:val="single" w:sz="8" w:space="0" w:color="auto"/>
              <w:left w:val="nil"/>
              <w:bottom w:val="nil"/>
              <w:right w:val="nil"/>
            </w:tcBorders>
            <w:shd w:val="clear" w:color="auto" w:fill="auto"/>
            <w:vAlign w:val="center"/>
            <w:hideMark/>
          </w:tcPr>
          <w:p w14:paraId="4CE6BCA7" w14:textId="77777777" w:rsidR="00BE4ECD" w:rsidRPr="00BE4ECD" w:rsidRDefault="00BE4ECD" w:rsidP="00BE4ECD">
            <w:pPr>
              <w:rPr>
                <w:rFonts w:ascii="Times New Roman" w:eastAsia="Times New Roman" w:hAnsi="Times New Roman" w:cs="Times New Roman"/>
                <w:b/>
                <w:bCs/>
                <w:color w:val="000000"/>
                <w:kern w:val="0"/>
                <w:sz w:val="16"/>
                <w:szCs w:val="16"/>
                <w:lang w:eastAsia="it-IT"/>
                <w14:ligatures w14:val="none"/>
              </w:rPr>
            </w:pPr>
            <w:r w:rsidRPr="00BE4ECD">
              <w:rPr>
                <w:rFonts w:ascii="Times New Roman" w:eastAsia="Times New Roman" w:hAnsi="Times New Roman" w:cs="Times New Roman"/>
                <w:b/>
                <w:bCs/>
                <w:color w:val="000000"/>
                <w:kern w:val="0"/>
                <w:sz w:val="16"/>
                <w:szCs w:val="16"/>
                <w:lang w:eastAsia="it-IT"/>
                <w14:ligatures w14:val="none"/>
              </w:rPr>
              <w:t>Item 6</w:t>
            </w:r>
          </w:p>
        </w:tc>
        <w:tc>
          <w:tcPr>
            <w:tcW w:w="600" w:type="dxa"/>
            <w:tcBorders>
              <w:top w:val="single" w:sz="8" w:space="0" w:color="auto"/>
              <w:left w:val="nil"/>
              <w:bottom w:val="nil"/>
              <w:right w:val="nil"/>
            </w:tcBorders>
            <w:shd w:val="clear" w:color="auto" w:fill="auto"/>
            <w:vAlign w:val="center"/>
            <w:hideMark/>
          </w:tcPr>
          <w:p w14:paraId="4AE0216B" w14:textId="77777777" w:rsidR="00BE4ECD" w:rsidRPr="00BE4ECD" w:rsidRDefault="00BE4ECD" w:rsidP="00BE4ECD">
            <w:pPr>
              <w:rPr>
                <w:rFonts w:ascii="Times New Roman" w:eastAsia="Times New Roman" w:hAnsi="Times New Roman" w:cs="Times New Roman"/>
                <w:b/>
                <w:bCs/>
                <w:color w:val="000000"/>
                <w:kern w:val="0"/>
                <w:sz w:val="16"/>
                <w:szCs w:val="16"/>
                <w:lang w:eastAsia="it-IT"/>
                <w14:ligatures w14:val="none"/>
              </w:rPr>
            </w:pPr>
            <w:r w:rsidRPr="00BE4ECD">
              <w:rPr>
                <w:rFonts w:ascii="Times New Roman" w:eastAsia="Times New Roman" w:hAnsi="Times New Roman" w:cs="Times New Roman"/>
                <w:b/>
                <w:bCs/>
                <w:color w:val="000000"/>
                <w:kern w:val="0"/>
                <w:sz w:val="16"/>
                <w:szCs w:val="16"/>
                <w:lang w:eastAsia="it-IT"/>
                <w14:ligatures w14:val="none"/>
              </w:rPr>
              <w:t>Item 7</w:t>
            </w:r>
          </w:p>
        </w:tc>
        <w:tc>
          <w:tcPr>
            <w:tcW w:w="540" w:type="dxa"/>
            <w:tcBorders>
              <w:top w:val="single" w:sz="8" w:space="0" w:color="auto"/>
              <w:left w:val="nil"/>
              <w:bottom w:val="nil"/>
              <w:right w:val="nil"/>
            </w:tcBorders>
            <w:shd w:val="clear" w:color="auto" w:fill="auto"/>
            <w:vAlign w:val="center"/>
            <w:hideMark/>
          </w:tcPr>
          <w:p w14:paraId="136EDC0B" w14:textId="77777777" w:rsidR="00BE4ECD" w:rsidRPr="00BE4ECD" w:rsidRDefault="00BE4ECD" w:rsidP="00BE4ECD">
            <w:pPr>
              <w:rPr>
                <w:rFonts w:ascii="Times New Roman" w:eastAsia="Times New Roman" w:hAnsi="Times New Roman" w:cs="Times New Roman"/>
                <w:b/>
                <w:bCs/>
                <w:color w:val="000000"/>
                <w:kern w:val="0"/>
                <w:sz w:val="16"/>
                <w:szCs w:val="16"/>
                <w:lang w:eastAsia="it-IT"/>
                <w14:ligatures w14:val="none"/>
              </w:rPr>
            </w:pPr>
            <w:r w:rsidRPr="00BE4ECD">
              <w:rPr>
                <w:rFonts w:ascii="Times New Roman" w:eastAsia="Times New Roman" w:hAnsi="Times New Roman" w:cs="Times New Roman"/>
                <w:b/>
                <w:bCs/>
                <w:color w:val="000000"/>
                <w:kern w:val="0"/>
                <w:sz w:val="16"/>
                <w:szCs w:val="16"/>
                <w:lang w:eastAsia="it-IT"/>
                <w14:ligatures w14:val="none"/>
              </w:rPr>
              <w:t>Item 8</w:t>
            </w:r>
          </w:p>
        </w:tc>
        <w:tc>
          <w:tcPr>
            <w:tcW w:w="580" w:type="dxa"/>
            <w:tcBorders>
              <w:top w:val="single" w:sz="8" w:space="0" w:color="auto"/>
              <w:left w:val="nil"/>
              <w:bottom w:val="nil"/>
              <w:right w:val="nil"/>
            </w:tcBorders>
            <w:shd w:val="clear" w:color="auto" w:fill="auto"/>
            <w:vAlign w:val="center"/>
            <w:hideMark/>
          </w:tcPr>
          <w:p w14:paraId="1EFC4121" w14:textId="77777777" w:rsidR="00BE4ECD" w:rsidRPr="00BE4ECD" w:rsidRDefault="00BE4ECD" w:rsidP="00BE4ECD">
            <w:pPr>
              <w:rPr>
                <w:rFonts w:ascii="Times New Roman" w:eastAsia="Times New Roman" w:hAnsi="Times New Roman" w:cs="Times New Roman"/>
                <w:b/>
                <w:bCs/>
                <w:color w:val="000000"/>
                <w:kern w:val="0"/>
                <w:sz w:val="16"/>
                <w:szCs w:val="16"/>
                <w:lang w:eastAsia="it-IT"/>
                <w14:ligatures w14:val="none"/>
              </w:rPr>
            </w:pPr>
            <w:r w:rsidRPr="00BE4ECD">
              <w:rPr>
                <w:rFonts w:ascii="Times New Roman" w:eastAsia="Times New Roman" w:hAnsi="Times New Roman" w:cs="Times New Roman"/>
                <w:b/>
                <w:bCs/>
                <w:color w:val="000000"/>
                <w:kern w:val="0"/>
                <w:sz w:val="16"/>
                <w:szCs w:val="16"/>
                <w:lang w:eastAsia="it-IT"/>
                <w14:ligatures w14:val="none"/>
              </w:rPr>
              <w:t>Item 9</w:t>
            </w:r>
          </w:p>
        </w:tc>
        <w:tc>
          <w:tcPr>
            <w:tcW w:w="600" w:type="dxa"/>
            <w:tcBorders>
              <w:top w:val="single" w:sz="8" w:space="0" w:color="auto"/>
              <w:left w:val="nil"/>
              <w:bottom w:val="nil"/>
              <w:right w:val="nil"/>
            </w:tcBorders>
            <w:shd w:val="clear" w:color="auto" w:fill="auto"/>
            <w:vAlign w:val="center"/>
            <w:hideMark/>
          </w:tcPr>
          <w:p w14:paraId="4E5B4C21" w14:textId="77777777" w:rsidR="00BE4ECD" w:rsidRPr="00BE4ECD" w:rsidRDefault="00BE4ECD" w:rsidP="00BE4ECD">
            <w:pPr>
              <w:rPr>
                <w:rFonts w:ascii="Times New Roman" w:eastAsia="Times New Roman" w:hAnsi="Times New Roman" w:cs="Times New Roman"/>
                <w:b/>
                <w:bCs/>
                <w:color w:val="000000"/>
                <w:kern w:val="0"/>
                <w:sz w:val="16"/>
                <w:szCs w:val="16"/>
                <w:lang w:eastAsia="it-IT"/>
                <w14:ligatures w14:val="none"/>
              </w:rPr>
            </w:pPr>
            <w:r w:rsidRPr="00BE4ECD">
              <w:rPr>
                <w:rFonts w:ascii="Times New Roman" w:eastAsia="Times New Roman" w:hAnsi="Times New Roman" w:cs="Times New Roman"/>
                <w:b/>
                <w:bCs/>
                <w:color w:val="000000"/>
                <w:kern w:val="0"/>
                <w:sz w:val="16"/>
                <w:szCs w:val="16"/>
                <w:lang w:eastAsia="it-IT"/>
                <w14:ligatures w14:val="none"/>
              </w:rPr>
              <w:t>Item 10</w:t>
            </w:r>
          </w:p>
        </w:tc>
        <w:tc>
          <w:tcPr>
            <w:tcW w:w="660" w:type="dxa"/>
            <w:tcBorders>
              <w:top w:val="single" w:sz="8" w:space="0" w:color="auto"/>
              <w:left w:val="nil"/>
              <w:bottom w:val="nil"/>
              <w:right w:val="nil"/>
            </w:tcBorders>
            <w:shd w:val="clear" w:color="auto" w:fill="auto"/>
            <w:vAlign w:val="center"/>
            <w:hideMark/>
          </w:tcPr>
          <w:p w14:paraId="1F847039" w14:textId="77777777" w:rsidR="00BE4ECD" w:rsidRPr="00BE4ECD" w:rsidRDefault="00BE4ECD" w:rsidP="00BE4ECD">
            <w:pPr>
              <w:rPr>
                <w:rFonts w:ascii="Times New Roman" w:eastAsia="Times New Roman" w:hAnsi="Times New Roman" w:cs="Times New Roman"/>
                <w:b/>
                <w:bCs/>
                <w:color w:val="000000"/>
                <w:kern w:val="0"/>
                <w:sz w:val="16"/>
                <w:szCs w:val="16"/>
                <w:lang w:eastAsia="it-IT"/>
                <w14:ligatures w14:val="none"/>
              </w:rPr>
            </w:pPr>
            <w:r w:rsidRPr="00BE4ECD">
              <w:rPr>
                <w:rFonts w:ascii="Times New Roman" w:eastAsia="Times New Roman" w:hAnsi="Times New Roman" w:cs="Times New Roman"/>
                <w:b/>
                <w:bCs/>
                <w:color w:val="000000"/>
                <w:kern w:val="0"/>
                <w:sz w:val="16"/>
                <w:szCs w:val="16"/>
                <w:lang w:eastAsia="it-IT"/>
                <w14:ligatures w14:val="none"/>
              </w:rPr>
              <w:t>Item 11</w:t>
            </w:r>
          </w:p>
        </w:tc>
        <w:tc>
          <w:tcPr>
            <w:tcW w:w="1160" w:type="dxa"/>
            <w:tcBorders>
              <w:top w:val="single" w:sz="8" w:space="0" w:color="auto"/>
              <w:left w:val="nil"/>
              <w:bottom w:val="nil"/>
              <w:right w:val="nil"/>
            </w:tcBorders>
            <w:shd w:val="clear" w:color="auto" w:fill="auto"/>
            <w:vAlign w:val="center"/>
            <w:hideMark/>
          </w:tcPr>
          <w:p w14:paraId="36D1F334" w14:textId="77777777" w:rsidR="00BE4ECD" w:rsidRPr="00BE4ECD" w:rsidRDefault="00BE4ECD" w:rsidP="00BE4ECD">
            <w:pPr>
              <w:rPr>
                <w:rFonts w:ascii="Times New Roman" w:eastAsia="Times New Roman" w:hAnsi="Times New Roman" w:cs="Times New Roman"/>
                <w:b/>
                <w:bCs/>
                <w:color w:val="000000"/>
                <w:kern w:val="0"/>
                <w:sz w:val="16"/>
                <w:szCs w:val="16"/>
                <w:lang w:eastAsia="it-IT"/>
                <w14:ligatures w14:val="none"/>
              </w:rPr>
            </w:pPr>
            <w:r w:rsidRPr="00BE4ECD">
              <w:rPr>
                <w:rFonts w:ascii="Times New Roman" w:eastAsia="Times New Roman" w:hAnsi="Times New Roman" w:cs="Times New Roman"/>
                <w:b/>
                <w:bCs/>
                <w:color w:val="000000"/>
                <w:kern w:val="0"/>
                <w:sz w:val="16"/>
                <w:szCs w:val="16"/>
                <w:lang w:eastAsia="it-IT"/>
                <w14:ligatures w14:val="none"/>
              </w:rPr>
              <w:t>Risk of Bias</w:t>
            </w:r>
          </w:p>
        </w:tc>
      </w:tr>
      <w:tr w:rsidR="00BE4ECD" w:rsidRPr="00BE4ECD" w14:paraId="005F3C00" w14:textId="77777777" w:rsidTr="00BE4ECD">
        <w:trPr>
          <w:trHeight w:val="56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FF973" w14:textId="77777777" w:rsidR="00BE4ECD" w:rsidRPr="00BE4ECD" w:rsidRDefault="00BE4ECD" w:rsidP="00BE4ECD">
            <w:pPr>
              <w:rPr>
                <w:rFonts w:ascii="Times New Roman" w:eastAsia="Times New Roman" w:hAnsi="Times New Roman" w:cs="Times New Roman"/>
                <w:b/>
                <w:bCs/>
                <w:color w:val="000000"/>
                <w:kern w:val="0"/>
                <w:sz w:val="16"/>
                <w:szCs w:val="16"/>
                <w:lang w:eastAsia="it-IT"/>
                <w14:ligatures w14:val="none"/>
              </w:rPr>
            </w:pPr>
            <w:r w:rsidRPr="00BE4ECD">
              <w:rPr>
                <w:rFonts w:ascii="Times New Roman" w:eastAsia="Times New Roman" w:hAnsi="Times New Roman" w:cs="Times New Roman"/>
                <w:b/>
                <w:bCs/>
                <w:color w:val="000000"/>
                <w:kern w:val="0"/>
                <w:sz w:val="16"/>
                <w:szCs w:val="16"/>
                <w:lang w:eastAsia="it-IT"/>
                <w14:ligatures w14:val="none"/>
              </w:rPr>
              <w:t>Cross-sectional study</w:t>
            </w:r>
          </w:p>
        </w:tc>
        <w:tc>
          <w:tcPr>
            <w:tcW w:w="4580" w:type="dxa"/>
            <w:tcBorders>
              <w:top w:val="single" w:sz="4" w:space="0" w:color="auto"/>
              <w:left w:val="nil"/>
              <w:bottom w:val="single" w:sz="4" w:space="0" w:color="auto"/>
              <w:right w:val="single" w:sz="4" w:space="0" w:color="auto"/>
            </w:tcBorders>
            <w:shd w:val="clear" w:color="auto" w:fill="auto"/>
            <w:vAlign w:val="bottom"/>
            <w:hideMark/>
          </w:tcPr>
          <w:p w14:paraId="4C11981A"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Chen K.; Wei L.; Zhang Y.; Jiang W.; Wang J.; Pan Y. (2022)</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5A0509C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0E557D4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00B2C530"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14:paraId="65437A1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14:paraId="68B05C70"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14:paraId="50D718F1"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14:paraId="66E4B0B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6E5D1EA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single" w:sz="4" w:space="0" w:color="auto"/>
              <w:left w:val="nil"/>
              <w:bottom w:val="single" w:sz="4" w:space="0" w:color="auto"/>
              <w:right w:val="single" w:sz="4" w:space="0" w:color="auto"/>
            </w:tcBorders>
            <w:shd w:val="clear" w:color="000000" w:fill="AEAAAA"/>
            <w:vAlign w:val="center"/>
            <w:hideMark/>
          </w:tcPr>
          <w:p w14:paraId="056E886D"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single" w:sz="4" w:space="0" w:color="auto"/>
              <w:left w:val="nil"/>
              <w:bottom w:val="single" w:sz="4" w:space="0" w:color="auto"/>
              <w:right w:val="single" w:sz="4" w:space="0" w:color="auto"/>
            </w:tcBorders>
            <w:shd w:val="clear" w:color="000000" w:fill="AEAAAA"/>
            <w:vAlign w:val="center"/>
            <w:hideMark/>
          </w:tcPr>
          <w:p w14:paraId="7C746C46"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single" w:sz="4" w:space="0" w:color="auto"/>
              <w:left w:val="nil"/>
              <w:bottom w:val="single" w:sz="4" w:space="0" w:color="auto"/>
              <w:right w:val="single" w:sz="4" w:space="0" w:color="auto"/>
            </w:tcBorders>
            <w:shd w:val="clear" w:color="000000" w:fill="AEAAAA"/>
            <w:vAlign w:val="center"/>
            <w:hideMark/>
          </w:tcPr>
          <w:p w14:paraId="196ABFDB"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2F4EE2CA"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E4ECD" w14:paraId="26A702C8"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08D6C98"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2C8BDD96"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 xml:space="preserve">Jain S, Neaves S, Royston A, Huang I, Juengst SB. </w:t>
            </w:r>
            <w:r w:rsidRPr="00BE4ECD">
              <w:rPr>
                <w:rFonts w:ascii="Times New Roman" w:eastAsia="Times New Roman" w:hAnsi="Times New Roman" w:cs="Times New Roman"/>
                <w:color w:val="000000"/>
                <w:kern w:val="0"/>
                <w:sz w:val="18"/>
                <w:szCs w:val="18"/>
                <w:lang w:eastAsia="it-IT"/>
                <w14:ligatures w14:val="none"/>
              </w:rPr>
              <w:t>(2022)</w:t>
            </w:r>
          </w:p>
        </w:tc>
        <w:tc>
          <w:tcPr>
            <w:tcW w:w="660" w:type="dxa"/>
            <w:tcBorders>
              <w:top w:val="nil"/>
              <w:left w:val="nil"/>
              <w:bottom w:val="single" w:sz="4" w:space="0" w:color="auto"/>
              <w:right w:val="single" w:sz="4" w:space="0" w:color="auto"/>
            </w:tcBorders>
            <w:shd w:val="clear" w:color="auto" w:fill="auto"/>
            <w:noWrap/>
            <w:vAlign w:val="center"/>
            <w:hideMark/>
          </w:tcPr>
          <w:p w14:paraId="0CC0879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511EFD0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2CDEE15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D76DB7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53CDFB15"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20263DE8"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621A89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044ED69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5F8A6DC9"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5CA2B48D"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68F55AB7"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27A601FD"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457E92D2"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0226B26"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73758F5B"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Jiravisitkul P.; Thonginnetra S.; Kasemlawan N.; Suntharayuth T. (2022)</w:t>
            </w:r>
          </w:p>
        </w:tc>
        <w:tc>
          <w:tcPr>
            <w:tcW w:w="660" w:type="dxa"/>
            <w:tcBorders>
              <w:top w:val="nil"/>
              <w:left w:val="nil"/>
              <w:bottom w:val="single" w:sz="4" w:space="0" w:color="auto"/>
              <w:right w:val="single" w:sz="4" w:space="0" w:color="auto"/>
            </w:tcBorders>
            <w:shd w:val="clear" w:color="auto" w:fill="auto"/>
            <w:noWrap/>
            <w:vAlign w:val="center"/>
            <w:hideMark/>
          </w:tcPr>
          <w:p w14:paraId="00098E5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09A5A7CC"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332305F1"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61A7C4F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C3BF3EF"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230A02E6"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521DFAC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6329D01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56203C72"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2DBBCF8F"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19167B3E"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0E82A848"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1E6069C2"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3D352C4"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7D1ADFD3"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Tohme P, Abi-Habib R. (2022)</w:t>
            </w:r>
          </w:p>
        </w:tc>
        <w:tc>
          <w:tcPr>
            <w:tcW w:w="660" w:type="dxa"/>
            <w:tcBorders>
              <w:top w:val="nil"/>
              <w:left w:val="nil"/>
              <w:bottom w:val="single" w:sz="4" w:space="0" w:color="auto"/>
              <w:right w:val="single" w:sz="4" w:space="0" w:color="auto"/>
            </w:tcBorders>
            <w:shd w:val="clear" w:color="auto" w:fill="auto"/>
            <w:noWrap/>
            <w:vAlign w:val="center"/>
            <w:hideMark/>
          </w:tcPr>
          <w:p w14:paraId="0B098B7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0837A6E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5A0AA38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652FD04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6550428"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368D7BBA"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6CD0588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0FE0F13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43935B7F"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0729E2AB"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6CE97131"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52A8520C"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2901F5A3"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3C5F152"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0BC7B953"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Tsai S.-Y. (2022)</w:t>
            </w:r>
          </w:p>
        </w:tc>
        <w:tc>
          <w:tcPr>
            <w:tcW w:w="660" w:type="dxa"/>
            <w:tcBorders>
              <w:top w:val="nil"/>
              <w:left w:val="nil"/>
              <w:bottom w:val="single" w:sz="4" w:space="0" w:color="auto"/>
              <w:right w:val="single" w:sz="4" w:space="0" w:color="auto"/>
            </w:tcBorders>
            <w:shd w:val="clear" w:color="auto" w:fill="auto"/>
            <w:noWrap/>
            <w:vAlign w:val="center"/>
            <w:hideMark/>
          </w:tcPr>
          <w:p w14:paraId="081D533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680EF378"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209F3829"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173A302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2E55DE93"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2F486CCB"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088274D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0FC97F27"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401FB83C"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1BEBB110"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3BF46F6E"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2B63A6C7"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E4ECD" w14:paraId="746CE505" w14:textId="77777777" w:rsidTr="00BE4ECD">
        <w:trPr>
          <w:trHeight w:val="8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4B3943C8"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6EEA3A20"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Nguyen T.T.; Cashin J.; Tran H.T.T.; Vu D.H.; Nandi A.; Phan M.T.; Van N.D.C.; Weissman A.; Pham T.N.; Nguyen B.V.; Mathisen R. (2022)</w:t>
            </w:r>
          </w:p>
        </w:tc>
        <w:tc>
          <w:tcPr>
            <w:tcW w:w="660" w:type="dxa"/>
            <w:tcBorders>
              <w:top w:val="nil"/>
              <w:left w:val="nil"/>
              <w:bottom w:val="single" w:sz="4" w:space="0" w:color="auto"/>
              <w:right w:val="single" w:sz="4" w:space="0" w:color="auto"/>
            </w:tcBorders>
            <w:shd w:val="clear" w:color="auto" w:fill="auto"/>
            <w:noWrap/>
            <w:vAlign w:val="center"/>
            <w:hideMark/>
          </w:tcPr>
          <w:p w14:paraId="2AC4E21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5E22B85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7505D018"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B0D0C4C"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3E9DA8E2"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4164C7E2"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5255048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229B068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305578CD"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5A082690"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05BC5734"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256A2728"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6B464FBF" w14:textId="77777777" w:rsidTr="00BE4ECD">
        <w:trPr>
          <w:trHeight w:val="8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09AF990"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2464CFD2"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Ickes S.B.; Oddo V.M.; Sanders H.K.; Nduati R.; Denno D.M.; Myhre J.A.; Kinyua J.; Iannotti L.L.; Singa B.; Farquhar C.; Walson J.L. (2021)</w:t>
            </w:r>
          </w:p>
        </w:tc>
        <w:tc>
          <w:tcPr>
            <w:tcW w:w="660" w:type="dxa"/>
            <w:tcBorders>
              <w:top w:val="nil"/>
              <w:left w:val="nil"/>
              <w:bottom w:val="single" w:sz="4" w:space="0" w:color="auto"/>
              <w:right w:val="single" w:sz="4" w:space="0" w:color="auto"/>
            </w:tcBorders>
            <w:shd w:val="clear" w:color="auto" w:fill="auto"/>
            <w:noWrap/>
            <w:vAlign w:val="center"/>
            <w:hideMark/>
          </w:tcPr>
          <w:p w14:paraId="4A85823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7EE0F9B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17D84F0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605D655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A05763F"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3E963F34"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2503928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1518CFFC"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73EFBDF3"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4F571773"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5B2B8080"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2EED93A8"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204F27A1" w14:textId="77777777" w:rsidTr="00BE4ECD">
        <w:trPr>
          <w:trHeight w:val="8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36E49AD"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390D2BEB" w14:textId="34ADF1E0"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Butudom A.; McFarlin B.L.; Klima C.S.; Spatz D.L.; Kennelly J.F.; McCreary L.L.; Patil C.L.; Koenig M.D (202</w:t>
            </w:r>
            <w:r w:rsidR="00E5024C">
              <w:rPr>
                <w:rFonts w:ascii="Times New Roman" w:eastAsia="Times New Roman" w:hAnsi="Times New Roman" w:cs="Times New Roman"/>
                <w:color w:val="000000"/>
                <w:kern w:val="0"/>
                <w:sz w:val="18"/>
                <w:szCs w:val="18"/>
                <w:lang w:eastAsia="it-IT"/>
                <w14:ligatures w14:val="none"/>
              </w:rPr>
              <w:t>1</w:t>
            </w:r>
            <w:r w:rsidRPr="00BE4ECD">
              <w:rPr>
                <w:rFonts w:ascii="Times New Roman" w:eastAsia="Times New Roman" w:hAnsi="Times New Roman" w:cs="Times New Roman"/>
                <w:color w:val="000000"/>
                <w:kern w:val="0"/>
                <w:sz w:val="18"/>
                <w:szCs w:val="18"/>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495AA771"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35D6886C"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023C601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613E34E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2A81769E"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43B041F2"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5BDEC3B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0C08404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33964E4A"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284641B4"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2A53618C"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5BD1F274"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E4ECD" w14:paraId="3BBEB986" w14:textId="77777777" w:rsidTr="00BE4ECD">
        <w:trPr>
          <w:trHeight w:val="8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7B01D03"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5A55C78B"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Cervera-Gasch Á.; Mena-Tudela D.; Leon-Larios F.; Felip-Galvan N.; Rochdi-Lahniche S.; Andreu-Pejó L.; González-Chordá V.M. (2020)</w:t>
            </w:r>
          </w:p>
        </w:tc>
        <w:tc>
          <w:tcPr>
            <w:tcW w:w="660" w:type="dxa"/>
            <w:tcBorders>
              <w:top w:val="nil"/>
              <w:left w:val="nil"/>
              <w:bottom w:val="single" w:sz="4" w:space="0" w:color="auto"/>
              <w:right w:val="single" w:sz="4" w:space="0" w:color="auto"/>
            </w:tcBorders>
            <w:shd w:val="clear" w:color="auto" w:fill="auto"/>
            <w:noWrap/>
            <w:vAlign w:val="center"/>
            <w:hideMark/>
          </w:tcPr>
          <w:p w14:paraId="27D4F5F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2FECCFBC"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2AEA325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599312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10FF9C4F"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391C2ED5"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093D7AB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1698C5EC"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7DEDBE9B"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24B63247"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7CB38BE8"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0F0B3361"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2F61F13F"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EE026BE"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183B116E"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Falletta L.; Abbruzzese S.; Fischbein R.; Shura R.; Eng A.; Alemagno S. (2020)</w:t>
            </w:r>
          </w:p>
        </w:tc>
        <w:tc>
          <w:tcPr>
            <w:tcW w:w="660" w:type="dxa"/>
            <w:tcBorders>
              <w:top w:val="nil"/>
              <w:left w:val="nil"/>
              <w:bottom w:val="single" w:sz="4" w:space="0" w:color="auto"/>
              <w:right w:val="single" w:sz="4" w:space="0" w:color="auto"/>
            </w:tcBorders>
            <w:shd w:val="clear" w:color="auto" w:fill="auto"/>
            <w:noWrap/>
            <w:vAlign w:val="center"/>
            <w:hideMark/>
          </w:tcPr>
          <w:p w14:paraId="2D186A9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1CBE4DEB"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4BBFFE2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1F85C01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6927D6E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386B2E03"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02D0EC61"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2408FD1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07E10EA8"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5FFC0438"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623AB33B"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00FAC4F1"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4C5F2DA4"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B70D15B"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121C82BD"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 xml:space="preserve">Kebede T, Woldemichael K, Jarso H, Bekele BB. </w:t>
            </w:r>
            <w:r w:rsidRPr="00BE4ECD">
              <w:rPr>
                <w:rFonts w:ascii="Times New Roman" w:eastAsia="Times New Roman" w:hAnsi="Times New Roman" w:cs="Times New Roman"/>
                <w:color w:val="000000"/>
                <w:kern w:val="0"/>
                <w:sz w:val="18"/>
                <w:szCs w:val="18"/>
                <w:lang w:eastAsia="it-IT"/>
                <w14:ligatures w14:val="none"/>
              </w:rPr>
              <w:t>(2020)</w:t>
            </w:r>
          </w:p>
        </w:tc>
        <w:tc>
          <w:tcPr>
            <w:tcW w:w="660" w:type="dxa"/>
            <w:tcBorders>
              <w:top w:val="nil"/>
              <w:left w:val="nil"/>
              <w:bottom w:val="single" w:sz="4" w:space="0" w:color="auto"/>
              <w:right w:val="single" w:sz="4" w:space="0" w:color="auto"/>
            </w:tcBorders>
            <w:shd w:val="clear" w:color="auto" w:fill="auto"/>
            <w:noWrap/>
            <w:vAlign w:val="center"/>
            <w:hideMark/>
          </w:tcPr>
          <w:p w14:paraId="6AD0536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551C0F2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307E0D5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6ED2384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11C55FFF"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5C0084A3"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1AED5A9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1EB9835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4DEF64D6"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73FC383C"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2E06557A"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4409F094"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7675C8D1"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A66B82D"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lastRenderedPageBreak/>
              <w:t> </w:t>
            </w:r>
          </w:p>
        </w:tc>
        <w:tc>
          <w:tcPr>
            <w:tcW w:w="4580" w:type="dxa"/>
            <w:tcBorders>
              <w:top w:val="nil"/>
              <w:left w:val="nil"/>
              <w:bottom w:val="single" w:sz="4" w:space="0" w:color="auto"/>
              <w:right w:val="single" w:sz="4" w:space="0" w:color="auto"/>
            </w:tcBorders>
            <w:shd w:val="clear" w:color="auto" w:fill="auto"/>
            <w:vAlign w:val="bottom"/>
            <w:hideMark/>
          </w:tcPr>
          <w:p w14:paraId="51B4A11D"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Abou-Elwafa H.S.; El-Gilany A.-H. (2019)</w:t>
            </w:r>
          </w:p>
        </w:tc>
        <w:tc>
          <w:tcPr>
            <w:tcW w:w="660" w:type="dxa"/>
            <w:tcBorders>
              <w:top w:val="nil"/>
              <w:left w:val="nil"/>
              <w:bottom w:val="single" w:sz="4" w:space="0" w:color="auto"/>
              <w:right w:val="single" w:sz="4" w:space="0" w:color="auto"/>
            </w:tcBorders>
            <w:shd w:val="clear" w:color="auto" w:fill="auto"/>
            <w:noWrap/>
            <w:vAlign w:val="center"/>
            <w:hideMark/>
          </w:tcPr>
          <w:p w14:paraId="1995BEA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20C02D2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079180F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40C91D6"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2143BB5A"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3E7721DE"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B5B27F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731A667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56DA7ED5"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17409EDA"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251AD322"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11229333"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E4ECD" w14:paraId="75F29EE2" w14:textId="77777777" w:rsidTr="00BE4ECD">
        <w:trPr>
          <w:trHeight w:val="10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FA5EA19"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3B127169"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Gianni M.L.; Bettinelli M.E.; Manfra P.; Sorrentino G.; Bezze E.; Plevani L.; Cavallaro G.; Raffaeli G.; Crippa B.L.; Colombo L.; Morniroli D.; Liotto N.; Roggero P.; Villamor E.; Marchisio P.; Mosca F. (2019)</w:t>
            </w:r>
          </w:p>
        </w:tc>
        <w:tc>
          <w:tcPr>
            <w:tcW w:w="660" w:type="dxa"/>
            <w:tcBorders>
              <w:top w:val="nil"/>
              <w:left w:val="nil"/>
              <w:bottom w:val="single" w:sz="4" w:space="0" w:color="auto"/>
              <w:right w:val="single" w:sz="4" w:space="0" w:color="auto"/>
            </w:tcBorders>
            <w:shd w:val="clear" w:color="auto" w:fill="auto"/>
            <w:noWrap/>
            <w:vAlign w:val="center"/>
            <w:hideMark/>
          </w:tcPr>
          <w:p w14:paraId="4D95A90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018344B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23F111E1"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247AAF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4275F2D3"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41F14FE9"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61936D8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6FDD52E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18C2E5C7"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07F5C60F"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7ABBDADA"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13C7E03F"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6809A16A"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7C647AC"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0CB89031"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Juengst S.B.; Royston A.; Huang I.; Wright B. (2019)</w:t>
            </w:r>
          </w:p>
        </w:tc>
        <w:tc>
          <w:tcPr>
            <w:tcW w:w="660" w:type="dxa"/>
            <w:tcBorders>
              <w:top w:val="nil"/>
              <w:left w:val="nil"/>
              <w:bottom w:val="single" w:sz="4" w:space="0" w:color="auto"/>
              <w:right w:val="single" w:sz="4" w:space="0" w:color="auto"/>
            </w:tcBorders>
            <w:shd w:val="clear" w:color="auto" w:fill="auto"/>
            <w:noWrap/>
            <w:vAlign w:val="center"/>
            <w:hideMark/>
          </w:tcPr>
          <w:p w14:paraId="1F80614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1B207A1F"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47F9B9DF"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525C8C35"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437BB22F"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7B6F823F"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FE4AE88"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03089D28"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7C81C3D8"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19433E25"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43B3C178"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621202FD"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High</w:t>
            </w:r>
          </w:p>
        </w:tc>
      </w:tr>
      <w:tr w:rsidR="00BE4ECD" w:rsidRPr="00BE4ECD" w14:paraId="3D027A57"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48242DD"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244BEC95"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Zhuang J.; Bresnahan M.J.; Yan X.; Zhu Y.; Goldbort J.; Bogdan-Lovis E. (2019)</w:t>
            </w:r>
          </w:p>
        </w:tc>
        <w:tc>
          <w:tcPr>
            <w:tcW w:w="660" w:type="dxa"/>
            <w:tcBorders>
              <w:top w:val="nil"/>
              <w:left w:val="nil"/>
              <w:bottom w:val="single" w:sz="4" w:space="0" w:color="auto"/>
              <w:right w:val="single" w:sz="4" w:space="0" w:color="auto"/>
            </w:tcBorders>
            <w:shd w:val="clear" w:color="auto" w:fill="auto"/>
            <w:noWrap/>
            <w:vAlign w:val="center"/>
            <w:hideMark/>
          </w:tcPr>
          <w:p w14:paraId="0FBFD0D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4CBCAC1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7D22C738"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3A41998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01AB45A2"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229B01D0"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2FA1579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5BAB04B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4AE0C2C9"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2B9D7ED9"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54181EE7"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3C66561D"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3D851147"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31C3359"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0BEAABB6"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Hendaus M.A.; Alhammadi A.H.; Khan S.; Osman S.; Hamad A. (2018)</w:t>
            </w:r>
          </w:p>
        </w:tc>
        <w:tc>
          <w:tcPr>
            <w:tcW w:w="660" w:type="dxa"/>
            <w:tcBorders>
              <w:top w:val="nil"/>
              <w:left w:val="nil"/>
              <w:bottom w:val="single" w:sz="4" w:space="0" w:color="auto"/>
              <w:right w:val="single" w:sz="4" w:space="0" w:color="auto"/>
            </w:tcBorders>
            <w:shd w:val="clear" w:color="auto" w:fill="auto"/>
            <w:noWrap/>
            <w:vAlign w:val="center"/>
            <w:hideMark/>
          </w:tcPr>
          <w:p w14:paraId="44CA1871"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18189127"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01854071"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005D629"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2AF5DC0E"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3507DF60"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0A113AF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5211094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729E9F71"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4A57B566"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21D6F3EE"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4E58BE30"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High</w:t>
            </w:r>
          </w:p>
        </w:tc>
      </w:tr>
      <w:tr w:rsidR="00BE4ECD" w:rsidRPr="00BE4ECD" w14:paraId="49B1A284"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4F4A277"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2809889F"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Horwood C.; Haskins L.; Engebretsen I.; Phakathi S.; Connolly C.; Coutsoudis A.; Spies L. (2018)</w:t>
            </w:r>
          </w:p>
        </w:tc>
        <w:tc>
          <w:tcPr>
            <w:tcW w:w="660" w:type="dxa"/>
            <w:tcBorders>
              <w:top w:val="nil"/>
              <w:left w:val="nil"/>
              <w:bottom w:val="single" w:sz="4" w:space="0" w:color="auto"/>
              <w:right w:val="single" w:sz="4" w:space="0" w:color="auto"/>
            </w:tcBorders>
            <w:shd w:val="clear" w:color="auto" w:fill="auto"/>
            <w:noWrap/>
            <w:vAlign w:val="center"/>
            <w:hideMark/>
          </w:tcPr>
          <w:p w14:paraId="10CB09FD"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584AFAA9"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4F7F17BC"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59BE682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8AF813A"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7FFD8A13"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3CA6EC6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6AC8A5E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2E917160"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1CB73D47"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3CB6989F"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4409DEB5"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E4ECD" w14:paraId="29FE69AE"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EB476D9"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2C4034F4"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Soomro JA, Shaikh ZN, Bijarani SA, Saheer TB. (2017)</w:t>
            </w:r>
          </w:p>
        </w:tc>
        <w:tc>
          <w:tcPr>
            <w:tcW w:w="660" w:type="dxa"/>
            <w:tcBorders>
              <w:top w:val="nil"/>
              <w:left w:val="nil"/>
              <w:bottom w:val="single" w:sz="4" w:space="0" w:color="auto"/>
              <w:right w:val="single" w:sz="4" w:space="0" w:color="auto"/>
            </w:tcBorders>
            <w:shd w:val="clear" w:color="auto" w:fill="auto"/>
            <w:noWrap/>
            <w:vAlign w:val="center"/>
            <w:hideMark/>
          </w:tcPr>
          <w:p w14:paraId="363C517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430E912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20E4861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9F8641C"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492584E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3F676535"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CA2884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02540151"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6BC31FF8"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37AE58FE"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3698E842"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2312F99B"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0C9EE31A"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028FECC"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5FC38FA1"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Xiang N.; Zadoroznyj M.; Tomaszewski W.; Martin B. (2016)</w:t>
            </w:r>
          </w:p>
        </w:tc>
        <w:tc>
          <w:tcPr>
            <w:tcW w:w="660" w:type="dxa"/>
            <w:tcBorders>
              <w:top w:val="nil"/>
              <w:left w:val="nil"/>
              <w:bottom w:val="single" w:sz="4" w:space="0" w:color="auto"/>
              <w:right w:val="single" w:sz="4" w:space="0" w:color="auto"/>
            </w:tcBorders>
            <w:shd w:val="clear" w:color="auto" w:fill="auto"/>
            <w:noWrap/>
            <w:vAlign w:val="center"/>
            <w:hideMark/>
          </w:tcPr>
          <w:p w14:paraId="6C6A042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3A2F39B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40C7108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2FD2EBF5"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49B2DDB6"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6DF0626F"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39FD3BE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42F0D9D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2CE14E9E"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5A91CA81"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26129F2A"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3370E21B"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E4ECD" w14:paraId="6C07E759"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467B2640"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7D773BDD"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Aikawa T, Pavadhgul P, Chongsuwat R, Sawasdivorn S, Boonshuyar C. (2015)</w:t>
            </w:r>
          </w:p>
        </w:tc>
        <w:tc>
          <w:tcPr>
            <w:tcW w:w="660" w:type="dxa"/>
            <w:tcBorders>
              <w:top w:val="nil"/>
              <w:left w:val="nil"/>
              <w:bottom w:val="single" w:sz="4" w:space="0" w:color="auto"/>
              <w:right w:val="single" w:sz="4" w:space="0" w:color="auto"/>
            </w:tcBorders>
            <w:shd w:val="clear" w:color="auto" w:fill="auto"/>
            <w:noWrap/>
            <w:vAlign w:val="center"/>
            <w:hideMark/>
          </w:tcPr>
          <w:p w14:paraId="62408C9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615E47B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78F1D63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0B34E7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29D7549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44D5522A"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46BDF44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0050BAD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341C46F6"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3BDB0D15"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5D91ABF4"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387E9ADD"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212F2EA1"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6434416"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5D97B21E"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Ahmadi M, Moosavi SM. (2013)</w:t>
            </w:r>
          </w:p>
        </w:tc>
        <w:tc>
          <w:tcPr>
            <w:tcW w:w="660" w:type="dxa"/>
            <w:tcBorders>
              <w:top w:val="nil"/>
              <w:left w:val="nil"/>
              <w:bottom w:val="single" w:sz="4" w:space="0" w:color="auto"/>
              <w:right w:val="single" w:sz="4" w:space="0" w:color="auto"/>
            </w:tcBorders>
            <w:shd w:val="clear" w:color="auto" w:fill="auto"/>
            <w:noWrap/>
            <w:vAlign w:val="center"/>
            <w:hideMark/>
          </w:tcPr>
          <w:p w14:paraId="1F99169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4F049C0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7EE3D94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0613F70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46F886DB"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475A6C0E"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2F02F8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035C0AB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7D14AD14"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1D40CFDB"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5A72B423"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7D7589AA"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2C9D1D37"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A1C914F"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24FF4DBB"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Tsai S.-Y. (2013)</w:t>
            </w:r>
          </w:p>
        </w:tc>
        <w:tc>
          <w:tcPr>
            <w:tcW w:w="660" w:type="dxa"/>
            <w:tcBorders>
              <w:top w:val="nil"/>
              <w:left w:val="nil"/>
              <w:bottom w:val="single" w:sz="4" w:space="0" w:color="auto"/>
              <w:right w:val="single" w:sz="4" w:space="0" w:color="auto"/>
            </w:tcBorders>
            <w:shd w:val="clear" w:color="auto" w:fill="auto"/>
            <w:noWrap/>
            <w:vAlign w:val="center"/>
            <w:hideMark/>
          </w:tcPr>
          <w:p w14:paraId="7155C417"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0250994D"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6915C48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0320AF8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17F9D782"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66CD626E"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045FC6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47F0476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000000" w:fill="AEAAAA"/>
            <w:vAlign w:val="center"/>
            <w:hideMark/>
          </w:tcPr>
          <w:p w14:paraId="67F0AB76"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00" w:type="dxa"/>
            <w:tcBorders>
              <w:top w:val="nil"/>
              <w:left w:val="nil"/>
              <w:bottom w:val="single" w:sz="4" w:space="0" w:color="auto"/>
              <w:right w:val="single" w:sz="4" w:space="0" w:color="auto"/>
            </w:tcBorders>
            <w:shd w:val="clear" w:color="000000" w:fill="AEAAAA"/>
            <w:vAlign w:val="center"/>
            <w:hideMark/>
          </w:tcPr>
          <w:p w14:paraId="16EEB4AC"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660" w:type="dxa"/>
            <w:tcBorders>
              <w:top w:val="nil"/>
              <w:left w:val="nil"/>
              <w:bottom w:val="single" w:sz="4" w:space="0" w:color="auto"/>
              <w:right w:val="single" w:sz="4" w:space="0" w:color="auto"/>
            </w:tcBorders>
            <w:shd w:val="clear" w:color="000000" w:fill="AEAAAA"/>
            <w:vAlign w:val="center"/>
            <w:hideMark/>
          </w:tcPr>
          <w:p w14:paraId="5E95E60D"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37A76A13"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E4ECD" w14:paraId="5D7383A0"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276974E" w14:textId="77777777" w:rsidR="00BE4ECD" w:rsidRPr="00BE4ECD" w:rsidRDefault="00BE4ECD" w:rsidP="00BE4ECD">
            <w:pPr>
              <w:rPr>
                <w:rFonts w:ascii="Times New Roman" w:eastAsia="Times New Roman" w:hAnsi="Times New Roman" w:cs="Times New Roman"/>
                <w:b/>
                <w:bCs/>
                <w:color w:val="000000"/>
                <w:kern w:val="0"/>
                <w:sz w:val="16"/>
                <w:szCs w:val="16"/>
                <w:lang w:eastAsia="it-IT"/>
                <w14:ligatures w14:val="none"/>
              </w:rPr>
            </w:pPr>
            <w:r w:rsidRPr="00BE4ECD">
              <w:rPr>
                <w:rFonts w:ascii="Times New Roman" w:eastAsia="Times New Roman" w:hAnsi="Times New Roman" w:cs="Times New Roman"/>
                <w:b/>
                <w:bCs/>
                <w:color w:val="000000"/>
                <w:kern w:val="0"/>
                <w:sz w:val="16"/>
                <w:szCs w:val="16"/>
                <w:lang w:eastAsia="it-IT"/>
                <w14:ligatures w14:val="none"/>
              </w:rPr>
              <w:t>Cohort study</w:t>
            </w:r>
          </w:p>
        </w:tc>
        <w:tc>
          <w:tcPr>
            <w:tcW w:w="4580" w:type="dxa"/>
            <w:tcBorders>
              <w:top w:val="nil"/>
              <w:left w:val="nil"/>
              <w:bottom w:val="single" w:sz="4" w:space="0" w:color="auto"/>
              <w:right w:val="single" w:sz="4" w:space="0" w:color="auto"/>
            </w:tcBorders>
            <w:shd w:val="clear" w:color="auto" w:fill="auto"/>
            <w:vAlign w:val="bottom"/>
            <w:hideMark/>
          </w:tcPr>
          <w:p w14:paraId="3A975A63"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Jones K.P.; Brady J.M.; Lindsey A.P.; Cortina L.M.; Major C.K. (2022)</w:t>
            </w:r>
          </w:p>
        </w:tc>
        <w:tc>
          <w:tcPr>
            <w:tcW w:w="660" w:type="dxa"/>
            <w:tcBorders>
              <w:top w:val="nil"/>
              <w:left w:val="nil"/>
              <w:bottom w:val="single" w:sz="4" w:space="0" w:color="auto"/>
              <w:right w:val="single" w:sz="4" w:space="0" w:color="auto"/>
            </w:tcBorders>
            <w:shd w:val="clear" w:color="auto" w:fill="auto"/>
            <w:noWrap/>
            <w:vAlign w:val="center"/>
            <w:hideMark/>
          </w:tcPr>
          <w:p w14:paraId="5B7353A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725CA5F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67574047"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1949DE4E"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41E20923"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1785636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343182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70031AD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42296F4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4A9E505B"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367D85E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1160" w:type="dxa"/>
            <w:tcBorders>
              <w:top w:val="nil"/>
              <w:left w:val="nil"/>
              <w:bottom w:val="single" w:sz="4" w:space="0" w:color="auto"/>
              <w:right w:val="single" w:sz="4" w:space="0" w:color="auto"/>
            </w:tcBorders>
            <w:shd w:val="clear" w:color="auto" w:fill="auto"/>
            <w:noWrap/>
            <w:vAlign w:val="center"/>
            <w:hideMark/>
          </w:tcPr>
          <w:p w14:paraId="0887D142"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E4ECD" w14:paraId="09CAD030"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38D893C"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lastRenderedPageBreak/>
              <w:t> </w:t>
            </w:r>
          </w:p>
        </w:tc>
        <w:tc>
          <w:tcPr>
            <w:tcW w:w="4580" w:type="dxa"/>
            <w:tcBorders>
              <w:top w:val="nil"/>
              <w:left w:val="nil"/>
              <w:bottom w:val="single" w:sz="4" w:space="0" w:color="auto"/>
              <w:right w:val="single" w:sz="4" w:space="0" w:color="auto"/>
            </w:tcBorders>
            <w:shd w:val="clear" w:color="auto" w:fill="auto"/>
            <w:vAlign w:val="bottom"/>
            <w:hideMark/>
          </w:tcPr>
          <w:p w14:paraId="57D6A327"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Castetbon K, Boudet-Berquier J, Salanave B. (2020)</w:t>
            </w:r>
          </w:p>
        </w:tc>
        <w:tc>
          <w:tcPr>
            <w:tcW w:w="660" w:type="dxa"/>
            <w:tcBorders>
              <w:top w:val="nil"/>
              <w:left w:val="nil"/>
              <w:bottom w:val="single" w:sz="4" w:space="0" w:color="auto"/>
              <w:right w:val="single" w:sz="4" w:space="0" w:color="auto"/>
            </w:tcBorders>
            <w:shd w:val="clear" w:color="auto" w:fill="auto"/>
            <w:noWrap/>
            <w:vAlign w:val="center"/>
            <w:hideMark/>
          </w:tcPr>
          <w:p w14:paraId="603DFFA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4584DC58"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1505E46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1E18F5E1"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3E9D68C5"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37C9119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37B5181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3969E75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2EDD15A1"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2938239" w14:textId="77777777" w:rsidR="00BE4ECD" w:rsidRPr="00991673" w:rsidRDefault="00BE4ECD" w:rsidP="00BE4ECD">
            <w:pPr>
              <w:jc w:val="center"/>
              <w:rPr>
                <w:rFonts w:ascii="Times New Roman" w:eastAsia="Times New Roman" w:hAnsi="Times New Roman" w:cs="Times New Roman"/>
                <w:color w:val="000000"/>
                <w:kern w:val="0"/>
                <w:sz w:val="60"/>
                <w:szCs w:val="60"/>
                <w:lang w:eastAsia="it-IT"/>
                <w14:ligatures w14:val="none"/>
              </w:rPr>
            </w:pPr>
            <w:r w:rsidRPr="00991673">
              <w:rPr>
                <w:rFonts w:ascii="Times New Roman" w:eastAsia="Times New Roman" w:hAnsi="Times New Roman" w:cs="Times New Roman"/>
                <w:color w:val="000000"/>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1FF7C28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1160" w:type="dxa"/>
            <w:tcBorders>
              <w:top w:val="nil"/>
              <w:left w:val="nil"/>
              <w:bottom w:val="single" w:sz="4" w:space="0" w:color="auto"/>
              <w:right w:val="single" w:sz="4" w:space="0" w:color="auto"/>
            </w:tcBorders>
            <w:shd w:val="clear" w:color="auto" w:fill="auto"/>
            <w:noWrap/>
            <w:vAlign w:val="center"/>
            <w:hideMark/>
          </w:tcPr>
          <w:p w14:paraId="7EEDF487"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13D9EF58" w14:textId="77777777" w:rsidTr="00BE4ECD">
        <w:trPr>
          <w:trHeight w:val="10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44A17F8E"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02A73452"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 xml:space="preserve">de Lauzon-Guillain B, Thierry X, Bois C, Bournez M, Davisse-Paturet C, Dufourg MN, Kersuzan C, Ksiazek E, Nicklaus S, Vicaire H, Wagner S, Lioret S, Charles MA. </w:t>
            </w:r>
            <w:r w:rsidRPr="00BE4ECD">
              <w:rPr>
                <w:rFonts w:ascii="Times New Roman" w:eastAsia="Times New Roman" w:hAnsi="Times New Roman" w:cs="Times New Roman"/>
                <w:color w:val="000000"/>
                <w:kern w:val="0"/>
                <w:sz w:val="18"/>
                <w:szCs w:val="18"/>
                <w:lang w:eastAsia="it-IT"/>
                <w14:ligatures w14:val="none"/>
              </w:rPr>
              <w:t>(2019)</w:t>
            </w:r>
          </w:p>
        </w:tc>
        <w:tc>
          <w:tcPr>
            <w:tcW w:w="660" w:type="dxa"/>
            <w:tcBorders>
              <w:top w:val="nil"/>
              <w:left w:val="nil"/>
              <w:bottom w:val="single" w:sz="4" w:space="0" w:color="auto"/>
              <w:right w:val="single" w:sz="4" w:space="0" w:color="auto"/>
            </w:tcBorders>
            <w:shd w:val="clear" w:color="auto" w:fill="auto"/>
            <w:noWrap/>
            <w:vAlign w:val="center"/>
            <w:hideMark/>
          </w:tcPr>
          <w:p w14:paraId="638ED71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79DDD0F6"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4DA6752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05E89EA7"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481B2577"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547913E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43FE792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147B02B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4E242B1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5C96719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129186D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1160" w:type="dxa"/>
            <w:tcBorders>
              <w:top w:val="nil"/>
              <w:left w:val="nil"/>
              <w:bottom w:val="single" w:sz="4" w:space="0" w:color="auto"/>
              <w:right w:val="single" w:sz="4" w:space="0" w:color="auto"/>
            </w:tcBorders>
            <w:shd w:val="clear" w:color="auto" w:fill="auto"/>
            <w:noWrap/>
            <w:vAlign w:val="center"/>
            <w:hideMark/>
          </w:tcPr>
          <w:p w14:paraId="73EE30FA"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77E53F9A"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ABFB47F"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177C4874"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Kobayashi M.; Usui E. (2017)</w:t>
            </w:r>
          </w:p>
        </w:tc>
        <w:tc>
          <w:tcPr>
            <w:tcW w:w="660" w:type="dxa"/>
            <w:tcBorders>
              <w:top w:val="nil"/>
              <w:left w:val="nil"/>
              <w:bottom w:val="single" w:sz="4" w:space="0" w:color="auto"/>
              <w:right w:val="single" w:sz="4" w:space="0" w:color="auto"/>
            </w:tcBorders>
            <w:shd w:val="clear" w:color="auto" w:fill="auto"/>
            <w:noWrap/>
            <w:vAlign w:val="center"/>
            <w:hideMark/>
          </w:tcPr>
          <w:p w14:paraId="15F4353A"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54AAB68E"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342A402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53ECC8FA"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3DE6F55D"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605FC2C1"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54BF5B6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4C2155F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35EC4B70"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4516C594"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15A699F5"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1160" w:type="dxa"/>
            <w:tcBorders>
              <w:top w:val="nil"/>
              <w:left w:val="nil"/>
              <w:bottom w:val="single" w:sz="4" w:space="0" w:color="auto"/>
              <w:right w:val="single" w:sz="4" w:space="0" w:color="auto"/>
            </w:tcBorders>
            <w:shd w:val="clear" w:color="auto" w:fill="auto"/>
            <w:noWrap/>
            <w:vAlign w:val="center"/>
            <w:hideMark/>
          </w:tcPr>
          <w:p w14:paraId="336D01A7"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high</w:t>
            </w:r>
          </w:p>
        </w:tc>
      </w:tr>
      <w:tr w:rsidR="00BE4ECD" w:rsidRPr="00BE4ECD" w14:paraId="40ABA0C5"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0C5F247"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34EC66E2"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Dagher R.K.; McGovern P.M.; Schold J.D.; Randall X.J. (2016)</w:t>
            </w:r>
          </w:p>
        </w:tc>
        <w:tc>
          <w:tcPr>
            <w:tcW w:w="660" w:type="dxa"/>
            <w:tcBorders>
              <w:top w:val="nil"/>
              <w:left w:val="nil"/>
              <w:bottom w:val="single" w:sz="4" w:space="0" w:color="auto"/>
              <w:right w:val="single" w:sz="4" w:space="0" w:color="auto"/>
            </w:tcBorders>
            <w:shd w:val="clear" w:color="auto" w:fill="auto"/>
            <w:noWrap/>
            <w:vAlign w:val="center"/>
            <w:hideMark/>
          </w:tcPr>
          <w:p w14:paraId="6C33C4D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1912622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714CAFC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26018E2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24B6AAC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0EC395BA"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0053C1D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283FEA3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3709E22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1136D388"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7F5DD38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1160" w:type="dxa"/>
            <w:tcBorders>
              <w:top w:val="nil"/>
              <w:left w:val="nil"/>
              <w:bottom w:val="single" w:sz="4" w:space="0" w:color="auto"/>
              <w:right w:val="single" w:sz="4" w:space="0" w:color="auto"/>
            </w:tcBorders>
            <w:shd w:val="clear" w:color="auto" w:fill="auto"/>
            <w:noWrap/>
            <w:vAlign w:val="center"/>
            <w:hideMark/>
          </w:tcPr>
          <w:p w14:paraId="4D89F5E8"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2D61B416"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3437717"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1E3C78D0"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Lubold A.M. (2016)</w:t>
            </w:r>
          </w:p>
        </w:tc>
        <w:tc>
          <w:tcPr>
            <w:tcW w:w="660" w:type="dxa"/>
            <w:tcBorders>
              <w:top w:val="nil"/>
              <w:left w:val="nil"/>
              <w:bottom w:val="single" w:sz="4" w:space="0" w:color="auto"/>
              <w:right w:val="single" w:sz="4" w:space="0" w:color="auto"/>
            </w:tcBorders>
            <w:shd w:val="clear" w:color="auto" w:fill="auto"/>
            <w:noWrap/>
            <w:vAlign w:val="center"/>
            <w:hideMark/>
          </w:tcPr>
          <w:p w14:paraId="10F373A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66A9321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03F4C8A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60C245AB"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17F7A843"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12FEBE7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51DE014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4CE3A1B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53BEACC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54F8732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5A66F6A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1160" w:type="dxa"/>
            <w:tcBorders>
              <w:top w:val="nil"/>
              <w:left w:val="nil"/>
              <w:bottom w:val="single" w:sz="4" w:space="0" w:color="auto"/>
              <w:right w:val="single" w:sz="4" w:space="0" w:color="auto"/>
            </w:tcBorders>
            <w:shd w:val="clear" w:color="auto" w:fill="auto"/>
            <w:noWrap/>
            <w:vAlign w:val="center"/>
            <w:hideMark/>
          </w:tcPr>
          <w:p w14:paraId="3B119A85"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7864D442"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8468CAE"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658FBD22"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Spitzmueller C.; Wang Z.; Zhang J.; Thomas C.L.; Fisher G.G.; Matthews R.A.; Strathearn L. (2016)</w:t>
            </w:r>
          </w:p>
        </w:tc>
        <w:tc>
          <w:tcPr>
            <w:tcW w:w="660" w:type="dxa"/>
            <w:tcBorders>
              <w:top w:val="nil"/>
              <w:left w:val="nil"/>
              <w:bottom w:val="single" w:sz="4" w:space="0" w:color="auto"/>
              <w:right w:val="single" w:sz="4" w:space="0" w:color="auto"/>
            </w:tcBorders>
            <w:shd w:val="clear" w:color="auto" w:fill="auto"/>
            <w:noWrap/>
            <w:vAlign w:val="center"/>
            <w:hideMark/>
          </w:tcPr>
          <w:p w14:paraId="5657BDF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7F1F3C7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6C5F809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26D5E9B8"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773F3DC"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365F2BB8"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C1D01C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7FDA9B5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008552B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15C2D355"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6E3214B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1160" w:type="dxa"/>
            <w:tcBorders>
              <w:top w:val="nil"/>
              <w:left w:val="nil"/>
              <w:bottom w:val="single" w:sz="4" w:space="0" w:color="auto"/>
              <w:right w:val="single" w:sz="4" w:space="0" w:color="auto"/>
            </w:tcBorders>
            <w:shd w:val="clear" w:color="auto" w:fill="auto"/>
            <w:noWrap/>
            <w:vAlign w:val="center"/>
            <w:hideMark/>
          </w:tcPr>
          <w:p w14:paraId="12523FC3"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E4ECD" w14:paraId="5F065D45"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4F2FDF90"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7AA06D41"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Bai D.L.; Fong D.Y.T.; Tarrant M. (2015)</w:t>
            </w:r>
          </w:p>
        </w:tc>
        <w:tc>
          <w:tcPr>
            <w:tcW w:w="660" w:type="dxa"/>
            <w:tcBorders>
              <w:top w:val="nil"/>
              <w:left w:val="nil"/>
              <w:bottom w:val="single" w:sz="4" w:space="0" w:color="auto"/>
              <w:right w:val="single" w:sz="4" w:space="0" w:color="auto"/>
            </w:tcBorders>
            <w:shd w:val="clear" w:color="auto" w:fill="auto"/>
            <w:noWrap/>
            <w:vAlign w:val="center"/>
            <w:hideMark/>
          </w:tcPr>
          <w:p w14:paraId="778C3D9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5A22AD2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7F5A9EE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528E8138"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40002CDE"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61C60D3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05F635F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51816B5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6D00F426"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58A3516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0C78044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1160" w:type="dxa"/>
            <w:tcBorders>
              <w:top w:val="nil"/>
              <w:left w:val="nil"/>
              <w:bottom w:val="single" w:sz="4" w:space="0" w:color="auto"/>
              <w:right w:val="single" w:sz="4" w:space="0" w:color="auto"/>
            </w:tcBorders>
            <w:shd w:val="clear" w:color="auto" w:fill="auto"/>
            <w:noWrap/>
            <w:vAlign w:val="center"/>
            <w:hideMark/>
          </w:tcPr>
          <w:p w14:paraId="7349531C"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7378F6BA"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23502E6"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16BCFB70"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Dagher R.K.; McGovern P.M.; Dowd B.E. (2014)</w:t>
            </w:r>
          </w:p>
        </w:tc>
        <w:tc>
          <w:tcPr>
            <w:tcW w:w="660" w:type="dxa"/>
            <w:tcBorders>
              <w:top w:val="nil"/>
              <w:left w:val="nil"/>
              <w:bottom w:val="single" w:sz="4" w:space="0" w:color="auto"/>
              <w:right w:val="single" w:sz="4" w:space="0" w:color="auto"/>
            </w:tcBorders>
            <w:shd w:val="clear" w:color="auto" w:fill="auto"/>
            <w:noWrap/>
            <w:vAlign w:val="center"/>
            <w:hideMark/>
          </w:tcPr>
          <w:p w14:paraId="6B06AEE8"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7A70F57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5A85A16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538D0DA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6550E24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6B06BE1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CB7B74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2EFECB6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7FCCFEB5"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65467F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1F25D63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1160" w:type="dxa"/>
            <w:tcBorders>
              <w:top w:val="nil"/>
              <w:left w:val="nil"/>
              <w:bottom w:val="single" w:sz="4" w:space="0" w:color="auto"/>
              <w:right w:val="single" w:sz="4" w:space="0" w:color="auto"/>
            </w:tcBorders>
            <w:shd w:val="clear" w:color="auto" w:fill="auto"/>
            <w:noWrap/>
            <w:vAlign w:val="center"/>
            <w:hideMark/>
          </w:tcPr>
          <w:p w14:paraId="0996A65D"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1D3D46EA"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29E3F93"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0BF9A393"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Mandal B.; Roe B.E.; Fein S.B. (2014)</w:t>
            </w:r>
          </w:p>
        </w:tc>
        <w:tc>
          <w:tcPr>
            <w:tcW w:w="660" w:type="dxa"/>
            <w:tcBorders>
              <w:top w:val="nil"/>
              <w:left w:val="nil"/>
              <w:bottom w:val="single" w:sz="4" w:space="0" w:color="auto"/>
              <w:right w:val="single" w:sz="4" w:space="0" w:color="auto"/>
            </w:tcBorders>
            <w:shd w:val="clear" w:color="auto" w:fill="auto"/>
            <w:noWrap/>
            <w:vAlign w:val="center"/>
            <w:hideMark/>
          </w:tcPr>
          <w:p w14:paraId="03050896"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7327263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3FF204B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42ABF091"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5938CFD4"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7389DA18"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0A80C20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089F80C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6A1CE32E"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1444A1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63DAD07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1160" w:type="dxa"/>
            <w:tcBorders>
              <w:top w:val="nil"/>
              <w:left w:val="nil"/>
              <w:bottom w:val="single" w:sz="4" w:space="0" w:color="auto"/>
              <w:right w:val="single" w:sz="4" w:space="0" w:color="auto"/>
            </w:tcBorders>
            <w:shd w:val="clear" w:color="auto" w:fill="auto"/>
            <w:noWrap/>
            <w:vAlign w:val="center"/>
            <w:hideMark/>
          </w:tcPr>
          <w:p w14:paraId="5C7C079F"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E4ECD" w14:paraId="585D6585"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2D644EA"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011EB0E9"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Mirkovic K.R.; Perrine C.G.; Scanlon K.S.; Grummer-Strawn L.M. (2014)</w:t>
            </w:r>
          </w:p>
        </w:tc>
        <w:tc>
          <w:tcPr>
            <w:tcW w:w="660" w:type="dxa"/>
            <w:tcBorders>
              <w:top w:val="nil"/>
              <w:left w:val="nil"/>
              <w:bottom w:val="single" w:sz="4" w:space="0" w:color="auto"/>
              <w:right w:val="single" w:sz="4" w:space="0" w:color="auto"/>
            </w:tcBorders>
            <w:shd w:val="clear" w:color="auto" w:fill="auto"/>
            <w:noWrap/>
            <w:vAlign w:val="center"/>
            <w:hideMark/>
          </w:tcPr>
          <w:p w14:paraId="11757D5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635629E7"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7B926A3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3B0148F9"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3B594A81"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6B8C0CB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6D141E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54DAA212"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62887450"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27E310D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4D0A7BB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1160" w:type="dxa"/>
            <w:tcBorders>
              <w:top w:val="nil"/>
              <w:left w:val="nil"/>
              <w:bottom w:val="single" w:sz="4" w:space="0" w:color="auto"/>
              <w:right w:val="single" w:sz="4" w:space="0" w:color="auto"/>
            </w:tcBorders>
            <w:shd w:val="clear" w:color="auto" w:fill="auto"/>
            <w:noWrap/>
            <w:vAlign w:val="center"/>
            <w:hideMark/>
          </w:tcPr>
          <w:p w14:paraId="26384936"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E4ECD" w14:paraId="614A3E98"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20C9568"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07CC7473"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Bonet M.; Marchand L.; Kaminski M.; Fohran A.; Betoko A.; Charles M.-A.; Blondel B. (2013)</w:t>
            </w:r>
          </w:p>
        </w:tc>
        <w:tc>
          <w:tcPr>
            <w:tcW w:w="660" w:type="dxa"/>
            <w:tcBorders>
              <w:top w:val="nil"/>
              <w:left w:val="nil"/>
              <w:bottom w:val="single" w:sz="4" w:space="0" w:color="auto"/>
              <w:right w:val="single" w:sz="4" w:space="0" w:color="auto"/>
            </w:tcBorders>
            <w:shd w:val="clear" w:color="auto" w:fill="auto"/>
            <w:noWrap/>
            <w:vAlign w:val="center"/>
            <w:hideMark/>
          </w:tcPr>
          <w:p w14:paraId="499C260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066CF5D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1D1F7A78"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5BAA06C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24D25762"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346F1DB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25D3205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2F8D5C70"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5D20078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30CECEB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08DE280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1160" w:type="dxa"/>
            <w:tcBorders>
              <w:top w:val="nil"/>
              <w:left w:val="nil"/>
              <w:bottom w:val="single" w:sz="4" w:space="0" w:color="auto"/>
              <w:right w:val="single" w:sz="4" w:space="0" w:color="auto"/>
            </w:tcBorders>
            <w:shd w:val="clear" w:color="auto" w:fill="auto"/>
            <w:noWrap/>
            <w:vAlign w:val="center"/>
            <w:hideMark/>
          </w:tcPr>
          <w:p w14:paraId="4DB2D961"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5BA0D340"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8503DAF" w14:textId="77777777" w:rsidR="00BE4ECD" w:rsidRPr="00BE4ECD" w:rsidRDefault="00BE4ECD" w:rsidP="00BE4ECD">
            <w:pPr>
              <w:rPr>
                <w:rFonts w:ascii="Times New Roman" w:eastAsia="Times New Roman" w:hAnsi="Times New Roman" w:cs="Times New Roman"/>
                <w:b/>
                <w:bCs/>
                <w:color w:val="000000"/>
                <w:kern w:val="0"/>
                <w:sz w:val="16"/>
                <w:szCs w:val="16"/>
                <w:lang w:eastAsia="it-IT"/>
                <w14:ligatures w14:val="none"/>
              </w:rPr>
            </w:pPr>
            <w:r w:rsidRPr="00BE4ECD">
              <w:rPr>
                <w:rFonts w:ascii="Times New Roman" w:eastAsia="Times New Roman" w:hAnsi="Times New Roman" w:cs="Times New Roman"/>
                <w:b/>
                <w:bCs/>
                <w:color w:val="000000"/>
                <w:kern w:val="0"/>
                <w:sz w:val="16"/>
                <w:szCs w:val="16"/>
                <w:lang w:eastAsia="it-IT"/>
                <w14:ligatures w14:val="none"/>
              </w:rPr>
              <w:t>Qualitative study</w:t>
            </w:r>
          </w:p>
        </w:tc>
        <w:tc>
          <w:tcPr>
            <w:tcW w:w="4580" w:type="dxa"/>
            <w:tcBorders>
              <w:top w:val="nil"/>
              <w:left w:val="nil"/>
              <w:bottom w:val="single" w:sz="4" w:space="0" w:color="auto"/>
              <w:right w:val="single" w:sz="4" w:space="0" w:color="auto"/>
            </w:tcBorders>
            <w:shd w:val="clear" w:color="auto" w:fill="auto"/>
            <w:vAlign w:val="bottom"/>
            <w:hideMark/>
          </w:tcPr>
          <w:p w14:paraId="395B5511"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Oh E.; Mun E. (2022)</w:t>
            </w:r>
          </w:p>
        </w:tc>
        <w:tc>
          <w:tcPr>
            <w:tcW w:w="660" w:type="dxa"/>
            <w:tcBorders>
              <w:top w:val="nil"/>
              <w:left w:val="nil"/>
              <w:bottom w:val="single" w:sz="4" w:space="0" w:color="auto"/>
              <w:right w:val="single" w:sz="4" w:space="0" w:color="auto"/>
            </w:tcBorders>
            <w:shd w:val="clear" w:color="auto" w:fill="auto"/>
            <w:noWrap/>
            <w:vAlign w:val="center"/>
            <w:hideMark/>
          </w:tcPr>
          <w:p w14:paraId="7FDB35A1"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17A5542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3C994C6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60140FA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CA8B75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6F8F016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5C3613CD"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21A286A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73146CB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19B7D3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751FDE54"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62A128A3"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6994B9DE"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43D51684"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lastRenderedPageBreak/>
              <w:t> </w:t>
            </w:r>
          </w:p>
        </w:tc>
        <w:tc>
          <w:tcPr>
            <w:tcW w:w="4580" w:type="dxa"/>
            <w:tcBorders>
              <w:top w:val="nil"/>
              <w:left w:val="nil"/>
              <w:bottom w:val="single" w:sz="4" w:space="0" w:color="auto"/>
              <w:right w:val="single" w:sz="4" w:space="0" w:color="auto"/>
            </w:tcBorders>
            <w:shd w:val="clear" w:color="auto" w:fill="auto"/>
            <w:vAlign w:val="bottom"/>
            <w:hideMark/>
          </w:tcPr>
          <w:p w14:paraId="60CD9EBE"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Gebrekidan K.; Plummer V.; Fooladi E.; Hall H. (2021)</w:t>
            </w:r>
          </w:p>
        </w:tc>
        <w:tc>
          <w:tcPr>
            <w:tcW w:w="660" w:type="dxa"/>
            <w:tcBorders>
              <w:top w:val="nil"/>
              <w:left w:val="nil"/>
              <w:bottom w:val="single" w:sz="4" w:space="0" w:color="auto"/>
              <w:right w:val="single" w:sz="4" w:space="0" w:color="auto"/>
            </w:tcBorders>
            <w:shd w:val="clear" w:color="auto" w:fill="auto"/>
            <w:noWrap/>
            <w:vAlign w:val="center"/>
            <w:hideMark/>
          </w:tcPr>
          <w:p w14:paraId="4B4FC23A"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4DDB17C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692C8FB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6D92A94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2E744F4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3F1110E8"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0CC27923"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1BADF9E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7C59B42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1860A80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4F1A5A53"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4107F6D2"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0FF66AFF"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9AB62DA"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0EFBF993"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Gregory S.K. (2021)</w:t>
            </w:r>
          </w:p>
        </w:tc>
        <w:tc>
          <w:tcPr>
            <w:tcW w:w="660" w:type="dxa"/>
            <w:tcBorders>
              <w:top w:val="nil"/>
              <w:left w:val="nil"/>
              <w:bottom w:val="single" w:sz="4" w:space="0" w:color="auto"/>
              <w:right w:val="single" w:sz="4" w:space="0" w:color="auto"/>
            </w:tcBorders>
            <w:shd w:val="clear" w:color="auto" w:fill="auto"/>
            <w:noWrap/>
            <w:vAlign w:val="center"/>
            <w:hideMark/>
          </w:tcPr>
          <w:p w14:paraId="73A22E9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2FE2BE9C"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28B73978"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18247F6C"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4B39090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661B6319"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43B599F6"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28E0511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40933685"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6A9F6661"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00277DD2"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061287F5"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E4ECD" w14:paraId="17B42FB5" w14:textId="77777777" w:rsidTr="00BE4ECD">
        <w:trPr>
          <w:trHeight w:val="8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B7361D4"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147D0DF2"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Ickes S.B.; Sanders H.; Denno D.M.; Myhre J.A.; Kinyua J.; Singa B.; Lemein H.S.; Iannotti L.L.; Farquhar C.; Walson J.L.; Nduati R. (2021)</w:t>
            </w:r>
          </w:p>
        </w:tc>
        <w:tc>
          <w:tcPr>
            <w:tcW w:w="660" w:type="dxa"/>
            <w:tcBorders>
              <w:top w:val="nil"/>
              <w:left w:val="nil"/>
              <w:bottom w:val="single" w:sz="4" w:space="0" w:color="auto"/>
              <w:right w:val="single" w:sz="4" w:space="0" w:color="auto"/>
            </w:tcBorders>
            <w:shd w:val="clear" w:color="auto" w:fill="auto"/>
            <w:noWrap/>
            <w:vAlign w:val="center"/>
            <w:hideMark/>
          </w:tcPr>
          <w:p w14:paraId="1C8CCBD1"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6073CEA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55CC435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184177C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229C756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67505957"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10803A8C"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2252BB78"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5AEE9D5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0F162B8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608FD019"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082F3FEE"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79D6550F"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696E69A"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16199676"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Moulton K.L.; Battaglioli N.; Sebok-Syer S.S. (2021)</w:t>
            </w:r>
          </w:p>
        </w:tc>
        <w:tc>
          <w:tcPr>
            <w:tcW w:w="660" w:type="dxa"/>
            <w:tcBorders>
              <w:top w:val="nil"/>
              <w:left w:val="nil"/>
              <w:bottom w:val="single" w:sz="4" w:space="0" w:color="auto"/>
              <w:right w:val="single" w:sz="4" w:space="0" w:color="auto"/>
            </w:tcBorders>
            <w:shd w:val="clear" w:color="auto" w:fill="auto"/>
            <w:noWrap/>
            <w:vAlign w:val="center"/>
            <w:hideMark/>
          </w:tcPr>
          <w:p w14:paraId="6EADF1B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221F43A4"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2472A09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5C880C5C"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6A4F0C2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7591E8C4"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99B94AC"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60A372DC"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797A3CCF"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617BB7B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62433A72"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4826213F"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E4ECD" w14:paraId="61FEFAA6"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E8A2539"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04C2D074"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 xml:space="preserve">Wolde FB, Ali JH, Mengistu YG. </w:t>
            </w:r>
            <w:r w:rsidRPr="00BE4ECD">
              <w:rPr>
                <w:rFonts w:ascii="Times New Roman" w:eastAsia="Times New Roman" w:hAnsi="Times New Roman" w:cs="Times New Roman"/>
                <w:color w:val="000000"/>
                <w:kern w:val="0"/>
                <w:sz w:val="18"/>
                <w:szCs w:val="18"/>
                <w:lang w:eastAsia="it-IT"/>
                <w14:ligatures w14:val="none"/>
              </w:rPr>
              <w:t>(2021)</w:t>
            </w:r>
          </w:p>
        </w:tc>
        <w:tc>
          <w:tcPr>
            <w:tcW w:w="660" w:type="dxa"/>
            <w:tcBorders>
              <w:top w:val="nil"/>
              <w:left w:val="nil"/>
              <w:bottom w:val="single" w:sz="4" w:space="0" w:color="auto"/>
              <w:right w:val="single" w:sz="4" w:space="0" w:color="auto"/>
            </w:tcBorders>
            <w:shd w:val="clear" w:color="auto" w:fill="auto"/>
            <w:noWrap/>
            <w:vAlign w:val="center"/>
            <w:hideMark/>
          </w:tcPr>
          <w:p w14:paraId="40C3B653"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2F36733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56EF798C"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3C16C4E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508CB1F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4094986A"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1FA7F71F"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09C0273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2BAD69B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36BD20D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10A1BB04"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279032F0"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7670B6A0"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DE2ADDD"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4C34BEEB"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Hasan A.M.R.; Smith G.; Selim M.A.; Akter S.; Khan N.U.Z.; Sharmin T.; Rasheed S. (2020)</w:t>
            </w:r>
          </w:p>
        </w:tc>
        <w:tc>
          <w:tcPr>
            <w:tcW w:w="660" w:type="dxa"/>
            <w:tcBorders>
              <w:top w:val="nil"/>
              <w:left w:val="nil"/>
              <w:bottom w:val="single" w:sz="4" w:space="0" w:color="auto"/>
              <w:right w:val="single" w:sz="4" w:space="0" w:color="auto"/>
            </w:tcBorders>
            <w:shd w:val="clear" w:color="auto" w:fill="auto"/>
            <w:noWrap/>
            <w:vAlign w:val="center"/>
            <w:hideMark/>
          </w:tcPr>
          <w:p w14:paraId="1E8D09B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23BADB92"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52862FF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00EA7B2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3E838D5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57D30ED6"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56ED1C2E"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615EF4E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12E5A30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0EACE37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19A03457"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32049FBC"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5722EA78"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D1B1554"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730E256F"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Mabaso B.P.; Jaga A.; Doherty T. (2020)</w:t>
            </w:r>
          </w:p>
        </w:tc>
        <w:tc>
          <w:tcPr>
            <w:tcW w:w="660" w:type="dxa"/>
            <w:tcBorders>
              <w:top w:val="nil"/>
              <w:left w:val="nil"/>
              <w:bottom w:val="single" w:sz="4" w:space="0" w:color="auto"/>
              <w:right w:val="single" w:sz="4" w:space="0" w:color="auto"/>
            </w:tcBorders>
            <w:shd w:val="clear" w:color="auto" w:fill="auto"/>
            <w:noWrap/>
            <w:vAlign w:val="center"/>
            <w:hideMark/>
          </w:tcPr>
          <w:p w14:paraId="00BEFF1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3A4C370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18E7A0B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090D995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69C0B16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20621CCD"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6EF7A548"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2D8CBFE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0BABE23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5C11CF7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324FE0C4"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3D6E9A51"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74081F45"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189DDA6"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51092443"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Trafford Z.; Jewett S.; Swartz A.; Lefevre A.E.; Winch P.J.; Colvin C.J.; Barron P.; Bamford L. (2020)</w:t>
            </w:r>
          </w:p>
        </w:tc>
        <w:tc>
          <w:tcPr>
            <w:tcW w:w="660" w:type="dxa"/>
            <w:tcBorders>
              <w:top w:val="nil"/>
              <w:left w:val="nil"/>
              <w:bottom w:val="single" w:sz="4" w:space="0" w:color="auto"/>
              <w:right w:val="single" w:sz="4" w:space="0" w:color="auto"/>
            </w:tcBorders>
            <w:shd w:val="clear" w:color="auto" w:fill="auto"/>
            <w:noWrap/>
            <w:vAlign w:val="center"/>
            <w:hideMark/>
          </w:tcPr>
          <w:p w14:paraId="66C0FB0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146B097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695716D6"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4D13EC3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1059664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50B56E09"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5B4B2A9B"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6DAE6641"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5695C5AC"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4ACD2D4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3C4ED5CF"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376D37F2"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2BDBBAA3"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6A48A88"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216375F9"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Burns E, Triandafilidis Z. (2019)</w:t>
            </w:r>
          </w:p>
        </w:tc>
        <w:tc>
          <w:tcPr>
            <w:tcW w:w="660" w:type="dxa"/>
            <w:tcBorders>
              <w:top w:val="nil"/>
              <w:left w:val="nil"/>
              <w:bottom w:val="single" w:sz="4" w:space="0" w:color="auto"/>
              <w:right w:val="single" w:sz="4" w:space="0" w:color="auto"/>
            </w:tcBorders>
            <w:shd w:val="clear" w:color="auto" w:fill="auto"/>
            <w:noWrap/>
            <w:vAlign w:val="center"/>
            <w:hideMark/>
          </w:tcPr>
          <w:p w14:paraId="7FB1A0F4"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5C78A62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1B8A12A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1AF9B81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918A2D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412B4947"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34A6ED5A"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02EC7742"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44A7BF1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25BDF2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498DCD2A"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60049BD9"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E4ECD" w14:paraId="47888DCD"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793BAC9"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69717401"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Dal Forno Martins G.; Leal C.L.; Schmidt B.; Piccinini C.A. (2019)</w:t>
            </w:r>
          </w:p>
        </w:tc>
        <w:tc>
          <w:tcPr>
            <w:tcW w:w="660" w:type="dxa"/>
            <w:tcBorders>
              <w:top w:val="nil"/>
              <w:left w:val="nil"/>
              <w:bottom w:val="single" w:sz="4" w:space="0" w:color="auto"/>
              <w:right w:val="single" w:sz="4" w:space="0" w:color="auto"/>
            </w:tcBorders>
            <w:shd w:val="clear" w:color="auto" w:fill="auto"/>
            <w:noWrap/>
            <w:vAlign w:val="center"/>
            <w:hideMark/>
          </w:tcPr>
          <w:p w14:paraId="407C330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77BED6F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6F49440D"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68C498D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59283C28"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7798B261"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38002A00"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7958181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43A11F3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1738752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6BF314A9"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676C79C6"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33352E74"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CB4C863"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1E7872C8"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Febrianingtyas Y.; Februhartanty J.; Hadihardjono D.N. (2019)</w:t>
            </w:r>
          </w:p>
        </w:tc>
        <w:tc>
          <w:tcPr>
            <w:tcW w:w="660" w:type="dxa"/>
            <w:tcBorders>
              <w:top w:val="nil"/>
              <w:left w:val="nil"/>
              <w:bottom w:val="single" w:sz="4" w:space="0" w:color="auto"/>
              <w:right w:val="single" w:sz="4" w:space="0" w:color="auto"/>
            </w:tcBorders>
            <w:shd w:val="clear" w:color="auto" w:fill="auto"/>
            <w:noWrap/>
            <w:vAlign w:val="center"/>
            <w:hideMark/>
          </w:tcPr>
          <w:p w14:paraId="0DD81CF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36DB7C41"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1D3AAB9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6ED6BCB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3F129D0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481F32F8"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6FF31F9E"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5D10F432"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6E750F7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1BDFE26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76FDB23A"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7DAB6456"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63FFA482"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A43F1AF"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3B9B7C60"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Riaz S, Condon L. (2019)</w:t>
            </w:r>
          </w:p>
        </w:tc>
        <w:tc>
          <w:tcPr>
            <w:tcW w:w="660" w:type="dxa"/>
            <w:tcBorders>
              <w:top w:val="nil"/>
              <w:left w:val="nil"/>
              <w:bottom w:val="single" w:sz="4" w:space="0" w:color="auto"/>
              <w:right w:val="single" w:sz="4" w:space="0" w:color="auto"/>
            </w:tcBorders>
            <w:shd w:val="clear" w:color="auto" w:fill="auto"/>
            <w:noWrap/>
            <w:vAlign w:val="center"/>
            <w:hideMark/>
          </w:tcPr>
          <w:p w14:paraId="56FF326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173CCCB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12857C2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25F842C0"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40259924"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7D70C84D"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6AC12416"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0E925269"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1E7047A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5478E24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3C8C8745"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762E299F"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E4ECD" w14:paraId="2D215A90"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156F0B5"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lastRenderedPageBreak/>
              <w:t> </w:t>
            </w:r>
          </w:p>
        </w:tc>
        <w:tc>
          <w:tcPr>
            <w:tcW w:w="4580" w:type="dxa"/>
            <w:tcBorders>
              <w:top w:val="nil"/>
              <w:left w:val="nil"/>
              <w:bottom w:val="single" w:sz="4" w:space="0" w:color="auto"/>
              <w:right w:val="single" w:sz="4" w:space="0" w:color="auto"/>
            </w:tcBorders>
            <w:shd w:val="clear" w:color="auto" w:fill="auto"/>
            <w:vAlign w:val="bottom"/>
            <w:hideMark/>
          </w:tcPr>
          <w:p w14:paraId="5F5D35A8"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Sulaiman Z, Liamputtong P, Amir LH. (2018)</w:t>
            </w:r>
          </w:p>
        </w:tc>
        <w:tc>
          <w:tcPr>
            <w:tcW w:w="660" w:type="dxa"/>
            <w:tcBorders>
              <w:top w:val="nil"/>
              <w:left w:val="nil"/>
              <w:bottom w:val="single" w:sz="4" w:space="0" w:color="auto"/>
              <w:right w:val="single" w:sz="4" w:space="0" w:color="auto"/>
            </w:tcBorders>
            <w:shd w:val="clear" w:color="auto" w:fill="auto"/>
            <w:noWrap/>
            <w:vAlign w:val="center"/>
            <w:hideMark/>
          </w:tcPr>
          <w:p w14:paraId="15E0491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5860059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76C43C36"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6146DE3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6C72AA8"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51BC70F5"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45463F7F"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32FEB278"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70117C6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69DF9C2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42770266"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6AA3E8A8"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47287E33"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39BFE82"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427FA3E8"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Zhang Y.; Jin Y.; Vereijken C.; Stahl B.; Jiang H. (2018)</w:t>
            </w:r>
          </w:p>
        </w:tc>
        <w:tc>
          <w:tcPr>
            <w:tcW w:w="660" w:type="dxa"/>
            <w:tcBorders>
              <w:top w:val="nil"/>
              <w:left w:val="nil"/>
              <w:bottom w:val="single" w:sz="4" w:space="0" w:color="auto"/>
              <w:right w:val="single" w:sz="4" w:space="0" w:color="auto"/>
            </w:tcBorders>
            <w:shd w:val="clear" w:color="auto" w:fill="auto"/>
            <w:noWrap/>
            <w:vAlign w:val="center"/>
            <w:hideMark/>
          </w:tcPr>
          <w:p w14:paraId="35BFDDA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1CA78931"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6246ECBF"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55F5545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3FB0AE1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7812D209"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051099E3"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68EC3B41"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49AA29BE"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201044E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2B301475"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6E8D8B5E"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229D3190"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77E3753"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401D7253"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Hmone M.P.; Li M.; Agho K.; Alam A.; Dibley M.J. (2017)</w:t>
            </w:r>
          </w:p>
        </w:tc>
        <w:tc>
          <w:tcPr>
            <w:tcW w:w="660" w:type="dxa"/>
            <w:tcBorders>
              <w:top w:val="nil"/>
              <w:left w:val="nil"/>
              <w:bottom w:val="single" w:sz="4" w:space="0" w:color="auto"/>
              <w:right w:val="single" w:sz="4" w:space="0" w:color="auto"/>
            </w:tcBorders>
            <w:shd w:val="clear" w:color="auto" w:fill="auto"/>
            <w:noWrap/>
            <w:vAlign w:val="center"/>
            <w:hideMark/>
          </w:tcPr>
          <w:p w14:paraId="44B7A7B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54A97E27"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05598F3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57D8CE4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336F7A8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56BD427F"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35ACE2B8"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44828BDA"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5F3C105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1E4B09BC"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3FC13302"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71CEB907"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Low</w:t>
            </w:r>
          </w:p>
        </w:tc>
      </w:tr>
      <w:tr w:rsidR="00BE4ECD" w:rsidRPr="00BE4ECD" w14:paraId="6ABCC927"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3832A12"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59F1B653"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Desmond D.; Meaney S. (2016)</w:t>
            </w:r>
          </w:p>
        </w:tc>
        <w:tc>
          <w:tcPr>
            <w:tcW w:w="660" w:type="dxa"/>
            <w:tcBorders>
              <w:top w:val="nil"/>
              <w:left w:val="nil"/>
              <w:bottom w:val="single" w:sz="4" w:space="0" w:color="auto"/>
              <w:right w:val="single" w:sz="4" w:space="0" w:color="auto"/>
            </w:tcBorders>
            <w:shd w:val="clear" w:color="auto" w:fill="auto"/>
            <w:noWrap/>
            <w:vAlign w:val="center"/>
            <w:hideMark/>
          </w:tcPr>
          <w:p w14:paraId="28EC7A6D"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13216D2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04647A69"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1DB8C572"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547B5BD6"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1B7F0E24"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44E360B"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777C4252"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75094D6E"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00EC68BB"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087A737A"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5CACC2DF"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E4ECD" w14:paraId="70A2B83B" w14:textId="77777777" w:rsidTr="00BE4ECD">
        <w:trPr>
          <w:trHeight w:val="5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77DC11F" w14:textId="77777777" w:rsidR="00BE4ECD" w:rsidRPr="00BE4ECD" w:rsidRDefault="00BE4ECD" w:rsidP="00BE4ECD">
            <w:pPr>
              <w:rPr>
                <w:rFonts w:ascii="Times New Roman" w:eastAsia="Times New Roman" w:hAnsi="Times New Roman" w:cs="Times New Roman"/>
                <w:color w:val="000000"/>
                <w:kern w:val="0"/>
                <w:lang w:eastAsia="it-IT"/>
                <w14:ligatures w14:val="none"/>
              </w:rPr>
            </w:pPr>
            <w:r w:rsidRPr="00BE4ECD">
              <w:rPr>
                <w:rFonts w:ascii="Times New Roman" w:eastAsia="Times New Roman" w:hAnsi="Times New Roman" w:cs="Times New Roman"/>
                <w:color w:val="000000"/>
                <w:kern w:val="0"/>
                <w:lang w:eastAsia="it-IT"/>
                <w14:ligatures w14:val="none"/>
              </w:rPr>
              <w:t> </w:t>
            </w:r>
          </w:p>
        </w:tc>
        <w:tc>
          <w:tcPr>
            <w:tcW w:w="4580" w:type="dxa"/>
            <w:tcBorders>
              <w:top w:val="nil"/>
              <w:left w:val="nil"/>
              <w:bottom w:val="single" w:sz="4" w:space="0" w:color="auto"/>
              <w:right w:val="single" w:sz="4" w:space="0" w:color="auto"/>
            </w:tcBorders>
            <w:shd w:val="clear" w:color="auto" w:fill="auto"/>
            <w:vAlign w:val="bottom"/>
            <w:hideMark/>
          </w:tcPr>
          <w:p w14:paraId="5E66A7F0"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Parcsi L, Curtin M. (2013)</w:t>
            </w:r>
          </w:p>
        </w:tc>
        <w:tc>
          <w:tcPr>
            <w:tcW w:w="660" w:type="dxa"/>
            <w:tcBorders>
              <w:top w:val="nil"/>
              <w:left w:val="nil"/>
              <w:bottom w:val="single" w:sz="4" w:space="0" w:color="auto"/>
              <w:right w:val="single" w:sz="4" w:space="0" w:color="auto"/>
            </w:tcBorders>
            <w:shd w:val="clear" w:color="auto" w:fill="auto"/>
            <w:noWrap/>
            <w:vAlign w:val="center"/>
            <w:hideMark/>
          </w:tcPr>
          <w:p w14:paraId="23458EB0"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auto" w:fill="auto"/>
            <w:noWrap/>
            <w:vAlign w:val="center"/>
            <w:hideMark/>
          </w:tcPr>
          <w:p w14:paraId="3E7FAA03"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60" w:type="dxa"/>
            <w:tcBorders>
              <w:top w:val="nil"/>
              <w:left w:val="nil"/>
              <w:bottom w:val="single" w:sz="4" w:space="0" w:color="auto"/>
              <w:right w:val="single" w:sz="4" w:space="0" w:color="auto"/>
            </w:tcBorders>
            <w:shd w:val="clear" w:color="auto" w:fill="auto"/>
            <w:noWrap/>
            <w:vAlign w:val="center"/>
            <w:hideMark/>
          </w:tcPr>
          <w:p w14:paraId="42AA1825"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126D223B"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640" w:type="dxa"/>
            <w:tcBorders>
              <w:top w:val="nil"/>
              <w:left w:val="nil"/>
              <w:bottom w:val="single" w:sz="4" w:space="0" w:color="auto"/>
              <w:right w:val="single" w:sz="4" w:space="0" w:color="auto"/>
            </w:tcBorders>
            <w:shd w:val="clear" w:color="auto" w:fill="auto"/>
            <w:noWrap/>
            <w:vAlign w:val="center"/>
            <w:hideMark/>
          </w:tcPr>
          <w:p w14:paraId="7FC6DC4A" w14:textId="77777777" w:rsidR="00BE4ECD" w:rsidRPr="00991673" w:rsidRDefault="00BE4ECD" w:rsidP="00BE4ECD">
            <w:pPr>
              <w:jc w:val="center"/>
              <w:rPr>
                <w:rFonts w:ascii="Times New Roman" w:eastAsia="Times New Roman" w:hAnsi="Times New Roman" w:cs="Times New Roman"/>
                <w:color w:val="FFC000"/>
                <w:kern w:val="0"/>
                <w:sz w:val="60"/>
                <w:szCs w:val="60"/>
                <w:lang w:eastAsia="it-IT"/>
                <w14:ligatures w14:val="none"/>
              </w:rPr>
            </w:pPr>
            <w:r w:rsidRPr="00991673">
              <w:rPr>
                <w:rFonts w:ascii="Times New Roman" w:eastAsia="Times New Roman" w:hAnsi="Times New Roman" w:cs="Times New Roman"/>
                <w:color w:val="FFC000"/>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0AFDFF31"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4D33BB77"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540" w:type="dxa"/>
            <w:tcBorders>
              <w:top w:val="nil"/>
              <w:left w:val="nil"/>
              <w:bottom w:val="single" w:sz="4" w:space="0" w:color="auto"/>
              <w:right w:val="single" w:sz="4" w:space="0" w:color="auto"/>
            </w:tcBorders>
            <w:shd w:val="clear" w:color="auto" w:fill="auto"/>
            <w:noWrap/>
            <w:vAlign w:val="center"/>
            <w:hideMark/>
          </w:tcPr>
          <w:p w14:paraId="54AB94B4"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580" w:type="dxa"/>
            <w:tcBorders>
              <w:top w:val="nil"/>
              <w:left w:val="nil"/>
              <w:bottom w:val="single" w:sz="4" w:space="0" w:color="auto"/>
              <w:right w:val="single" w:sz="4" w:space="0" w:color="auto"/>
            </w:tcBorders>
            <w:shd w:val="clear" w:color="auto" w:fill="auto"/>
            <w:noWrap/>
            <w:vAlign w:val="center"/>
            <w:hideMark/>
          </w:tcPr>
          <w:p w14:paraId="55749A60" w14:textId="77777777" w:rsidR="00BE4ECD" w:rsidRPr="00991673" w:rsidRDefault="00BE4ECD" w:rsidP="00BE4ECD">
            <w:pPr>
              <w:jc w:val="center"/>
              <w:rPr>
                <w:rFonts w:ascii="Times New Roman" w:eastAsia="Times New Roman" w:hAnsi="Times New Roman" w:cs="Times New Roman"/>
                <w:color w:val="FF0000"/>
                <w:kern w:val="0"/>
                <w:sz w:val="60"/>
                <w:szCs w:val="60"/>
                <w:lang w:eastAsia="it-IT"/>
                <w14:ligatures w14:val="none"/>
              </w:rPr>
            </w:pPr>
            <w:r w:rsidRPr="00991673">
              <w:rPr>
                <w:rFonts w:ascii="Times New Roman" w:eastAsia="Times New Roman" w:hAnsi="Times New Roman" w:cs="Times New Roman"/>
                <w:color w:val="FF0000"/>
                <w:kern w:val="0"/>
                <w:sz w:val="60"/>
                <w:szCs w:val="60"/>
                <w:lang w:eastAsia="it-IT"/>
                <w14:ligatures w14:val="none"/>
              </w:rPr>
              <w:t>·</w:t>
            </w:r>
          </w:p>
        </w:tc>
        <w:tc>
          <w:tcPr>
            <w:tcW w:w="600" w:type="dxa"/>
            <w:tcBorders>
              <w:top w:val="nil"/>
              <w:left w:val="nil"/>
              <w:bottom w:val="single" w:sz="4" w:space="0" w:color="auto"/>
              <w:right w:val="single" w:sz="4" w:space="0" w:color="auto"/>
            </w:tcBorders>
            <w:shd w:val="clear" w:color="auto" w:fill="auto"/>
            <w:noWrap/>
            <w:vAlign w:val="center"/>
            <w:hideMark/>
          </w:tcPr>
          <w:p w14:paraId="75533EAC" w14:textId="77777777" w:rsidR="00BE4ECD" w:rsidRPr="00991673" w:rsidRDefault="00BE4ECD" w:rsidP="00BE4ECD">
            <w:pPr>
              <w:jc w:val="center"/>
              <w:rPr>
                <w:rFonts w:ascii="Times New Roman" w:eastAsia="Times New Roman" w:hAnsi="Times New Roman" w:cs="Times New Roman"/>
                <w:color w:val="70AD47"/>
                <w:kern w:val="0"/>
                <w:sz w:val="60"/>
                <w:szCs w:val="60"/>
                <w:lang w:eastAsia="it-IT"/>
                <w14:ligatures w14:val="none"/>
              </w:rPr>
            </w:pPr>
            <w:r w:rsidRPr="00991673">
              <w:rPr>
                <w:rFonts w:ascii="Times New Roman" w:eastAsia="Times New Roman" w:hAnsi="Times New Roman" w:cs="Times New Roman"/>
                <w:color w:val="70AD47"/>
                <w:kern w:val="0"/>
                <w:sz w:val="60"/>
                <w:szCs w:val="60"/>
                <w:lang w:eastAsia="it-IT"/>
                <w14:ligatures w14:val="none"/>
              </w:rPr>
              <w:t>·</w:t>
            </w:r>
          </w:p>
        </w:tc>
        <w:tc>
          <w:tcPr>
            <w:tcW w:w="660" w:type="dxa"/>
            <w:tcBorders>
              <w:top w:val="nil"/>
              <w:left w:val="nil"/>
              <w:bottom w:val="single" w:sz="4" w:space="0" w:color="auto"/>
              <w:right w:val="single" w:sz="4" w:space="0" w:color="auto"/>
            </w:tcBorders>
            <w:shd w:val="clear" w:color="000000" w:fill="AEAAAA"/>
            <w:vAlign w:val="center"/>
            <w:hideMark/>
          </w:tcPr>
          <w:p w14:paraId="1598389C"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 </w:t>
            </w:r>
          </w:p>
        </w:tc>
        <w:tc>
          <w:tcPr>
            <w:tcW w:w="1160" w:type="dxa"/>
            <w:tcBorders>
              <w:top w:val="nil"/>
              <w:left w:val="nil"/>
              <w:bottom w:val="single" w:sz="4" w:space="0" w:color="auto"/>
              <w:right w:val="single" w:sz="4" w:space="0" w:color="auto"/>
            </w:tcBorders>
            <w:shd w:val="clear" w:color="auto" w:fill="auto"/>
            <w:noWrap/>
            <w:vAlign w:val="center"/>
            <w:hideMark/>
          </w:tcPr>
          <w:p w14:paraId="0BC07059" w14:textId="77777777" w:rsidR="00BE4ECD" w:rsidRPr="00BE4ECD" w:rsidRDefault="00BE4ECD" w:rsidP="00BE4ECD">
            <w:pPr>
              <w:rPr>
                <w:rFonts w:ascii="Times New Roman" w:eastAsia="Times New Roman" w:hAnsi="Times New Roman" w:cs="Times New Roman"/>
                <w:color w:val="000000"/>
                <w:kern w:val="0"/>
                <w:sz w:val="16"/>
                <w:szCs w:val="16"/>
                <w:lang w:eastAsia="it-IT"/>
                <w14:ligatures w14:val="none"/>
              </w:rPr>
            </w:pPr>
            <w:r w:rsidRPr="00BE4ECD">
              <w:rPr>
                <w:rFonts w:ascii="Times New Roman" w:eastAsia="Times New Roman" w:hAnsi="Times New Roman" w:cs="Times New Roman"/>
                <w:color w:val="000000"/>
                <w:kern w:val="0"/>
                <w:sz w:val="16"/>
                <w:szCs w:val="16"/>
                <w:lang w:eastAsia="it-IT"/>
                <w14:ligatures w14:val="none"/>
              </w:rPr>
              <w:t>Moderate</w:t>
            </w:r>
          </w:p>
        </w:tc>
      </w:tr>
      <w:tr w:rsidR="00BE4ECD" w:rsidRPr="00B74BD6" w14:paraId="498164E0" w14:textId="77777777" w:rsidTr="00BE4ECD">
        <w:trPr>
          <w:trHeight w:val="68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D82AE97" w14:textId="77777777" w:rsidR="00BE4ECD" w:rsidRPr="00BE4ECD" w:rsidRDefault="00BE4ECD" w:rsidP="00BE4ECD">
            <w:pPr>
              <w:rPr>
                <w:rFonts w:ascii="Times New Roman" w:eastAsia="Times New Roman" w:hAnsi="Times New Roman" w:cs="Times New Roman"/>
                <w:i/>
                <w:iCs/>
                <w:color w:val="000000"/>
                <w:kern w:val="0"/>
                <w:sz w:val="18"/>
                <w:szCs w:val="18"/>
                <w:lang w:eastAsia="it-IT"/>
                <w14:ligatures w14:val="none"/>
              </w:rPr>
            </w:pPr>
            <w:r w:rsidRPr="00BE4ECD">
              <w:rPr>
                <w:rFonts w:ascii="Times New Roman" w:eastAsia="Times New Roman" w:hAnsi="Times New Roman" w:cs="Times New Roman"/>
                <w:i/>
                <w:iCs/>
                <w:color w:val="000000"/>
                <w:kern w:val="0"/>
                <w:sz w:val="18"/>
                <w:szCs w:val="18"/>
                <w:lang w:eastAsia="it-IT"/>
                <w14:ligatures w14:val="none"/>
              </w:rPr>
              <w:t> </w:t>
            </w:r>
          </w:p>
        </w:tc>
        <w:tc>
          <w:tcPr>
            <w:tcW w:w="4580" w:type="dxa"/>
            <w:tcBorders>
              <w:top w:val="nil"/>
              <w:left w:val="nil"/>
              <w:bottom w:val="single" w:sz="4" w:space="0" w:color="auto"/>
              <w:right w:val="single" w:sz="4" w:space="0" w:color="auto"/>
            </w:tcBorders>
            <w:shd w:val="clear" w:color="auto" w:fill="auto"/>
            <w:vAlign w:val="center"/>
            <w:hideMark/>
          </w:tcPr>
          <w:p w14:paraId="097093C7" w14:textId="77777777" w:rsidR="00BE4ECD" w:rsidRPr="00BE4ECD" w:rsidRDefault="00BE4ECD" w:rsidP="00BE4ECD">
            <w:pPr>
              <w:rPr>
                <w:rFonts w:ascii="Times New Roman" w:eastAsia="Times New Roman" w:hAnsi="Times New Roman" w:cs="Times New Roman"/>
                <w:i/>
                <w:iCs/>
                <w:color w:val="000000"/>
                <w:kern w:val="0"/>
                <w:sz w:val="18"/>
                <w:szCs w:val="18"/>
                <w:lang w:val="en-US" w:eastAsia="it-IT"/>
                <w14:ligatures w14:val="none"/>
              </w:rPr>
            </w:pPr>
            <w:r w:rsidRPr="00BE4ECD">
              <w:rPr>
                <w:rFonts w:ascii="Times New Roman" w:eastAsia="Times New Roman" w:hAnsi="Times New Roman" w:cs="Times New Roman"/>
                <w:i/>
                <w:iCs/>
                <w:color w:val="000000"/>
                <w:kern w:val="0"/>
                <w:sz w:val="18"/>
                <w:szCs w:val="18"/>
                <w:lang w:val="en-US" w:eastAsia="it-IT"/>
                <w14:ligatures w14:val="none"/>
              </w:rPr>
              <w:t>Color code: Yes=</w:t>
            </w:r>
            <w:r w:rsidRPr="00A50930">
              <w:rPr>
                <w:rFonts w:ascii="Times New Roman" w:eastAsia="Times New Roman" w:hAnsi="Times New Roman" w:cs="Times New Roman"/>
                <w:i/>
                <w:iCs/>
                <w:color w:val="70AD47"/>
                <w:kern w:val="0"/>
                <w:lang w:val="en-US" w:eastAsia="it-IT"/>
                <w14:ligatures w14:val="none"/>
              </w:rPr>
              <w:t>·</w:t>
            </w:r>
            <w:r w:rsidRPr="00BE4ECD">
              <w:rPr>
                <w:rFonts w:ascii="Times New Roman" w:eastAsia="Times New Roman" w:hAnsi="Times New Roman" w:cs="Times New Roman"/>
                <w:i/>
                <w:iCs/>
                <w:color w:val="000000"/>
                <w:kern w:val="0"/>
                <w:sz w:val="18"/>
                <w:szCs w:val="18"/>
                <w:lang w:val="en-US" w:eastAsia="it-IT"/>
                <w14:ligatures w14:val="none"/>
              </w:rPr>
              <w:t>; No=</w:t>
            </w:r>
            <w:r w:rsidRPr="00A50930">
              <w:rPr>
                <w:rFonts w:ascii="Times New Roman" w:eastAsia="Times New Roman" w:hAnsi="Times New Roman" w:cs="Times New Roman"/>
                <w:i/>
                <w:iCs/>
                <w:color w:val="FF0000"/>
                <w:kern w:val="0"/>
                <w:lang w:val="en-US" w:eastAsia="it-IT"/>
                <w14:ligatures w14:val="none"/>
              </w:rPr>
              <w:t>·</w:t>
            </w:r>
            <w:r w:rsidRPr="00BE4ECD">
              <w:rPr>
                <w:rFonts w:ascii="Times New Roman" w:eastAsia="Times New Roman" w:hAnsi="Times New Roman" w:cs="Times New Roman"/>
                <w:i/>
                <w:iCs/>
                <w:color w:val="000000"/>
                <w:kern w:val="0"/>
                <w:sz w:val="18"/>
                <w:szCs w:val="18"/>
                <w:lang w:val="en-US" w:eastAsia="it-IT"/>
                <w14:ligatures w14:val="none"/>
              </w:rPr>
              <w:t>;</w:t>
            </w:r>
            <w:r w:rsidRPr="00BE4ECD">
              <w:rPr>
                <w:rFonts w:ascii="Times New Roman" w:eastAsia="Times New Roman" w:hAnsi="Times New Roman" w:cs="Times New Roman"/>
                <w:i/>
                <w:iCs/>
                <w:color w:val="FF0000"/>
                <w:kern w:val="0"/>
                <w:sz w:val="18"/>
                <w:szCs w:val="18"/>
                <w:lang w:val="en-US" w:eastAsia="it-IT"/>
                <w14:ligatures w14:val="none"/>
              </w:rPr>
              <w:t xml:space="preserve"> </w:t>
            </w:r>
            <w:r w:rsidRPr="00BE4ECD">
              <w:rPr>
                <w:rFonts w:ascii="Times New Roman" w:eastAsia="Times New Roman" w:hAnsi="Times New Roman" w:cs="Times New Roman"/>
                <w:i/>
                <w:iCs/>
                <w:color w:val="000000"/>
                <w:kern w:val="0"/>
                <w:sz w:val="18"/>
                <w:szCs w:val="18"/>
                <w:lang w:val="en-US" w:eastAsia="it-IT"/>
                <w14:ligatures w14:val="none"/>
              </w:rPr>
              <w:t>Unclear=</w:t>
            </w:r>
            <w:r w:rsidRPr="00A50930">
              <w:rPr>
                <w:rFonts w:ascii="Times New Roman" w:eastAsia="Times New Roman" w:hAnsi="Times New Roman" w:cs="Times New Roman"/>
                <w:i/>
                <w:iCs/>
                <w:color w:val="FFC000"/>
                <w:kern w:val="0"/>
                <w:lang w:val="en-US" w:eastAsia="it-IT"/>
                <w14:ligatures w14:val="none"/>
              </w:rPr>
              <w:t>·</w:t>
            </w:r>
            <w:r w:rsidRPr="00BE4ECD">
              <w:rPr>
                <w:rFonts w:ascii="Times New Roman" w:eastAsia="Times New Roman" w:hAnsi="Times New Roman" w:cs="Times New Roman"/>
                <w:i/>
                <w:iCs/>
                <w:color w:val="000000"/>
                <w:kern w:val="0"/>
                <w:sz w:val="18"/>
                <w:szCs w:val="18"/>
                <w:lang w:val="en-US" w:eastAsia="it-IT"/>
                <w14:ligatures w14:val="none"/>
              </w:rPr>
              <w:t>; Not applicable=</w:t>
            </w:r>
            <w:r w:rsidRPr="00A50930">
              <w:rPr>
                <w:rFonts w:ascii="Times New Roman" w:eastAsia="Times New Roman" w:hAnsi="Times New Roman" w:cs="Times New Roman"/>
                <w:i/>
                <w:iCs/>
                <w:color w:val="000000"/>
                <w:kern w:val="0"/>
                <w:lang w:val="en-US" w:eastAsia="it-IT"/>
                <w14:ligatures w14:val="none"/>
              </w:rPr>
              <w:t>·</w:t>
            </w:r>
          </w:p>
        </w:tc>
        <w:tc>
          <w:tcPr>
            <w:tcW w:w="660" w:type="dxa"/>
            <w:tcBorders>
              <w:top w:val="nil"/>
              <w:left w:val="nil"/>
              <w:bottom w:val="single" w:sz="4" w:space="0" w:color="auto"/>
              <w:right w:val="single" w:sz="4" w:space="0" w:color="auto"/>
            </w:tcBorders>
            <w:shd w:val="clear" w:color="auto" w:fill="auto"/>
            <w:vAlign w:val="center"/>
            <w:hideMark/>
          </w:tcPr>
          <w:p w14:paraId="3EE1E042" w14:textId="77777777" w:rsidR="00BE4ECD" w:rsidRPr="00BE4ECD" w:rsidRDefault="00BE4ECD" w:rsidP="00BE4ECD">
            <w:pPr>
              <w:rPr>
                <w:rFonts w:ascii="Times New Roman" w:eastAsia="Times New Roman" w:hAnsi="Times New Roman" w:cs="Times New Roman"/>
                <w:i/>
                <w:iCs/>
                <w:color w:val="000000"/>
                <w:kern w:val="0"/>
                <w:sz w:val="18"/>
                <w:szCs w:val="18"/>
                <w:lang w:val="en-US" w:eastAsia="it-IT"/>
                <w14:ligatures w14:val="none"/>
              </w:rPr>
            </w:pPr>
            <w:r w:rsidRPr="00BE4ECD">
              <w:rPr>
                <w:rFonts w:ascii="Times New Roman" w:eastAsia="Times New Roman" w:hAnsi="Times New Roman" w:cs="Times New Roman"/>
                <w:i/>
                <w:iCs/>
                <w:color w:val="000000"/>
                <w:kern w:val="0"/>
                <w:sz w:val="18"/>
                <w:szCs w:val="18"/>
                <w:lang w:val="en-US" w:eastAsia="it-IT"/>
                <w14:ligatures w14:val="none"/>
              </w:rPr>
              <w:t> </w:t>
            </w:r>
          </w:p>
        </w:tc>
        <w:tc>
          <w:tcPr>
            <w:tcW w:w="660" w:type="dxa"/>
            <w:tcBorders>
              <w:top w:val="nil"/>
              <w:left w:val="nil"/>
              <w:bottom w:val="single" w:sz="4" w:space="0" w:color="auto"/>
              <w:right w:val="single" w:sz="4" w:space="0" w:color="auto"/>
            </w:tcBorders>
            <w:shd w:val="clear" w:color="auto" w:fill="auto"/>
            <w:vAlign w:val="center"/>
            <w:hideMark/>
          </w:tcPr>
          <w:p w14:paraId="7A6508D5" w14:textId="77777777" w:rsidR="00BE4ECD" w:rsidRPr="00BE4ECD" w:rsidRDefault="00BE4ECD" w:rsidP="00BE4ECD">
            <w:pPr>
              <w:rPr>
                <w:rFonts w:ascii="Times New Roman" w:eastAsia="Times New Roman" w:hAnsi="Times New Roman" w:cs="Times New Roman"/>
                <w:i/>
                <w:iCs/>
                <w:color w:val="000000"/>
                <w:kern w:val="0"/>
                <w:sz w:val="18"/>
                <w:szCs w:val="18"/>
                <w:lang w:val="en-US" w:eastAsia="it-IT"/>
                <w14:ligatures w14:val="none"/>
              </w:rPr>
            </w:pPr>
            <w:r w:rsidRPr="00BE4ECD">
              <w:rPr>
                <w:rFonts w:ascii="Times New Roman" w:eastAsia="Times New Roman" w:hAnsi="Times New Roman" w:cs="Times New Roman"/>
                <w:i/>
                <w:iCs/>
                <w:color w:val="000000"/>
                <w:kern w:val="0"/>
                <w:sz w:val="18"/>
                <w:szCs w:val="18"/>
                <w:lang w:val="en-US" w:eastAsia="it-IT"/>
                <w14:ligatures w14:val="none"/>
              </w:rPr>
              <w:t> </w:t>
            </w:r>
          </w:p>
        </w:tc>
        <w:tc>
          <w:tcPr>
            <w:tcW w:w="560" w:type="dxa"/>
            <w:tcBorders>
              <w:top w:val="nil"/>
              <w:left w:val="nil"/>
              <w:bottom w:val="single" w:sz="4" w:space="0" w:color="auto"/>
              <w:right w:val="single" w:sz="4" w:space="0" w:color="auto"/>
            </w:tcBorders>
            <w:shd w:val="clear" w:color="auto" w:fill="auto"/>
            <w:vAlign w:val="center"/>
            <w:hideMark/>
          </w:tcPr>
          <w:p w14:paraId="1110D0D0" w14:textId="77777777" w:rsidR="00BE4ECD" w:rsidRPr="00BE4ECD" w:rsidRDefault="00BE4ECD" w:rsidP="00BE4ECD">
            <w:pPr>
              <w:rPr>
                <w:rFonts w:ascii="Times New Roman" w:eastAsia="Times New Roman" w:hAnsi="Times New Roman" w:cs="Times New Roman"/>
                <w:i/>
                <w:iCs/>
                <w:color w:val="000000"/>
                <w:kern w:val="0"/>
                <w:sz w:val="18"/>
                <w:szCs w:val="18"/>
                <w:lang w:val="en-US" w:eastAsia="it-IT"/>
                <w14:ligatures w14:val="none"/>
              </w:rPr>
            </w:pPr>
            <w:r w:rsidRPr="00BE4ECD">
              <w:rPr>
                <w:rFonts w:ascii="Times New Roman" w:eastAsia="Times New Roman" w:hAnsi="Times New Roman" w:cs="Times New Roman"/>
                <w:i/>
                <w:iCs/>
                <w:color w:val="000000"/>
                <w:kern w:val="0"/>
                <w:sz w:val="18"/>
                <w:szCs w:val="18"/>
                <w:lang w:val="en-US" w:eastAsia="it-IT"/>
                <w14:ligatures w14:val="none"/>
              </w:rPr>
              <w:t> </w:t>
            </w:r>
          </w:p>
        </w:tc>
        <w:tc>
          <w:tcPr>
            <w:tcW w:w="640" w:type="dxa"/>
            <w:tcBorders>
              <w:top w:val="nil"/>
              <w:left w:val="nil"/>
              <w:bottom w:val="single" w:sz="4" w:space="0" w:color="auto"/>
              <w:right w:val="single" w:sz="4" w:space="0" w:color="auto"/>
            </w:tcBorders>
            <w:shd w:val="clear" w:color="auto" w:fill="auto"/>
            <w:vAlign w:val="center"/>
            <w:hideMark/>
          </w:tcPr>
          <w:p w14:paraId="4D277196" w14:textId="77777777" w:rsidR="00BE4ECD" w:rsidRPr="00BE4ECD" w:rsidRDefault="00BE4ECD" w:rsidP="00BE4ECD">
            <w:pPr>
              <w:rPr>
                <w:rFonts w:ascii="Times New Roman" w:eastAsia="Times New Roman" w:hAnsi="Times New Roman" w:cs="Times New Roman"/>
                <w:i/>
                <w:iCs/>
                <w:color w:val="000000"/>
                <w:kern w:val="0"/>
                <w:sz w:val="18"/>
                <w:szCs w:val="18"/>
                <w:lang w:val="en-US" w:eastAsia="it-IT"/>
                <w14:ligatures w14:val="none"/>
              </w:rPr>
            </w:pPr>
            <w:r w:rsidRPr="00BE4ECD">
              <w:rPr>
                <w:rFonts w:ascii="Times New Roman" w:eastAsia="Times New Roman" w:hAnsi="Times New Roman" w:cs="Times New Roman"/>
                <w:i/>
                <w:iCs/>
                <w:color w:val="000000"/>
                <w:kern w:val="0"/>
                <w:sz w:val="18"/>
                <w:szCs w:val="18"/>
                <w:lang w:val="en-US" w:eastAsia="it-IT"/>
                <w14:ligatures w14:val="none"/>
              </w:rPr>
              <w:t> </w:t>
            </w:r>
          </w:p>
        </w:tc>
        <w:tc>
          <w:tcPr>
            <w:tcW w:w="640" w:type="dxa"/>
            <w:tcBorders>
              <w:top w:val="nil"/>
              <w:left w:val="nil"/>
              <w:bottom w:val="single" w:sz="4" w:space="0" w:color="auto"/>
              <w:right w:val="single" w:sz="4" w:space="0" w:color="auto"/>
            </w:tcBorders>
            <w:shd w:val="clear" w:color="auto" w:fill="auto"/>
            <w:vAlign w:val="center"/>
            <w:hideMark/>
          </w:tcPr>
          <w:p w14:paraId="7D3D5FE7" w14:textId="77777777" w:rsidR="00BE4ECD" w:rsidRPr="00BE4ECD" w:rsidRDefault="00BE4ECD" w:rsidP="00BE4ECD">
            <w:pPr>
              <w:rPr>
                <w:rFonts w:ascii="Times New Roman" w:eastAsia="Times New Roman" w:hAnsi="Times New Roman" w:cs="Times New Roman"/>
                <w:i/>
                <w:iCs/>
                <w:color w:val="000000"/>
                <w:kern w:val="0"/>
                <w:sz w:val="18"/>
                <w:szCs w:val="18"/>
                <w:lang w:val="en-US" w:eastAsia="it-IT"/>
                <w14:ligatures w14:val="none"/>
              </w:rPr>
            </w:pPr>
            <w:r w:rsidRPr="00BE4ECD">
              <w:rPr>
                <w:rFonts w:ascii="Times New Roman" w:eastAsia="Times New Roman" w:hAnsi="Times New Roman" w:cs="Times New Roman"/>
                <w:i/>
                <w:iCs/>
                <w:color w:val="000000"/>
                <w:kern w:val="0"/>
                <w:sz w:val="18"/>
                <w:szCs w:val="18"/>
                <w:lang w:val="en-US" w:eastAsia="it-IT"/>
                <w14:ligatures w14:val="none"/>
              </w:rPr>
              <w:t> </w:t>
            </w:r>
          </w:p>
        </w:tc>
        <w:tc>
          <w:tcPr>
            <w:tcW w:w="580" w:type="dxa"/>
            <w:tcBorders>
              <w:top w:val="nil"/>
              <w:left w:val="nil"/>
              <w:bottom w:val="single" w:sz="4" w:space="0" w:color="auto"/>
              <w:right w:val="single" w:sz="4" w:space="0" w:color="auto"/>
            </w:tcBorders>
            <w:shd w:val="clear" w:color="auto" w:fill="auto"/>
            <w:vAlign w:val="center"/>
            <w:hideMark/>
          </w:tcPr>
          <w:p w14:paraId="36952E02" w14:textId="77777777" w:rsidR="00BE4ECD" w:rsidRPr="00BE4ECD" w:rsidRDefault="00BE4ECD" w:rsidP="00BE4ECD">
            <w:pPr>
              <w:rPr>
                <w:rFonts w:ascii="Times New Roman" w:eastAsia="Times New Roman" w:hAnsi="Times New Roman" w:cs="Times New Roman"/>
                <w:i/>
                <w:iCs/>
                <w:color w:val="000000"/>
                <w:kern w:val="0"/>
                <w:sz w:val="18"/>
                <w:szCs w:val="18"/>
                <w:lang w:val="en-US" w:eastAsia="it-IT"/>
                <w14:ligatures w14:val="none"/>
              </w:rPr>
            </w:pPr>
            <w:r w:rsidRPr="00BE4ECD">
              <w:rPr>
                <w:rFonts w:ascii="Times New Roman" w:eastAsia="Times New Roman" w:hAnsi="Times New Roman" w:cs="Times New Roman"/>
                <w:i/>
                <w:iCs/>
                <w:color w:val="000000"/>
                <w:kern w:val="0"/>
                <w:sz w:val="18"/>
                <w:szCs w:val="18"/>
                <w:lang w:val="en-US" w:eastAsia="it-IT"/>
                <w14:ligatures w14:val="none"/>
              </w:rPr>
              <w:t> </w:t>
            </w:r>
          </w:p>
        </w:tc>
        <w:tc>
          <w:tcPr>
            <w:tcW w:w="600" w:type="dxa"/>
            <w:tcBorders>
              <w:top w:val="nil"/>
              <w:left w:val="nil"/>
              <w:bottom w:val="single" w:sz="4" w:space="0" w:color="auto"/>
              <w:right w:val="single" w:sz="4" w:space="0" w:color="auto"/>
            </w:tcBorders>
            <w:shd w:val="clear" w:color="auto" w:fill="auto"/>
            <w:vAlign w:val="center"/>
            <w:hideMark/>
          </w:tcPr>
          <w:p w14:paraId="1412DDC4" w14:textId="77777777" w:rsidR="00BE4ECD" w:rsidRPr="00BE4ECD" w:rsidRDefault="00BE4ECD" w:rsidP="00BE4ECD">
            <w:pPr>
              <w:rPr>
                <w:rFonts w:ascii="Times New Roman" w:eastAsia="Times New Roman" w:hAnsi="Times New Roman" w:cs="Times New Roman"/>
                <w:i/>
                <w:iCs/>
                <w:color w:val="000000"/>
                <w:kern w:val="0"/>
                <w:sz w:val="18"/>
                <w:szCs w:val="18"/>
                <w:lang w:val="en-US" w:eastAsia="it-IT"/>
                <w14:ligatures w14:val="none"/>
              </w:rPr>
            </w:pPr>
            <w:r w:rsidRPr="00BE4ECD">
              <w:rPr>
                <w:rFonts w:ascii="Times New Roman" w:eastAsia="Times New Roman" w:hAnsi="Times New Roman" w:cs="Times New Roman"/>
                <w:i/>
                <w:iCs/>
                <w:color w:val="000000"/>
                <w:kern w:val="0"/>
                <w:sz w:val="18"/>
                <w:szCs w:val="18"/>
                <w:lang w:val="en-US" w:eastAsia="it-IT"/>
                <w14:ligatures w14:val="none"/>
              </w:rPr>
              <w:t> </w:t>
            </w:r>
          </w:p>
        </w:tc>
        <w:tc>
          <w:tcPr>
            <w:tcW w:w="540" w:type="dxa"/>
            <w:tcBorders>
              <w:top w:val="nil"/>
              <w:left w:val="nil"/>
              <w:bottom w:val="single" w:sz="4" w:space="0" w:color="auto"/>
              <w:right w:val="single" w:sz="4" w:space="0" w:color="auto"/>
            </w:tcBorders>
            <w:shd w:val="clear" w:color="auto" w:fill="auto"/>
            <w:vAlign w:val="center"/>
            <w:hideMark/>
          </w:tcPr>
          <w:p w14:paraId="32D27648" w14:textId="77777777" w:rsidR="00BE4ECD" w:rsidRPr="00BE4ECD" w:rsidRDefault="00BE4ECD" w:rsidP="00BE4ECD">
            <w:pPr>
              <w:rPr>
                <w:rFonts w:ascii="Times New Roman" w:eastAsia="Times New Roman" w:hAnsi="Times New Roman" w:cs="Times New Roman"/>
                <w:i/>
                <w:iCs/>
                <w:color w:val="000000"/>
                <w:kern w:val="0"/>
                <w:sz w:val="18"/>
                <w:szCs w:val="18"/>
                <w:lang w:val="en-US" w:eastAsia="it-IT"/>
                <w14:ligatures w14:val="none"/>
              </w:rPr>
            </w:pPr>
            <w:r w:rsidRPr="00BE4ECD">
              <w:rPr>
                <w:rFonts w:ascii="Times New Roman" w:eastAsia="Times New Roman" w:hAnsi="Times New Roman" w:cs="Times New Roman"/>
                <w:i/>
                <w:iCs/>
                <w:color w:val="000000"/>
                <w:kern w:val="0"/>
                <w:sz w:val="18"/>
                <w:szCs w:val="18"/>
                <w:lang w:val="en-US" w:eastAsia="it-IT"/>
                <w14:ligatures w14:val="none"/>
              </w:rPr>
              <w:t> </w:t>
            </w:r>
          </w:p>
        </w:tc>
        <w:tc>
          <w:tcPr>
            <w:tcW w:w="580" w:type="dxa"/>
            <w:tcBorders>
              <w:top w:val="nil"/>
              <w:left w:val="nil"/>
              <w:bottom w:val="single" w:sz="4" w:space="0" w:color="auto"/>
              <w:right w:val="single" w:sz="4" w:space="0" w:color="auto"/>
            </w:tcBorders>
            <w:shd w:val="clear" w:color="auto" w:fill="auto"/>
            <w:vAlign w:val="center"/>
            <w:hideMark/>
          </w:tcPr>
          <w:p w14:paraId="4F1065F9" w14:textId="77777777" w:rsidR="00BE4ECD" w:rsidRPr="00BE4ECD" w:rsidRDefault="00BE4ECD" w:rsidP="00BE4ECD">
            <w:pPr>
              <w:rPr>
                <w:rFonts w:ascii="Times New Roman" w:eastAsia="Times New Roman" w:hAnsi="Times New Roman" w:cs="Times New Roman"/>
                <w:i/>
                <w:iCs/>
                <w:color w:val="000000"/>
                <w:kern w:val="0"/>
                <w:sz w:val="18"/>
                <w:szCs w:val="18"/>
                <w:lang w:val="en-US" w:eastAsia="it-IT"/>
                <w14:ligatures w14:val="none"/>
              </w:rPr>
            </w:pPr>
            <w:r w:rsidRPr="00BE4ECD">
              <w:rPr>
                <w:rFonts w:ascii="Times New Roman" w:eastAsia="Times New Roman" w:hAnsi="Times New Roman" w:cs="Times New Roman"/>
                <w:i/>
                <w:iCs/>
                <w:color w:val="000000"/>
                <w:kern w:val="0"/>
                <w:sz w:val="18"/>
                <w:szCs w:val="18"/>
                <w:lang w:val="en-US" w:eastAsia="it-IT"/>
                <w14:ligatures w14:val="none"/>
              </w:rPr>
              <w:t> </w:t>
            </w:r>
          </w:p>
        </w:tc>
        <w:tc>
          <w:tcPr>
            <w:tcW w:w="600" w:type="dxa"/>
            <w:tcBorders>
              <w:top w:val="nil"/>
              <w:left w:val="nil"/>
              <w:bottom w:val="single" w:sz="4" w:space="0" w:color="auto"/>
              <w:right w:val="single" w:sz="4" w:space="0" w:color="auto"/>
            </w:tcBorders>
            <w:shd w:val="clear" w:color="auto" w:fill="auto"/>
            <w:vAlign w:val="center"/>
            <w:hideMark/>
          </w:tcPr>
          <w:p w14:paraId="4324D5AD" w14:textId="77777777" w:rsidR="00BE4ECD" w:rsidRPr="00BE4ECD" w:rsidRDefault="00BE4ECD" w:rsidP="00BE4ECD">
            <w:pPr>
              <w:rPr>
                <w:rFonts w:ascii="Times New Roman" w:eastAsia="Times New Roman" w:hAnsi="Times New Roman" w:cs="Times New Roman"/>
                <w:i/>
                <w:iCs/>
                <w:color w:val="000000"/>
                <w:kern w:val="0"/>
                <w:sz w:val="18"/>
                <w:szCs w:val="18"/>
                <w:lang w:val="en-US" w:eastAsia="it-IT"/>
                <w14:ligatures w14:val="none"/>
              </w:rPr>
            </w:pPr>
            <w:r w:rsidRPr="00BE4ECD">
              <w:rPr>
                <w:rFonts w:ascii="Times New Roman" w:eastAsia="Times New Roman" w:hAnsi="Times New Roman" w:cs="Times New Roman"/>
                <w:i/>
                <w:iCs/>
                <w:color w:val="000000"/>
                <w:kern w:val="0"/>
                <w:sz w:val="18"/>
                <w:szCs w:val="18"/>
                <w:lang w:val="en-US" w:eastAsia="it-IT"/>
                <w14:ligatures w14:val="none"/>
              </w:rPr>
              <w:t> </w:t>
            </w:r>
          </w:p>
        </w:tc>
        <w:tc>
          <w:tcPr>
            <w:tcW w:w="660" w:type="dxa"/>
            <w:tcBorders>
              <w:top w:val="nil"/>
              <w:left w:val="nil"/>
              <w:bottom w:val="single" w:sz="4" w:space="0" w:color="auto"/>
              <w:right w:val="single" w:sz="4" w:space="0" w:color="auto"/>
            </w:tcBorders>
            <w:shd w:val="clear" w:color="auto" w:fill="auto"/>
            <w:vAlign w:val="center"/>
            <w:hideMark/>
          </w:tcPr>
          <w:p w14:paraId="77262DFA" w14:textId="77777777" w:rsidR="00BE4ECD" w:rsidRPr="00BE4ECD" w:rsidRDefault="00BE4ECD" w:rsidP="00BE4ECD">
            <w:pPr>
              <w:rPr>
                <w:rFonts w:ascii="Times New Roman" w:eastAsia="Times New Roman" w:hAnsi="Times New Roman" w:cs="Times New Roman"/>
                <w:i/>
                <w:iCs/>
                <w:color w:val="000000"/>
                <w:kern w:val="0"/>
                <w:sz w:val="18"/>
                <w:szCs w:val="18"/>
                <w:lang w:val="en-US" w:eastAsia="it-IT"/>
                <w14:ligatures w14:val="none"/>
              </w:rPr>
            </w:pPr>
            <w:r w:rsidRPr="00BE4ECD">
              <w:rPr>
                <w:rFonts w:ascii="Times New Roman" w:eastAsia="Times New Roman" w:hAnsi="Times New Roman" w:cs="Times New Roman"/>
                <w:i/>
                <w:iCs/>
                <w:color w:val="000000"/>
                <w:kern w:val="0"/>
                <w:sz w:val="18"/>
                <w:szCs w:val="18"/>
                <w:lang w:val="en-US" w:eastAsia="it-IT"/>
                <w14:ligatures w14:val="none"/>
              </w:rPr>
              <w:t> </w:t>
            </w:r>
          </w:p>
        </w:tc>
        <w:tc>
          <w:tcPr>
            <w:tcW w:w="1160" w:type="dxa"/>
            <w:tcBorders>
              <w:top w:val="nil"/>
              <w:left w:val="nil"/>
              <w:bottom w:val="single" w:sz="4" w:space="0" w:color="auto"/>
              <w:right w:val="single" w:sz="4" w:space="0" w:color="auto"/>
            </w:tcBorders>
            <w:shd w:val="clear" w:color="auto" w:fill="auto"/>
            <w:vAlign w:val="center"/>
            <w:hideMark/>
          </w:tcPr>
          <w:p w14:paraId="0EBED1C0" w14:textId="77777777" w:rsidR="00BE4ECD" w:rsidRPr="00BE4ECD" w:rsidRDefault="00BE4ECD" w:rsidP="00BE4ECD">
            <w:pPr>
              <w:rPr>
                <w:rFonts w:ascii="Times New Roman" w:eastAsia="Times New Roman" w:hAnsi="Times New Roman" w:cs="Times New Roman"/>
                <w:i/>
                <w:iCs/>
                <w:color w:val="000000"/>
                <w:kern w:val="0"/>
                <w:sz w:val="18"/>
                <w:szCs w:val="18"/>
                <w:lang w:val="en-US" w:eastAsia="it-IT"/>
                <w14:ligatures w14:val="none"/>
              </w:rPr>
            </w:pPr>
            <w:r w:rsidRPr="00BE4ECD">
              <w:rPr>
                <w:rFonts w:ascii="Times New Roman" w:eastAsia="Times New Roman" w:hAnsi="Times New Roman" w:cs="Times New Roman"/>
                <w:i/>
                <w:iCs/>
                <w:color w:val="000000"/>
                <w:kern w:val="0"/>
                <w:sz w:val="18"/>
                <w:szCs w:val="18"/>
                <w:lang w:val="en-US" w:eastAsia="it-IT"/>
                <w14:ligatures w14:val="none"/>
              </w:rPr>
              <w:t> </w:t>
            </w:r>
          </w:p>
        </w:tc>
      </w:tr>
      <w:tr w:rsidR="00BE4ECD" w:rsidRPr="00B74BD6" w14:paraId="3AAFBF2C" w14:textId="77777777" w:rsidTr="00BE4ECD">
        <w:trPr>
          <w:trHeight w:val="320"/>
        </w:trPr>
        <w:tc>
          <w:tcPr>
            <w:tcW w:w="1120" w:type="dxa"/>
            <w:tcBorders>
              <w:top w:val="nil"/>
              <w:left w:val="nil"/>
              <w:bottom w:val="nil"/>
              <w:right w:val="nil"/>
            </w:tcBorders>
            <w:shd w:val="clear" w:color="auto" w:fill="auto"/>
            <w:vAlign w:val="center"/>
            <w:hideMark/>
          </w:tcPr>
          <w:p w14:paraId="0407D313" w14:textId="77777777" w:rsidR="00BE4ECD" w:rsidRPr="00BE4ECD" w:rsidRDefault="00BE4ECD" w:rsidP="00BE4ECD">
            <w:pPr>
              <w:rPr>
                <w:rFonts w:ascii="Times New Roman" w:eastAsia="Times New Roman" w:hAnsi="Times New Roman" w:cs="Times New Roman"/>
                <w:i/>
                <w:iCs/>
                <w:color w:val="000000"/>
                <w:kern w:val="0"/>
                <w:sz w:val="18"/>
                <w:szCs w:val="18"/>
                <w:lang w:val="en-US" w:eastAsia="it-IT"/>
                <w14:ligatures w14:val="none"/>
              </w:rPr>
            </w:pPr>
          </w:p>
        </w:tc>
        <w:tc>
          <w:tcPr>
            <w:tcW w:w="4580" w:type="dxa"/>
            <w:tcBorders>
              <w:top w:val="nil"/>
              <w:left w:val="nil"/>
              <w:bottom w:val="nil"/>
              <w:right w:val="nil"/>
            </w:tcBorders>
            <w:shd w:val="clear" w:color="auto" w:fill="auto"/>
            <w:vAlign w:val="center"/>
            <w:hideMark/>
          </w:tcPr>
          <w:p w14:paraId="3B39306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center"/>
            <w:hideMark/>
          </w:tcPr>
          <w:p w14:paraId="1C01E71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center"/>
            <w:hideMark/>
          </w:tcPr>
          <w:p w14:paraId="100AF56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center"/>
            <w:hideMark/>
          </w:tcPr>
          <w:p w14:paraId="0F757C6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center"/>
            <w:hideMark/>
          </w:tcPr>
          <w:p w14:paraId="2931A12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center"/>
            <w:hideMark/>
          </w:tcPr>
          <w:p w14:paraId="6FFF4D8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center"/>
            <w:hideMark/>
          </w:tcPr>
          <w:p w14:paraId="304ED68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center"/>
            <w:hideMark/>
          </w:tcPr>
          <w:p w14:paraId="5B894E8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center"/>
            <w:hideMark/>
          </w:tcPr>
          <w:p w14:paraId="3D95E46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center"/>
            <w:hideMark/>
          </w:tcPr>
          <w:p w14:paraId="3A6779E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center"/>
            <w:hideMark/>
          </w:tcPr>
          <w:p w14:paraId="2EBCD89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center"/>
            <w:hideMark/>
          </w:tcPr>
          <w:p w14:paraId="1DCD860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center"/>
            <w:hideMark/>
          </w:tcPr>
          <w:p w14:paraId="709C63D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E4ECD" w14:paraId="44820777" w14:textId="77777777" w:rsidTr="00BE4ECD">
        <w:trPr>
          <w:trHeight w:val="640"/>
        </w:trPr>
        <w:tc>
          <w:tcPr>
            <w:tcW w:w="1120" w:type="dxa"/>
            <w:tcBorders>
              <w:top w:val="nil"/>
              <w:left w:val="nil"/>
              <w:bottom w:val="nil"/>
              <w:right w:val="nil"/>
            </w:tcBorders>
            <w:shd w:val="clear" w:color="auto" w:fill="auto"/>
            <w:vAlign w:val="center"/>
            <w:hideMark/>
          </w:tcPr>
          <w:p w14:paraId="0345C325" w14:textId="77777777" w:rsidR="00BE4ECD" w:rsidRPr="00BE4ECD" w:rsidRDefault="00BE4ECD" w:rsidP="00BE4ECD">
            <w:pPr>
              <w:rPr>
                <w:rFonts w:ascii="Times New Roman" w:eastAsia="Times New Roman" w:hAnsi="Times New Roman" w:cs="Times New Roman"/>
                <w:i/>
                <w:iCs/>
                <w:color w:val="000000"/>
                <w:kern w:val="0"/>
                <w:sz w:val="18"/>
                <w:szCs w:val="18"/>
                <w:lang w:eastAsia="it-IT"/>
                <w14:ligatures w14:val="none"/>
              </w:rPr>
            </w:pPr>
            <w:r w:rsidRPr="00BE4ECD">
              <w:rPr>
                <w:rFonts w:ascii="Times New Roman" w:eastAsia="Times New Roman" w:hAnsi="Times New Roman" w:cs="Times New Roman"/>
                <w:i/>
                <w:iCs/>
                <w:color w:val="000000"/>
                <w:kern w:val="0"/>
                <w:sz w:val="18"/>
                <w:szCs w:val="18"/>
                <w:lang w:eastAsia="it-IT"/>
                <w14:ligatures w14:val="none"/>
              </w:rPr>
              <w:t>Cross sectional</w:t>
            </w:r>
          </w:p>
        </w:tc>
        <w:tc>
          <w:tcPr>
            <w:tcW w:w="4580" w:type="dxa"/>
            <w:tcBorders>
              <w:top w:val="nil"/>
              <w:left w:val="nil"/>
              <w:bottom w:val="nil"/>
              <w:right w:val="nil"/>
            </w:tcBorders>
            <w:shd w:val="clear" w:color="auto" w:fill="auto"/>
            <w:vAlign w:val="center"/>
            <w:hideMark/>
          </w:tcPr>
          <w:p w14:paraId="265C12D9" w14:textId="77777777" w:rsidR="00BE4ECD" w:rsidRPr="00BE4ECD" w:rsidRDefault="00BE4ECD" w:rsidP="00BE4ECD">
            <w:pPr>
              <w:rPr>
                <w:rFonts w:ascii="Times New Roman" w:eastAsia="Times New Roman" w:hAnsi="Times New Roman" w:cs="Times New Roman"/>
                <w:i/>
                <w:iCs/>
                <w:color w:val="000000"/>
                <w:kern w:val="0"/>
                <w:sz w:val="18"/>
                <w:szCs w:val="18"/>
                <w:lang w:eastAsia="it-IT"/>
                <w14:ligatures w14:val="none"/>
              </w:rPr>
            </w:pPr>
          </w:p>
        </w:tc>
        <w:tc>
          <w:tcPr>
            <w:tcW w:w="660" w:type="dxa"/>
            <w:tcBorders>
              <w:top w:val="nil"/>
              <w:left w:val="nil"/>
              <w:bottom w:val="nil"/>
              <w:right w:val="nil"/>
            </w:tcBorders>
            <w:shd w:val="clear" w:color="auto" w:fill="auto"/>
            <w:vAlign w:val="center"/>
            <w:hideMark/>
          </w:tcPr>
          <w:p w14:paraId="354BCF59"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60" w:type="dxa"/>
            <w:tcBorders>
              <w:top w:val="nil"/>
              <w:left w:val="nil"/>
              <w:bottom w:val="nil"/>
              <w:right w:val="nil"/>
            </w:tcBorders>
            <w:shd w:val="clear" w:color="auto" w:fill="auto"/>
            <w:vAlign w:val="center"/>
            <w:hideMark/>
          </w:tcPr>
          <w:p w14:paraId="385E62DF"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60" w:type="dxa"/>
            <w:tcBorders>
              <w:top w:val="nil"/>
              <w:left w:val="nil"/>
              <w:bottom w:val="nil"/>
              <w:right w:val="nil"/>
            </w:tcBorders>
            <w:shd w:val="clear" w:color="auto" w:fill="auto"/>
            <w:vAlign w:val="center"/>
            <w:hideMark/>
          </w:tcPr>
          <w:p w14:paraId="1803E12D"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40" w:type="dxa"/>
            <w:tcBorders>
              <w:top w:val="nil"/>
              <w:left w:val="nil"/>
              <w:bottom w:val="nil"/>
              <w:right w:val="nil"/>
            </w:tcBorders>
            <w:shd w:val="clear" w:color="auto" w:fill="auto"/>
            <w:vAlign w:val="center"/>
            <w:hideMark/>
          </w:tcPr>
          <w:p w14:paraId="67E23EDB"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40" w:type="dxa"/>
            <w:tcBorders>
              <w:top w:val="nil"/>
              <w:left w:val="nil"/>
              <w:bottom w:val="nil"/>
              <w:right w:val="nil"/>
            </w:tcBorders>
            <w:shd w:val="clear" w:color="auto" w:fill="auto"/>
            <w:vAlign w:val="center"/>
            <w:hideMark/>
          </w:tcPr>
          <w:p w14:paraId="6D924AA5"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80" w:type="dxa"/>
            <w:tcBorders>
              <w:top w:val="nil"/>
              <w:left w:val="nil"/>
              <w:bottom w:val="nil"/>
              <w:right w:val="nil"/>
            </w:tcBorders>
            <w:shd w:val="clear" w:color="auto" w:fill="auto"/>
            <w:vAlign w:val="center"/>
            <w:hideMark/>
          </w:tcPr>
          <w:p w14:paraId="20469C25"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00" w:type="dxa"/>
            <w:tcBorders>
              <w:top w:val="nil"/>
              <w:left w:val="nil"/>
              <w:bottom w:val="nil"/>
              <w:right w:val="nil"/>
            </w:tcBorders>
            <w:shd w:val="clear" w:color="auto" w:fill="auto"/>
            <w:vAlign w:val="center"/>
            <w:hideMark/>
          </w:tcPr>
          <w:p w14:paraId="4FE10930"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40" w:type="dxa"/>
            <w:tcBorders>
              <w:top w:val="nil"/>
              <w:left w:val="nil"/>
              <w:bottom w:val="nil"/>
              <w:right w:val="nil"/>
            </w:tcBorders>
            <w:shd w:val="clear" w:color="auto" w:fill="auto"/>
            <w:vAlign w:val="center"/>
            <w:hideMark/>
          </w:tcPr>
          <w:p w14:paraId="072A56CD"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80" w:type="dxa"/>
            <w:tcBorders>
              <w:top w:val="nil"/>
              <w:left w:val="nil"/>
              <w:bottom w:val="nil"/>
              <w:right w:val="nil"/>
            </w:tcBorders>
            <w:shd w:val="clear" w:color="auto" w:fill="auto"/>
            <w:vAlign w:val="center"/>
            <w:hideMark/>
          </w:tcPr>
          <w:p w14:paraId="7E509A36"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00" w:type="dxa"/>
            <w:tcBorders>
              <w:top w:val="nil"/>
              <w:left w:val="nil"/>
              <w:bottom w:val="nil"/>
              <w:right w:val="nil"/>
            </w:tcBorders>
            <w:shd w:val="clear" w:color="auto" w:fill="auto"/>
            <w:vAlign w:val="center"/>
            <w:hideMark/>
          </w:tcPr>
          <w:p w14:paraId="7538FC1B"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60" w:type="dxa"/>
            <w:tcBorders>
              <w:top w:val="nil"/>
              <w:left w:val="nil"/>
              <w:bottom w:val="nil"/>
              <w:right w:val="nil"/>
            </w:tcBorders>
            <w:shd w:val="clear" w:color="auto" w:fill="auto"/>
            <w:vAlign w:val="center"/>
            <w:hideMark/>
          </w:tcPr>
          <w:p w14:paraId="262C86A1"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1160" w:type="dxa"/>
            <w:tcBorders>
              <w:top w:val="nil"/>
              <w:left w:val="nil"/>
              <w:bottom w:val="nil"/>
              <w:right w:val="nil"/>
            </w:tcBorders>
            <w:shd w:val="clear" w:color="auto" w:fill="auto"/>
            <w:vAlign w:val="center"/>
            <w:hideMark/>
          </w:tcPr>
          <w:p w14:paraId="15359AD8"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r>
      <w:tr w:rsidR="00BE4ECD" w:rsidRPr="00B74BD6" w14:paraId="04766E1B" w14:textId="77777777" w:rsidTr="00BE4ECD">
        <w:trPr>
          <w:trHeight w:val="540"/>
        </w:trPr>
        <w:tc>
          <w:tcPr>
            <w:tcW w:w="1120" w:type="dxa"/>
            <w:tcBorders>
              <w:top w:val="nil"/>
              <w:left w:val="nil"/>
              <w:bottom w:val="nil"/>
              <w:right w:val="nil"/>
            </w:tcBorders>
            <w:shd w:val="clear" w:color="auto" w:fill="auto"/>
            <w:vAlign w:val="center"/>
            <w:hideMark/>
          </w:tcPr>
          <w:p w14:paraId="4B654682"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Q1</w:t>
            </w:r>
          </w:p>
        </w:tc>
        <w:tc>
          <w:tcPr>
            <w:tcW w:w="4580" w:type="dxa"/>
            <w:tcBorders>
              <w:top w:val="nil"/>
              <w:left w:val="nil"/>
              <w:bottom w:val="nil"/>
              <w:right w:val="nil"/>
            </w:tcBorders>
            <w:shd w:val="clear" w:color="auto" w:fill="auto"/>
            <w:vAlign w:val="center"/>
            <w:hideMark/>
          </w:tcPr>
          <w:p w14:paraId="074EC0BF"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Were the criteria for inclusion in the sample clearly defined?</w:t>
            </w:r>
          </w:p>
        </w:tc>
        <w:tc>
          <w:tcPr>
            <w:tcW w:w="660" w:type="dxa"/>
            <w:tcBorders>
              <w:top w:val="nil"/>
              <w:left w:val="nil"/>
              <w:bottom w:val="nil"/>
              <w:right w:val="nil"/>
            </w:tcBorders>
            <w:shd w:val="clear" w:color="auto" w:fill="auto"/>
            <w:noWrap/>
            <w:vAlign w:val="bottom"/>
            <w:hideMark/>
          </w:tcPr>
          <w:p w14:paraId="734518DB"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center"/>
            <w:hideMark/>
          </w:tcPr>
          <w:p w14:paraId="3CD76F9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2FE19CA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7D43522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1AB2EDA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5D53A03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6C355C0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5619604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268F398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5F9E5FD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59D04BC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26F79E0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74BD6" w14:paraId="55A41285" w14:textId="77777777" w:rsidTr="00BE4ECD">
        <w:trPr>
          <w:trHeight w:val="520"/>
        </w:trPr>
        <w:tc>
          <w:tcPr>
            <w:tcW w:w="1120" w:type="dxa"/>
            <w:tcBorders>
              <w:top w:val="nil"/>
              <w:left w:val="nil"/>
              <w:bottom w:val="nil"/>
              <w:right w:val="nil"/>
            </w:tcBorders>
            <w:shd w:val="clear" w:color="auto" w:fill="auto"/>
            <w:vAlign w:val="center"/>
            <w:hideMark/>
          </w:tcPr>
          <w:p w14:paraId="4E6AA314"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Q2</w:t>
            </w:r>
          </w:p>
        </w:tc>
        <w:tc>
          <w:tcPr>
            <w:tcW w:w="4580" w:type="dxa"/>
            <w:tcBorders>
              <w:top w:val="nil"/>
              <w:left w:val="nil"/>
              <w:bottom w:val="nil"/>
              <w:right w:val="nil"/>
            </w:tcBorders>
            <w:shd w:val="clear" w:color="auto" w:fill="auto"/>
            <w:vAlign w:val="center"/>
            <w:hideMark/>
          </w:tcPr>
          <w:p w14:paraId="6BFF029D"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Were the study subjects and the setting described in detail?</w:t>
            </w:r>
          </w:p>
        </w:tc>
        <w:tc>
          <w:tcPr>
            <w:tcW w:w="660" w:type="dxa"/>
            <w:tcBorders>
              <w:top w:val="nil"/>
              <w:left w:val="nil"/>
              <w:bottom w:val="nil"/>
              <w:right w:val="nil"/>
            </w:tcBorders>
            <w:shd w:val="clear" w:color="auto" w:fill="auto"/>
            <w:noWrap/>
            <w:vAlign w:val="bottom"/>
            <w:hideMark/>
          </w:tcPr>
          <w:p w14:paraId="311444C3"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center"/>
            <w:hideMark/>
          </w:tcPr>
          <w:p w14:paraId="719EACC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6F563FA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5AD3E35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0DC4A6E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4C444EF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7395A85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4F6869F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73B74BA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59DE34B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3C990B4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5653530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74BD6" w14:paraId="78326158" w14:textId="77777777" w:rsidTr="00BE4ECD">
        <w:trPr>
          <w:trHeight w:val="320"/>
        </w:trPr>
        <w:tc>
          <w:tcPr>
            <w:tcW w:w="1120" w:type="dxa"/>
            <w:tcBorders>
              <w:top w:val="nil"/>
              <w:left w:val="nil"/>
              <w:bottom w:val="nil"/>
              <w:right w:val="nil"/>
            </w:tcBorders>
            <w:shd w:val="clear" w:color="auto" w:fill="auto"/>
            <w:vAlign w:val="center"/>
            <w:hideMark/>
          </w:tcPr>
          <w:p w14:paraId="12676B42"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Q3</w:t>
            </w:r>
          </w:p>
        </w:tc>
        <w:tc>
          <w:tcPr>
            <w:tcW w:w="4580" w:type="dxa"/>
            <w:tcBorders>
              <w:top w:val="nil"/>
              <w:left w:val="nil"/>
              <w:bottom w:val="nil"/>
              <w:right w:val="nil"/>
            </w:tcBorders>
            <w:shd w:val="clear" w:color="auto" w:fill="auto"/>
            <w:vAlign w:val="center"/>
            <w:hideMark/>
          </w:tcPr>
          <w:p w14:paraId="248A8EE2"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Was the exposure measured in a valid and reliable way?</w:t>
            </w:r>
          </w:p>
        </w:tc>
        <w:tc>
          <w:tcPr>
            <w:tcW w:w="660" w:type="dxa"/>
            <w:tcBorders>
              <w:top w:val="nil"/>
              <w:left w:val="nil"/>
              <w:bottom w:val="nil"/>
              <w:right w:val="nil"/>
            </w:tcBorders>
            <w:shd w:val="clear" w:color="auto" w:fill="auto"/>
            <w:noWrap/>
            <w:vAlign w:val="bottom"/>
            <w:hideMark/>
          </w:tcPr>
          <w:p w14:paraId="729827A6"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center"/>
            <w:hideMark/>
          </w:tcPr>
          <w:p w14:paraId="52360A4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7E364E0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045CD19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77E06BC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7793DC2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7E70BD3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4618087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23090E6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2D7A4B1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479FFB7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5F7DCD1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74BD6" w14:paraId="44B3BF82" w14:textId="77777777" w:rsidTr="00BE4ECD">
        <w:trPr>
          <w:trHeight w:val="520"/>
        </w:trPr>
        <w:tc>
          <w:tcPr>
            <w:tcW w:w="1120" w:type="dxa"/>
            <w:tcBorders>
              <w:top w:val="nil"/>
              <w:left w:val="nil"/>
              <w:bottom w:val="nil"/>
              <w:right w:val="nil"/>
            </w:tcBorders>
            <w:shd w:val="clear" w:color="auto" w:fill="auto"/>
            <w:vAlign w:val="center"/>
            <w:hideMark/>
          </w:tcPr>
          <w:p w14:paraId="3FCD5352"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Q4</w:t>
            </w:r>
          </w:p>
        </w:tc>
        <w:tc>
          <w:tcPr>
            <w:tcW w:w="4580" w:type="dxa"/>
            <w:tcBorders>
              <w:top w:val="nil"/>
              <w:left w:val="nil"/>
              <w:bottom w:val="nil"/>
              <w:right w:val="nil"/>
            </w:tcBorders>
            <w:shd w:val="clear" w:color="auto" w:fill="auto"/>
            <w:vAlign w:val="center"/>
            <w:hideMark/>
          </w:tcPr>
          <w:p w14:paraId="43024F46"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Were objective, standard criteria used for measurement of the condition?</w:t>
            </w:r>
          </w:p>
        </w:tc>
        <w:tc>
          <w:tcPr>
            <w:tcW w:w="660" w:type="dxa"/>
            <w:tcBorders>
              <w:top w:val="nil"/>
              <w:left w:val="nil"/>
              <w:bottom w:val="nil"/>
              <w:right w:val="nil"/>
            </w:tcBorders>
            <w:shd w:val="clear" w:color="auto" w:fill="auto"/>
            <w:noWrap/>
            <w:vAlign w:val="bottom"/>
            <w:hideMark/>
          </w:tcPr>
          <w:p w14:paraId="4AA80C24"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hideMark/>
          </w:tcPr>
          <w:p w14:paraId="2BE6A78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4AB4E55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18CE2C0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387B7C4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745AAB8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5573DCD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58EC332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7872E2C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6A72484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3D4AB15E"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75832F1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E4ECD" w14:paraId="08F79E5E" w14:textId="77777777" w:rsidTr="00BE4ECD">
        <w:trPr>
          <w:trHeight w:val="320"/>
        </w:trPr>
        <w:tc>
          <w:tcPr>
            <w:tcW w:w="1120" w:type="dxa"/>
            <w:tcBorders>
              <w:top w:val="nil"/>
              <w:left w:val="nil"/>
              <w:bottom w:val="nil"/>
              <w:right w:val="nil"/>
            </w:tcBorders>
            <w:shd w:val="clear" w:color="auto" w:fill="auto"/>
            <w:vAlign w:val="center"/>
            <w:hideMark/>
          </w:tcPr>
          <w:p w14:paraId="3EC6B2D2"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Q5</w:t>
            </w:r>
          </w:p>
        </w:tc>
        <w:tc>
          <w:tcPr>
            <w:tcW w:w="4580" w:type="dxa"/>
            <w:tcBorders>
              <w:top w:val="nil"/>
              <w:left w:val="nil"/>
              <w:bottom w:val="nil"/>
              <w:right w:val="nil"/>
            </w:tcBorders>
            <w:shd w:val="clear" w:color="auto" w:fill="auto"/>
            <w:vAlign w:val="center"/>
            <w:hideMark/>
          </w:tcPr>
          <w:p w14:paraId="67C6FEE6"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Were confounding factors identified?</w:t>
            </w:r>
          </w:p>
        </w:tc>
        <w:tc>
          <w:tcPr>
            <w:tcW w:w="660" w:type="dxa"/>
            <w:tcBorders>
              <w:top w:val="nil"/>
              <w:left w:val="nil"/>
              <w:bottom w:val="nil"/>
              <w:right w:val="nil"/>
            </w:tcBorders>
            <w:shd w:val="clear" w:color="auto" w:fill="auto"/>
            <w:noWrap/>
            <w:vAlign w:val="bottom"/>
            <w:hideMark/>
          </w:tcPr>
          <w:p w14:paraId="582DAAE0"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p>
        </w:tc>
        <w:tc>
          <w:tcPr>
            <w:tcW w:w="660" w:type="dxa"/>
            <w:tcBorders>
              <w:top w:val="nil"/>
              <w:left w:val="nil"/>
              <w:bottom w:val="nil"/>
              <w:right w:val="nil"/>
            </w:tcBorders>
            <w:shd w:val="clear" w:color="auto" w:fill="auto"/>
            <w:vAlign w:val="center"/>
            <w:hideMark/>
          </w:tcPr>
          <w:p w14:paraId="6B012DBC"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60" w:type="dxa"/>
            <w:tcBorders>
              <w:top w:val="nil"/>
              <w:left w:val="nil"/>
              <w:bottom w:val="nil"/>
              <w:right w:val="nil"/>
            </w:tcBorders>
            <w:shd w:val="clear" w:color="auto" w:fill="auto"/>
            <w:vAlign w:val="bottom"/>
            <w:hideMark/>
          </w:tcPr>
          <w:p w14:paraId="274487C0"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40" w:type="dxa"/>
            <w:tcBorders>
              <w:top w:val="nil"/>
              <w:left w:val="nil"/>
              <w:bottom w:val="nil"/>
              <w:right w:val="nil"/>
            </w:tcBorders>
            <w:shd w:val="clear" w:color="auto" w:fill="auto"/>
            <w:vAlign w:val="bottom"/>
            <w:hideMark/>
          </w:tcPr>
          <w:p w14:paraId="0B188D5F"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40" w:type="dxa"/>
            <w:tcBorders>
              <w:top w:val="nil"/>
              <w:left w:val="nil"/>
              <w:bottom w:val="nil"/>
              <w:right w:val="nil"/>
            </w:tcBorders>
            <w:shd w:val="clear" w:color="auto" w:fill="auto"/>
            <w:vAlign w:val="bottom"/>
            <w:hideMark/>
          </w:tcPr>
          <w:p w14:paraId="47F426F7"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80" w:type="dxa"/>
            <w:tcBorders>
              <w:top w:val="nil"/>
              <w:left w:val="nil"/>
              <w:bottom w:val="nil"/>
              <w:right w:val="nil"/>
            </w:tcBorders>
            <w:shd w:val="clear" w:color="auto" w:fill="auto"/>
            <w:vAlign w:val="bottom"/>
            <w:hideMark/>
          </w:tcPr>
          <w:p w14:paraId="7C87A712"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00" w:type="dxa"/>
            <w:tcBorders>
              <w:top w:val="nil"/>
              <w:left w:val="nil"/>
              <w:bottom w:val="nil"/>
              <w:right w:val="nil"/>
            </w:tcBorders>
            <w:shd w:val="clear" w:color="auto" w:fill="auto"/>
            <w:vAlign w:val="bottom"/>
            <w:hideMark/>
          </w:tcPr>
          <w:p w14:paraId="7B215978"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40" w:type="dxa"/>
            <w:tcBorders>
              <w:top w:val="nil"/>
              <w:left w:val="nil"/>
              <w:bottom w:val="nil"/>
              <w:right w:val="nil"/>
            </w:tcBorders>
            <w:shd w:val="clear" w:color="auto" w:fill="auto"/>
            <w:vAlign w:val="bottom"/>
            <w:hideMark/>
          </w:tcPr>
          <w:p w14:paraId="49723B11"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80" w:type="dxa"/>
            <w:tcBorders>
              <w:top w:val="nil"/>
              <w:left w:val="nil"/>
              <w:bottom w:val="nil"/>
              <w:right w:val="nil"/>
            </w:tcBorders>
            <w:shd w:val="clear" w:color="auto" w:fill="auto"/>
            <w:vAlign w:val="bottom"/>
            <w:hideMark/>
          </w:tcPr>
          <w:p w14:paraId="3E50D95C"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00" w:type="dxa"/>
            <w:tcBorders>
              <w:top w:val="nil"/>
              <w:left w:val="nil"/>
              <w:bottom w:val="nil"/>
              <w:right w:val="nil"/>
            </w:tcBorders>
            <w:shd w:val="clear" w:color="auto" w:fill="auto"/>
            <w:vAlign w:val="bottom"/>
            <w:hideMark/>
          </w:tcPr>
          <w:p w14:paraId="3EAF84A0"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60" w:type="dxa"/>
            <w:tcBorders>
              <w:top w:val="nil"/>
              <w:left w:val="nil"/>
              <w:bottom w:val="nil"/>
              <w:right w:val="nil"/>
            </w:tcBorders>
            <w:shd w:val="clear" w:color="auto" w:fill="auto"/>
            <w:vAlign w:val="bottom"/>
            <w:hideMark/>
          </w:tcPr>
          <w:p w14:paraId="6E7FBEAC"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1160" w:type="dxa"/>
            <w:tcBorders>
              <w:top w:val="nil"/>
              <w:left w:val="nil"/>
              <w:bottom w:val="nil"/>
              <w:right w:val="nil"/>
            </w:tcBorders>
            <w:shd w:val="clear" w:color="auto" w:fill="auto"/>
            <w:vAlign w:val="bottom"/>
            <w:hideMark/>
          </w:tcPr>
          <w:p w14:paraId="35C2B071"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r>
      <w:tr w:rsidR="00BE4ECD" w:rsidRPr="00B74BD6" w14:paraId="136C9DA3" w14:textId="77777777" w:rsidTr="00BE4ECD">
        <w:trPr>
          <w:trHeight w:val="320"/>
        </w:trPr>
        <w:tc>
          <w:tcPr>
            <w:tcW w:w="1120" w:type="dxa"/>
            <w:tcBorders>
              <w:top w:val="nil"/>
              <w:left w:val="nil"/>
              <w:bottom w:val="nil"/>
              <w:right w:val="nil"/>
            </w:tcBorders>
            <w:shd w:val="clear" w:color="auto" w:fill="auto"/>
            <w:vAlign w:val="center"/>
            <w:hideMark/>
          </w:tcPr>
          <w:p w14:paraId="1E834249"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Q6</w:t>
            </w:r>
          </w:p>
        </w:tc>
        <w:tc>
          <w:tcPr>
            <w:tcW w:w="4580" w:type="dxa"/>
            <w:tcBorders>
              <w:top w:val="nil"/>
              <w:left w:val="nil"/>
              <w:bottom w:val="nil"/>
              <w:right w:val="nil"/>
            </w:tcBorders>
            <w:shd w:val="clear" w:color="auto" w:fill="auto"/>
            <w:vAlign w:val="center"/>
            <w:hideMark/>
          </w:tcPr>
          <w:p w14:paraId="2C929E99"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Were strategies to deal with confounding factors stated?</w:t>
            </w:r>
          </w:p>
        </w:tc>
        <w:tc>
          <w:tcPr>
            <w:tcW w:w="660" w:type="dxa"/>
            <w:tcBorders>
              <w:top w:val="nil"/>
              <w:left w:val="nil"/>
              <w:bottom w:val="nil"/>
              <w:right w:val="nil"/>
            </w:tcBorders>
            <w:shd w:val="clear" w:color="auto" w:fill="auto"/>
            <w:noWrap/>
            <w:vAlign w:val="bottom"/>
            <w:hideMark/>
          </w:tcPr>
          <w:p w14:paraId="0FDB1047"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center"/>
            <w:hideMark/>
          </w:tcPr>
          <w:p w14:paraId="620C2C3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08090B3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5DFF9FD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32A3955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48A4A76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6FB63BB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3D1D782E"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2E98461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22C4CD5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73069AA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5F6727BE"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74BD6" w14:paraId="40F25D93" w14:textId="77777777" w:rsidTr="00BE4ECD">
        <w:trPr>
          <w:trHeight w:val="320"/>
        </w:trPr>
        <w:tc>
          <w:tcPr>
            <w:tcW w:w="1120" w:type="dxa"/>
            <w:tcBorders>
              <w:top w:val="nil"/>
              <w:left w:val="nil"/>
              <w:bottom w:val="nil"/>
              <w:right w:val="nil"/>
            </w:tcBorders>
            <w:shd w:val="clear" w:color="auto" w:fill="auto"/>
            <w:vAlign w:val="center"/>
            <w:hideMark/>
          </w:tcPr>
          <w:p w14:paraId="48E8221F"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Q7</w:t>
            </w:r>
          </w:p>
        </w:tc>
        <w:tc>
          <w:tcPr>
            <w:tcW w:w="4580" w:type="dxa"/>
            <w:tcBorders>
              <w:top w:val="nil"/>
              <w:left w:val="nil"/>
              <w:bottom w:val="nil"/>
              <w:right w:val="nil"/>
            </w:tcBorders>
            <w:shd w:val="clear" w:color="auto" w:fill="auto"/>
            <w:vAlign w:val="center"/>
            <w:hideMark/>
          </w:tcPr>
          <w:p w14:paraId="0C71EA0A"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Were the outcomes measured in a valid and reliable way?</w:t>
            </w:r>
          </w:p>
        </w:tc>
        <w:tc>
          <w:tcPr>
            <w:tcW w:w="660" w:type="dxa"/>
            <w:tcBorders>
              <w:top w:val="nil"/>
              <w:left w:val="nil"/>
              <w:bottom w:val="nil"/>
              <w:right w:val="nil"/>
            </w:tcBorders>
            <w:shd w:val="clear" w:color="auto" w:fill="auto"/>
            <w:noWrap/>
            <w:vAlign w:val="bottom"/>
            <w:hideMark/>
          </w:tcPr>
          <w:p w14:paraId="092C2EE5"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center"/>
            <w:hideMark/>
          </w:tcPr>
          <w:p w14:paraId="7F0FAF9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17CF96F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11DE245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12241AE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0E29FEB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7C1CAB2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72DF1C1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744549E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213077D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5B7215A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42B5510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74BD6" w14:paraId="16A966F4" w14:textId="77777777" w:rsidTr="00BE4ECD">
        <w:trPr>
          <w:trHeight w:val="320"/>
        </w:trPr>
        <w:tc>
          <w:tcPr>
            <w:tcW w:w="1120" w:type="dxa"/>
            <w:tcBorders>
              <w:top w:val="nil"/>
              <w:left w:val="nil"/>
              <w:bottom w:val="nil"/>
              <w:right w:val="nil"/>
            </w:tcBorders>
            <w:shd w:val="clear" w:color="auto" w:fill="auto"/>
            <w:vAlign w:val="center"/>
            <w:hideMark/>
          </w:tcPr>
          <w:p w14:paraId="2CFC96B0"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Q8</w:t>
            </w:r>
          </w:p>
        </w:tc>
        <w:tc>
          <w:tcPr>
            <w:tcW w:w="4580" w:type="dxa"/>
            <w:tcBorders>
              <w:top w:val="nil"/>
              <w:left w:val="nil"/>
              <w:bottom w:val="nil"/>
              <w:right w:val="nil"/>
            </w:tcBorders>
            <w:shd w:val="clear" w:color="auto" w:fill="auto"/>
            <w:vAlign w:val="center"/>
            <w:hideMark/>
          </w:tcPr>
          <w:p w14:paraId="712D9FF2"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Was appropriate statistical analysis used?</w:t>
            </w:r>
          </w:p>
        </w:tc>
        <w:tc>
          <w:tcPr>
            <w:tcW w:w="660" w:type="dxa"/>
            <w:tcBorders>
              <w:top w:val="nil"/>
              <w:left w:val="nil"/>
              <w:bottom w:val="nil"/>
              <w:right w:val="nil"/>
            </w:tcBorders>
            <w:shd w:val="clear" w:color="auto" w:fill="auto"/>
            <w:noWrap/>
            <w:vAlign w:val="bottom"/>
            <w:hideMark/>
          </w:tcPr>
          <w:p w14:paraId="7E5E0816"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center"/>
            <w:hideMark/>
          </w:tcPr>
          <w:p w14:paraId="786939E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77DEAA1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342FC1C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272969D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7ACD938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3BA16DA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3AF8376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5F72F3F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58061A6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7D2ED84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092CCC6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74BD6" w14:paraId="7752A2B2" w14:textId="77777777" w:rsidTr="00BE4ECD">
        <w:trPr>
          <w:trHeight w:val="320"/>
        </w:trPr>
        <w:tc>
          <w:tcPr>
            <w:tcW w:w="1120" w:type="dxa"/>
            <w:tcBorders>
              <w:top w:val="nil"/>
              <w:left w:val="nil"/>
              <w:bottom w:val="nil"/>
              <w:right w:val="nil"/>
            </w:tcBorders>
            <w:shd w:val="clear" w:color="auto" w:fill="auto"/>
            <w:vAlign w:val="center"/>
            <w:hideMark/>
          </w:tcPr>
          <w:p w14:paraId="7BDF5D9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4580" w:type="dxa"/>
            <w:tcBorders>
              <w:top w:val="nil"/>
              <w:left w:val="nil"/>
              <w:bottom w:val="nil"/>
              <w:right w:val="nil"/>
            </w:tcBorders>
            <w:shd w:val="clear" w:color="auto" w:fill="auto"/>
            <w:vAlign w:val="center"/>
            <w:hideMark/>
          </w:tcPr>
          <w:p w14:paraId="4315E6C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center"/>
            <w:hideMark/>
          </w:tcPr>
          <w:p w14:paraId="3A4375C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center"/>
            <w:hideMark/>
          </w:tcPr>
          <w:p w14:paraId="490A151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22D78C8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42374FA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5EF81C2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6F5DC80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7BCED08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48221F0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600E6AD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2424FB7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39CFE3C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7761A06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E4ECD" w14:paraId="48C776A1" w14:textId="77777777" w:rsidTr="00BE4ECD">
        <w:trPr>
          <w:trHeight w:val="520"/>
        </w:trPr>
        <w:tc>
          <w:tcPr>
            <w:tcW w:w="1120" w:type="dxa"/>
            <w:tcBorders>
              <w:top w:val="nil"/>
              <w:left w:val="nil"/>
              <w:bottom w:val="nil"/>
              <w:right w:val="nil"/>
            </w:tcBorders>
            <w:shd w:val="clear" w:color="auto" w:fill="auto"/>
            <w:vAlign w:val="center"/>
            <w:hideMark/>
          </w:tcPr>
          <w:p w14:paraId="38387170" w14:textId="77777777" w:rsidR="00BE4ECD" w:rsidRPr="00BE4ECD" w:rsidRDefault="00BE4ECD" w:rsidP="00BE4ECD">
            <w:pPr>
              <w:rPr>
                <w:rFonts w:ascii="Times New Roman" w:eastAsia="Times New Roman" w:hAnsi="Times New Roman" w:cs="Times New Roman"/>
                <w:i/>
                <w:iCs/>
                <w:color w:val="000000"/>
                <w:kern w:val="0"/>
                <w:sz w:val="18"/>
                <w:szCs w:val="18"/>
                <w:lang w:eastAsia="it-IT"/>
                <w14:ligatures w14:val="none"/>
              </w:rPr>
            </w:pPr>
            <w:r w:rsidRPr="00BE4ECD">
              <w:rPr>
                <w:rFonts w:ascii="Times New Roman" w:eastAsia="Times New Roman" w:hAnsi="Times New Roman" w:cs="Times New Roman"/>
                <w:i/>
                <w:iCs/>
                <w:color w:val="000000"/>
                <w:kern w:val="0"/>
                <w:sz w:val="18"/>
                <w:szCs w:val="18"/>
                <w:lang w:eastAsia="it-IT"/>
                <w14:ligatures w14:val="none"/>
              </w:rPr>
              <w:lastRenderedPageBreak/>
              <w:t>Cohort study</w:t>
            </w:r>
          </w:p>
        </w:tc>
        <w:tc>
          <w:tcPr>
            <w:tcW w:w="4580" w:type="dxa"/>
            <w:tcBorders>
              <w:top w:val="nil"/>
              <w:left w:val="nil"/>
              <w:bottom w:val="nil"/>
              <w:right w:val="nil"/>
            </w:tcBorders>
            <w:shd w:val="clear" w:color="auto" w:fill="auto"/>
            <w:vAlign w:val="center"/>
            <w:hideMark/>
          </w:tcPr>
          <w:p w14:paraId="6864A961" w14:textId="77777777" w:rsidR="00BE4ECD" w:rsidRPr="00BE4ECD" w:rsidRDefault="00BE4ECD" w:rsidP="00BE4ECD">
            <w:pPr>
              <w:rPr>
                <w:rFonts w:ascii="Times New Roman" w:eastAsia="Times New Roman" w:hAnsi="Times New Roman" w:cs="Times New Roman"/>
                <w:i/>
                <w:iCs/>
                <w:color w:val="000000"/>
                <w:kern w:val="0"/>
                <w:sz w:val="18"/>
                <w:szCs w:val="18"/>
                <w:lang w:eastAsia="it-IT"/>
                <w14:ligatures w14:val="none"/>
              </w:rPr>
            </w:pPr>
          </w:p>
        </w:tc>
        <w:tc>
          <w:tcPr>
            <w:tcW w:w="660" w:type="dxa"/>
            <w:tcBorders>
              <w:top w:val="nil"/>
              <w:left w:val="nil"/>
              <w:bottom w:val="nil"/>
              <w:right w:val="nil"/>
            </w:tcBorders>
            <w:shd w:val="clear" w:color="auto" w:fill="auto"/>
            <w:vAlign w:val="center"/>
            <w:hideMark/>
          </w:tcPr>
          <w:p w14:paraId="78C2EA51"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60" w:type="dxa"/>
            <w:tcBorders>
              <w:top w:val="nil"/>
              <w:left w:val="nil"/>
              <w:bottom w:val="nil"/>
              <w:right w:val="nil"/>
            </w:tcBorders>
            <w:shd w:val="clear" w:color="auto" w:fill="auto"/>
            <w:vAlign w:val="center"/>
            <w:hideMark/>
          </w:tcPr>
          <w:p w14:paraId="68A41DD5"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60" w:type="dxa"/>
            <w:tcBorders>
              <w:top w:val="nil"/>
              <w:left w:val="nil"/>
              <w:bottom w:val="nil"/>
              <w:right w:val="nil"/>
            </w:tcBorders>
            <w:shd w:val="clear" w:color="auto" w:fill="auto"/>
            <w:vAlign w:val="center"/>
            <w:hideMark/>
          </w:tcPr>
          <w:p w14:paraId="7B1970AF"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40" w:type="dxa"/>
            <w:tcBorders>
              <w:top w:val="nil"/>
              <w:left w:val="nil"/>
              <w:bottom w:val="nil"/>
              <w:right w:val="nil"/>
            </w:tcBorders>
            <w:shd w:val="clear" w:color="auto" w:fill="auto"/>
            <w:vAlign w:val="center"/>
            <w:hideMark/>
          </w:tcPr>
          <w:p w14:paraId="1A04D087"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40" w:type="dxa"/>
            <w:tcBorders>
              <w:top w:val="nil"/>
              <w:left w:val="nil"/>
              <w:bottom w:val="nil"/>
              <w:right w:val="nil"/>
            </w:tcBorders>
            <w:shd w:val="clear" w:color="auto" w:fill="auto"/>
            <w:vAlign w:val="center"/>
            <w:hideMark/>
          </w:tcPr>
          <w:p w14:paraId="45C0948C"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80" w:type="dxa"/>
            <w:tcBorders>
              <w:top w:val="nil"/>
              <w:left w:val="nil"/>
              <w:bottom w:val="nil"/>
              <w:right w:val="nil"/>
            </w:tcBorders>
            <w:shd w:val="clear" w:color="auto" w:fill="auto"/>
            <w:vAlign w:val="center"/>
            <w:hideMark/>
          </w:tcPr>
          <w:p w14:paraId="080F9FF8"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00" w:type="dxa"/>
            <w:tcBorders>
              <w:top w:val="nil"/>
              <w:left w:val="nil"/>
              <w:bottom w:val="nil"/>
              <w:right w:val="nil"/>
            </w:tcBorders>
            <w:shd w:val="clear" w:color="auto" w:fill="auto"/>
            <w:vAlign w:val="center"/>
            <w:hideMark/>
          </w:tcPr>
          <w:p w14:paraId="5A78B027"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40" w:type="dxa"/>
            <w:tcBorders>
              <w:top w:val="nil"/>
              <w:left w:val="nil"/>
              <w:bottom w:val="nil"/>
              <w:right w:val="nil"/>
            </w:tcBorders>
            <w:shd w:val="clear" w:color="auto" w:fill="auto"/>
            <w:vAlign w:val="center"/>
            <w:hideMark/>
          </w:tcPr>
          <w:p w14:paraId="630AB7CF"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80" w:type="dxa"/>
            <w:tcBorders>
              <w:top w:val="nil"/>
              <w:left w:val="nil"/>
              <w:bottom w:val="nil"/>
              <w:right w:val="nil"/>
            </w:tcBorders>
            <w:shd w:val="clear" w:color="auto" w:fill="auto"/>
            <w:vAlign w:val="center"/>
            <w:hideMark/>
          </w:tcPr>
          <w:p w14:paraId="2D3A72C4"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00" w:type="dxa"/>
            <w:tcBorders>
              <w:top w:val="nil"/>
              <w:left w:val="nil"/>
              <w:bottom w:val="nil"/>
              <w:right w:val="nil"/>
            </w:tcBorders>
            <w:shd w:val="clear" w:color="auto" w:fill="auto"/>
            <w:vAlign w:val="center"/>
            <w:hideMark/>
          </w:tcPr>
          <w:p w14:paraId="365198A1"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60" w:type="dxa"/>
            <w:tcBorders>
              <w:top w:val="nil"/>
              <w:left w:val="nil"/>
              <w:bottom w:val="nil"/>
              <w:right w:val="nil"/>
            </w:tcBorders>
            <w:shd w:val="clear" w:color="auto" w:fill="auto"/>
            <w:vAlign w:val="center"/>
            <w:hideMark/>
          </w:tcPr>
          <w:p w14:paraId="735920A4"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1160" w:type="dxa"/>
            <w:tcBorders>
              <w:top w:val="nil"/>
              <w:left w:val="nil"/>
              <w:bottom w:val="nil"/>
              <w:right w:val="nil"/>
            </w:tcBorders>
            <w:shd w:val="clear" w:color="auto" w:fill="auto"/>
            <w:vAlign w:val="center"/>
            <w:hideMark/>
          </w:tcPr>
          <w:p w14:paraId="3D4630B5"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r>
      <w:tr w:rsidR="00BE4ECD" w:rsidRPr="00B74BD6" w14:paraId="0180D789" w14:textId="77777777" w:rsidTr="00BE4ECD">
        <w:trPr>
          <w:trHeight w:val="520"/>
        </w:trPr>
        <w:tc>
          <w:tcPr>
            <w:tcW w:w="1120" w:type="dxa"/>
            <w:tcBorders>
              <w:top w:val="nil"/>
              <w:left w:val="nil"/>
              <w:bottom w:val="nil"/>
              <w:right w:val="nil"/>
            </w:tcBorders>
            <w:shd w:val="clear" w:color="auto" w:fill="auto"/>
            <w:vAlign w:val="center"/>
            <w:hideMark/>
          </w:tcPr>
          <w:p w14:paraId="271EE764"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Q1</w:t>
            </w:r>
          </w:p>
        </w:tc>
        <w:tc>
          <w:tcPr>
            <w:tcW w:w="4580" w:type="dxa"/>
            <w:tcBorders>
              <w:top w:val="nil"/>
              <w:left w:val="nil"/>
              <w:bottom w:val="nil"/>
              <w:right w:val="nil"/>
            </w:tcBorders>
            <w:shd w:val="clear" w:color="auto" w:fill="auto"/>
            <w:vAlign w:val="center"/>
            <w:hideMark/>
          </w:tcPr>
          <w:p w14:paraId="679FA631"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Were the two groups similar and recruited from the same population?</w:t>
            </w:r>
          </w:p>
        </w:tc>
        <w:tc>
          <w:tcPr>
            <w:tcW w:w="660" w:type="dxa"/>
            <w:tcBorders>
              <w:top w:val="nil"/>
              <w:left w:val="nil"/>
              <w:bottom w:val="nil"/>
              <w:right w:val="nil"/>
            </w:tcBorders>
            <w:shd w:val="clear" w:color="auto" w:fill="auto"/>
            <w:noWrap/>
            <w:vAlign w:val="bottom"/>
            <w:hideMark/>
          </w:tcPr>
          <w:p w14:paraId="72B78ED9"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06F00E0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4255D08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712D52D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72CFB16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24D4EE1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17BFD5E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357EEDE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617A1DC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24D500C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1A8AE56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5D903CFE"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74BD6" w14:paraId="7090C8CC" w14:textId="77777777" w:rsidTr="00BE4ECD">
        <w:trPr>
          <w:trHeight w:val="520"/>
        </w:trPr>
        <w:tc>
          <w:tcPr>
            <w:tcW w:w="1120" w:type="dxa"/>
            <w:tcBorders>
              <w:top w:val="nil"/>
              <w:left w:val="nil"/>
              <w:bottom w:val="nil"/>
              <w:right w:val="nil"/>
            </w:tcBorders>
            <w:shd w:val="clear" w:color="auto" w:fill="auto"/>
            <w:vAlign w:val="center"/>
            <w:hideMark/>
          </w:tcPr>
          <w:p w14:paraId="46D94E87"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Q2</w:t>
            </w:r>
          </w:p>
        </w:tc>
        <w:tc>
          <w:tcPr>
            <w:tcW w:w="4580" w:type="dxa"/>
            <w:tcBorders>
              <w:top w:val="nil"/>
              <w:left w:val="nil"/>
              <w:bottom w:val="nil"/>
              <w:right w:val="nil"/>
            </w:tcBorders>
            <w:shd w:val="clear" w:color="auto" w:fill="auto"/>
            <w:vAlign w:val="center"/>
            <w:hideMark/>
          </w:tcPr>
          <w:p w14:paraId="19A66DE2"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Were the exposures measured similarly to assign people to both exposed and unexposed groups?</w:t>
            </w:r>
          </w:p>
        </w:tc>
        <w:tc>
          <w:tcPr>
            <w:tcW w:w="660" w:type="dxa"/>
            <w:tcBorders>
              <w:top w:val="nil"/>
              <w:left w:val="nil"/>
              <w:bottom w:val="nil"/>
              <w:right w:val="nil"/>
            </w:tcBorders>
            <w:shd w:val="clear" w:color="auto" w:fill="auto"/>
            <w:noWrap/>
            <w:vAlign w:val="bottom"/>
            <w:hideMark/>
          </w:tcPr>
          <w:p w14:paraId="20D23811"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3BBDAA2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7635B36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053014FE"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20A20BF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03B11B2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3C6C8C8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2B56EDB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40E9FF1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6BECC48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753BD2A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130CE3E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74BD6" w14:paraId="0BA75E81" w14:textId="77777777" w:rsidTr="00BE4ECD">
        <w:trPr>
          <w:trHeight w:val="320"/>
        </w:trPr>
        <w:tc>
          <w:tcPr>
            <w:tcW w:w="1120" w:type="dxa"/>
            <w:tcBorders>
              <w:top w:val="nil"/>
              <w:left w:val="nil"/>
              <w:bottom w:val="nil"/>
              <w:right w:val="nil"/>
            </w:tcBorders>
            <w:shd w:val="clear" w:color="auto" w:fill="auto"/>
            <w:vAlign w:val="center"/>
            <w:hideMark/>
          </w:tcPr>
          <w:p w14:paraId="7D7421CF"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Q3</w:t>
            </w:r>
          </w:p>
        </w:tc>
        <w:tc>
          <w:tcPr>
            <w:tcW w:w="4580" w:type="dxa"/>
            <w:tcBorders>
              <w:top w:val="nil"/>
              <w:left w:val="nil"/>
              <w:bottom w:val="nil"/>
              <w:right w:val="nil"/>
            </w:tcBorders>
            <w:shd w:val="clear" w:color="auto" w:fill="auto"/>
            <w:vAlign w:val="center"/>
            <w:hideMark/>
          </w:tcPr>
          <w:p w14:paraId="6B41EB06"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Was the exposure measured in a valid and reliable way?</w:t>
            </w:r>
          </w:p>
        </w:tc>
        <w:tc>
          <w:tcPr>
            <w:tcW w:w="660" w:type="dxa"/>
            <w:tcBorders>
              <w:top w:val="nil"/>
              <w:left w:val="nil"/>
              <w:bottom w:val="nil"/>
              <w:right w:val="nil"/>
            </w:tcBorders>
            <w:shd w:val="clear" w:color="auto" w:fill="auto"/>
            <w:noWrap/>
            <w:vAlign w:val="bottom"/>
            <w:hideMark/>
          </w:tcPr>
          <w:p w14:paraId="5AE22383"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30794CCE"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38844A1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461BF4C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39896F2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6878DE6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7FF86BE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78508B5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44FF077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06CD246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06F9B57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34B4803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E4ECD" w14:paraId="64583979" w14:textId="77777777" w:rsidTr="00BE4ECD">
        <w:trPr>
          <w:trHeight w:val="320"/>
        </w:trPr>
        <w:tc>
          <w:tcPr>
            <w:tcW w:w="1120" w:type="dxa"/>
            <w:tcBorders>
              <w:top w:val="nil"/>
              <w:left w:val="nil"/>
              <w:bottom w:val="nil"/>
              <w:right w:val="nil"/>
            </w:tcBorders>
            <w:shd w:val="clear" w:color="auto" w:fill="auto"/>
            <w:vAlign w:val="center"/>
            <w:hideMark/>
          </w:tcPr>
          <w:p w14:paraId="2EE127E6"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Q4</w:t>
            </w:r>
          </w:p>
        </w:tc>
        <w:tc>
          <w:tcPr>
            <w:tcW w:w="4580" w:type="dxa"/>
            <w:tcBorders>
              <w:top w:val="nil"/>
              <w:left w:val="nil"/>
              <w:bottom w:val="nil"/>
              <w:right w:val="nil"/>
            </w:tcBorders>
            <w:shd w:val="clear" w:color="auto" w:fill="auto"/>
            <w:vAlign w:val="center"/>
            <w:hideMark/>
          </w:tcPr>
          <w:p w14:paraId="0EC45C67"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Were confounding factors identified?</w:t>
            </w:r>
          </w:p>
        </w:tc>
        <w:tc>
          <w:tcPr>
            <w:tcW w:w="660" w:type="dxa"/>
            <w:tcBorders>
              <w:top w:val="nil"/>
              <w:left w:val="nil"/>
              <w:bottom w:val="nil"/>
              <w:right w:val="nil"/>
            </w:tcBorders>
            <w:shd w:val="clear" w:color="auto" w:fill="auto"/>
            <w:noWrap/>
            <w:vAlign w:val="bottom"/>
            <w:hideMark/>
          </w:tcPr>
          <w:p w14:paraId="1E199796"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p>
        </w:tc>
        <w:tc>
          <w:tcPr>
            <w:tcW w:w="660" w:type="dxa"/>
            <w:tcBorders>
              <w:top w:val="nil"/>
              <w:left w:val="nil"/>
              <w:bottom w:val="nil"/>
              <w:right w:val="nil"/>
            </w:tcBorders>
            <w:shd w:val="clear" w:color="auto" w:fill="auto"/>
            <w:vAlign w:val="bottom"/>
            <w:hideMark/>
          </w:tcPr>
          <w:p w14:paraId="56D929DC"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60" w:type="dxa"/>
            <w:tcBorders>
              <w:top w:val="nil"/>
              <w:left w:val="nil"/>
              <w:bottom w:val="nil"/>
              <w:right w:val="nil"/>
            </w:tcBorders>
            <w:shd w:val="clear" w:color="auto" w:fill="auto"/>
            <w:vAlign w:val="bottom"/>
            <w:hideMark/>
          </w:tcPr>
          <w:p w14:paraId="6427CAFD"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40" w:type="dxa"/>
            <w:tcBorders>
              <w:top w:val="nil"/>
              <w:left w:val="nil"/>
              <w:bottom w:val="nil"/>
              <w:right w:val="nil"/>
            </w:tcBorders>
            <w:shd w:val="clear" w:color="auto" w:fill="auto"/>
            <w:vAlign w:val="bottom"/>
            <w:hideMark/>
          </w:tcPr>
          <w:p w14:paraId="65A34597"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40" w:type="dxa"/>
            <w:tcBorders>
              <w:top w:val="nil"/>
              <w:left w:val="nil"/>
              <w:bottom w:val="nil"/>
              <w:right w:val="nil"/>
            </w:tcBorders>
            <w:shd w:val="clear" w:color="auto" w:fill="auto"/>
            <w:vAlign w:val="bottom"/>
            <w:hideMark/>
          </w:tcPr>
          <w:p w14:paraId="43B1B175"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80" w:type="dxa"/>
            <w:tcBorders>
              <w:top w:val="nil"/>
              <w:left w:val="nil"/>
              <w:bottom w:val="nil"/>
              <w:right w:val="nil"/>
            </w:tcBorders>
            <w:shd w:val="clear" w:color="auto" w:fill="auto"/>
            <w:vAlign w:val="bottom"/>
            <w:hideMark/>
          </w:tcPr>
          <w:p w14:paraId="12F1BC29"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00" w:type="dxa"/>
            <w:tcBorders>
              <w:top w:val="nil"/>
              <w:left w:val="nil"/>
              <w:bottom w:val="nil"/>
              <w:right w:val="nil"/>
            </w:tcBorders>
            <w:shd w:val="clear" w:color="auto" w:fill="auto"/>
            <w:vAlign w:val="bottom"/>
            <w:hideMark/>
          </w:tcPr>
          <w:p w14:paraId="5ECC1E86"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40" w:type="dxa"/>
            <w:tcBorders>
              <w:top w:val="nil"/>
              <w:left w:val="nil"/>
              <w:bottom w:val="nil"/>
              <w:right w:val="nil"/>
            </w:tcBorders>
            <w:shd w:val="clear" w:color="auto" w:fill="auto"/>
            <w:vAlign w:val="bottom"/>
            <w:hideMark/>
          </w:tcPr>
          <w:p w14:paraId="57BBEC45"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80" w:type="dxa"/>
            <w:tcBorders>
              <w:top w:val="nil"/>
              <w:left w:val="nil"/>
              <w:bottom w:val="nil"/>
              <w:right w:val="nil"/>
            </w:tcBorders>
            <w:shd w:val="clear" w:color="auto" w:fill="auto"/>
            <w:vAlign w:val="bottom"/>
            <w:hideMark/>
          </w:tcPr>
          <w:p w14:paraId="5F63FAFE"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00" w:type="dxa"/>
            <w:tcBorders>
              <w:top w:val="nil"/>
              <w:left w:val="nil"/>
              <w:bottom w:val="nil"/>
              <w:right w:val="nil"/>
            </w:tcBorders>
            <w:shd w:val="clear" w:color="auto" w:fill="auto"/>
            <w:vAlign w:val="bottom"/>
            <w:hideMark/>
          </w:tcPr>
          <w:p w14:paraId="19A0B9A4"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60" w:type="dxa"/>
            <w:tcBorders>
              <w:top w:val="nil"/>
              <w:left w:val="nil"/>
              <w:bottom w:val="nil"/>
              <w:right w:val="nil"/>
            </w:tcBorders>
            <w:shd w:val="clear" w:color="auto" w:fill="auto"/>
            <w:vAlign w:val="bottom"/>
            <w:hideMark/>
          </w:tcPr>
          <w:p w14:paraId="45FE9A7A"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1160" w:type="dxa"/>
            <w:tcBorders>
              <w:top w:val="nil"/>
              <w:left w:val="nil"/>
              <w:bottom w:val="nil"/>
              <w:right w:val="nil"/>
            </w:tcBorders>
            <w:shd w:val="clear" w:color="auto" w:fill="auto"/>
            <w:vAlign w:val="bottom"/>
            <w:hideMark/>
          </w:tcPr>
          <w:p w14:paraId="53790240"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r>
      <w:tr w:rsidR="00BE4ECD" w:rsidRPr="00B74BD6" w14:paraId="75D92830" w14:textId="77777777" w:rsidTr="00BE4ECD">
        <w:trPr>
          <w:trHeight w:val="320"/>
        </w:trPr>
        <w:tc>
          <w:tcPr>
            <w:tcW w:w="1120" w:type="dxa"/>
            <w:tcBorders>
              <w:top w:val="nil"/>
              <w:left w:val="nil"/>
              <w:bottom w:val="nil"/>
              <w:right w:val="nil"/>
            </w:tcBorders>
            <w:shd w:val="clear" w:color="auto" w:fill="auto"/>
            <w:vAlign w:val="center"/>
            <w:hideMark/>
          </w:tcPr>
          <w:p w14:paraId="27A1CA33"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Q5</w:t>
            </w:r>
          </w:p>
        </w:tc>
        <w:tc>
          <w:tcPr>
            <w:tcW w:w="4580" w:type="dxa"/>
            <w:tcBorders>
              <w:top w:val="nil"/>
              <w:left w:val="nil"/>
              <w:bottom w:val="nil"/>
              <w:right w:val="nil"/>
            </w:tcBorders>
            <w:shd w:val="clear" w:color="auto" w:fill="auto"/>
            <w:vAlign w:val="center"/>
            <w:hideMark/>
          </w:tcPr>
          <w:p w14:paraId="04D6C7F2"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Were strategies to deal with confounding factors stated?</w:t>
            </w:r>
          </w:p>
        </w:tc>
        <w:tc>
          <w:tcPr>
            <w:tcW w:w="660" w:type="dxa"/>
            <w:tcBorders>
              <w:top w:val="nil"/>
              <w:left w:val="nil"/>
              <w:bottom w:val="nil"/>
              <w:right w:val="nil"/>
            </w:tcBorders>
            <w:shd w:val="clear" w:color="auto" w:fill="auto"/>
            <w:noWrap/>
            <w:vAlign w:val="bottom"/>
            <w:hideMark/>
          </w:tcPr>
          <w:p w14:paraId="3EC131FB"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14A7445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6FF4EB5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21F50B2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50B9809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77877EF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241DCC1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262ADDB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558906D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04D7E03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68C05DD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36DDCB9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74BD6" w14:paraId="1131A935" w14:textId="77777777" w:rsidTr="00BE4ECD">
        <w:trPr>
          <w:trHeight w:val="520"/>
        </w:trPr>
        <w:tc>
          <w:tcPr>
            <w:tcW w:w="1120" w:type="dxa"/>
            <w:tcBorders>
              <w:top w:val="nil"/>
              <w:left w:val="nil"/>
              <w:bottom w:val="nil"/>
              <w:right w:val="nil"/>
            </w:tcBorders>
            <w:shd w:val="clear" w:color="auto" w:fill="auto"/>
            <w:vAlign w:val="center"/>
            <w:hideMark/>
          </w:tcPr>
          <w:p w14:paraId="26E7B7B2"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Q6</w:t>
            </w:r>
          </w:p>
        </w:tc>
        <w:tc>
          <w:tcPr>
            <w:tcW w:w="4580" w:type="dxa"/>
            <w:tcBorders>
              <w:top w:val="nil"/>
              <w:left w:val="nil"/>
              <w:bottom w:val="nil"/>
              <w:right w:val="nil"/>
            </w:tcBorders>
            <w:shd w:val="clear" w:color="auto" w:fill="auto"/>
            <w:vAlign w:val="center"/>
            <w:hideMark/>
          </w:tcPr>
          <w:p w14:paraId="227EDDB1"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Were the groups/participants free of the outcome at the start of the study (or at the moment of exposure)?</w:t>
            </w:r>
          </w:p>
        </w:tc>
        <w:tc>
          <w:tcPr>
            <w:tcW w:w="660" w:type="dxa"/>
            <w:tcBorders>
              <w:top w:val="nil"/>
              <w:left w:val="nil"/>
              <w:bottom w:val="nil"/>
              <w:right w:val="nil"/>
            </w:tcBorders>
            <w:shd w:val="clear" w:color="auto" w:fill="auto"/>
            <w:noWrap/>
            <w:vAlign w:val="bottom"/>
            <w:hideMark/>
          </w:tcPr>
          <w:p w14:paraId="780B815A"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6C6E406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5CAA4A4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0BF02D9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181171E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704BEE1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2BFA625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3F9A957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2864E07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410497E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6843CB0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0BD1F85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74BD6" w14:paraId="51E0A887" w14:textId="77777777" w:rsidTr="00BE4ECD">
        <w:trPr>
          <w:trHeight w:val="320"/>
        </w:trPr>
        <w:tc>
          <w:tcPr>
            <w:tcW w:w="1120" w:type="dxa"/>
            <w:tcBorders>
              <w:top w:val="nil"/>
              <w:left w:val="nil"/>
              <w:bottom w:val="nil"/>
              <w:right w:val="nil"/>
            </w:tcBorders>
            <w:shd w:val="clear" w:color="auto" w:fill="auto"/>
            <w:vAlign w:val="center"/>
            <w:hideMark/>
          </w:tcPr>
          <w:p w14:paraId="39350A2E"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Q7</w:t>
            </w:r>
          </w:p>
        </w:tc>
        <w:tc>
          <w:tcPr>
            <w:tcW w:w="4580" w:type="dxa"/>
            <w:tcBorders>
              <w:top w:val="nil"/>
              <w:left w:val="nil"/>
              <w:bottom w:val="nil"/>
              <w:right w:val="nil"/>
            </w:tcBorders>
            <w:shd w:val="clear" w:color="auto" w:fill="auto"/>
            <w:vAlign w:val="center"/>
            <w:hideMark/>
          </w:tcPr>
          <w:p w14:paraId="42D45BD4"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Were the outcomes measured in a valid and reliable way?</w:t>
            </w:r>
          </w:p>
        </w:tc>
        <w:tc>
          <w:tcPr>
            <w:tcW w:w="660" w:type="dxa"/>
            <w:tcBorders>
              <w:top w:val="nil"/>
              <w:left w:val="nil"/>
              <w:bottom w:val="nil"/>
              <w:right w:val="nil"/>
            </w:tcBorders>
            <w:shd w:val="clear" w:color="auto" w:fill="auto"/>
            <w:noWrap/>
            <w:vAlign w:val="bottom"/>
            <w:hideMark/>
          </w:tcPr>
          <w:p w14:paraId="67D3BB0A"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40BB657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7030899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111ADC9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4E8C6C6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7C28BC4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41CC0DD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4C3AE7E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0ADFBF7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44C03E2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1E1DFBF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7F57443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74BD6" w14:paraId="1BB4EFAF" w14:textId="77777777" w:rsidTr="00BE4ECD">
        <w:trPr>
          <w:trHeight w:val="520"/>
        </w:trPr>
        <w:tc>
          <w:tcPr>
            <w:tcW w:w="1120" w:type="dxa"/>
            <w:tcBorders>
              <w:top w:val="nil"/>
              <w:left w:val="nil"/>
              <w:bottom w:val="nil"/>
              <w:right w:val="nil"/>
            </w:tcBorders>
            <w:shd w:val="clear" w:color="auto" w:fill="auto"/>
            <w:vAlign w:val="center"/>
            <w:hideMark/>
          </w:tcPr>
          <w:p w14:paraId="32AE25E0"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Q8</w:t>
            </w:r>
          </w:p>
        </w:tc>
        <w:tc>
          <w:tcPr>
            <w:tcW w:w="4580" w:type="dxa"/>
            <w:tcBorders>
              <w:top w:val="nil"/>
              <w:left w:val="nil"/>
              <w:bottom w:val="nil"/>
              <w:right w:val="nil"/>
            </w:tcBorders>
            <w:shd w:val="clear" w:color="auto" w:fill="auto"/>
            <w:vAlign w:val="center"/>
            <w:hideMark/>
          </w:tcPr>
          <w:p w14:paraId="5DEFCC41"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Was the follow up time reported and sufficient to be long enough for outcomes to occur?</w:t>
            </w:r>
          </w:p>
        </w:tc>
        <w:tc>
          <w:tcPr>
            <w:tcW w:w="660" w:type="dxa"/>
            <w:tcBorders>
              <w:top w:val="nil"/>
              <w:left w:val="nil"/>
              <w:bottom w:val="nil"/>
              <w:right w:val="nil"/>
            </w:tcBorders>
            <w:shd w:val="clear" w:color="auto" w:fill="auto"/>
            <w:noWrap/>
            <w:vAlign w:val="bottom"/>
            <w:hideMark/>
          </w:tcPr>
          <w:p w14:paraId="537BB733"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4C2FF45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66BDC57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194E070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616F8CD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0F7B58B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0A07564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5686781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7FB9624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05FBC41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269E63B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256480F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74BD6" w14:paraId="6B3215ED" w14:textId="77777777" w:rsidTr="00BE4ECD">
        <w:trPr>
          <w:trHeight w:val="520"/>
        </w:trPr>
        <w:tc>
          <w:tcPr>
            <w:tcW w:w="1120" w:type="dxa"/>
            <w:tcBorders>
              <w:top w:val="nil"/>
              <w:left w:val="nil"/>
              <w:bottom w:val="nil"/>
              <w:right w:val="nil"/>
            </w:tcBorders>
            <w:shd w:val="clear" w:color="auto" w:fill="auto"/>
            <w:vAlign w:val="center"/>
            <w:hideMark/>
          </w:tcPr>
          <w:p w14:paraId="075BBF87"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Q9</w:t>
            </w:r>
          </w:p>
        </w:tc>
        <w:tc>
          <w:tcPr>
            <w:tcW w:w="4580" w:type="dxa"/>
            <w:tcBorders>
              <w:top w:val="nil"/>
              <w:left w:val="nil"/>
              <w:bottom w:val="nil"/>
              <w:right w:val="nil"/>
            </w:tcBorders>
            <w:shd w:val="clear" w:color="auto" w:fill="auto"/>
            <w:vAlign w:val="center"/>
            <w:hideMark/>
          </w:tcPr>
          <w:p w14:paraId="65CF654C"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Was follow up complete, and if not, were the reasons to loss to follow up described and explored?</w:t>
            </w:r>
          </w:p>
        </w:tc>
        <w:tc>
          <w:tcPr>
            <w:tcW w:w="660" w:type="dxa"/>
            <w:tcBorders>
              <w:top w:val="nil"/>
              <w:left w:val="nil"/>
              <w:bottom w:val="nil"/>
              <w:right w:val="nil"/>
            </w:tcBorders>
            <w:shd w:val="clear" w:color="auto" w:fill="auto"/>
            <w:noWrap/>
            <w:vAlign w:val="bottom"/>
            <w:hideMark/>
          </w:tcPr>
          <w:p w14:paraId="606E0AD8"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78A2F26E"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1E3B70B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696078B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3503186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52CD370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25C43C0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743F3BB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38E1F82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4FF8C30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155E065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5325C63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74BD6" w14:paraId="562DA347" w14:textId="77777777" w:rsidTr="00BE4ECD">
        <w:trPr>
          <w:trHeight w:val="520"/>
        </w:trPr>
        <w:tc>
          <w:tcPr>
            <w:tcW w:w="1120" w:type="dxa"/>
            <w:tcBorders>
              <w:top w:val="nil"/>
              <w:left w:val="nil"/>
              <w:bottom w:val="nil"/>
              <w:right w:val="nil"/>
            </w:tcBorders>
            <w:shd w:val="clear" w:color="auto" w:fill="auto"/>
            <w:vAlign w:val="center"/>
            <w:hideMark/>
          </w:tcPr>
          <w:p w14:paraId="7B801F27"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Q10</w:t>
            </w:r>
          </w:p>
        </w:tc>
        <w:tc>
          <w:tcPr>
            <w:tcW w:w="4580" w:type="dxa"/>
            <w:tcBorders>
              <w:top w:val="nil"/>
              <w:left w:val="nil"/>
              <w:bottom w:val="nil"/>
              <w:right w:val="nil"/>
            </w:tcBorders>
            <w:shd w:val="clear" w:color="auto" w:fill="auto"/>
            <w:vAlign w:val="center"/>
            <w:hideMark/>
          </w:tcPr>
          <w:p w14:paraId="7D381752"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Were strategies to address incomplete follow up utilized?</w:t>
            </w:r>
          </w:p>
        </w:tc>
        <w:tc>
          <w:tcPr>
            <w:tcW w:w="660" w:type="dxa"/>
            <w:tcBorders>
              <w:top w:val="nil"/>
              <w:left w:val="nil"/>
              <w:bottom w:val="nil"/>
              <w:right w:val="nil"/>
            </w:tcBorders>
            <w:shd w:val="clear" w:color="auto" w:fill="auto"/>
            <w:noWrap/>
            <w:vAlign w:val="bottom"/>
            <w:hideMark/>
          </w:tcPr>
          <w:p w14:paraId="6BE3A43D"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1720B75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5D255B5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7D2E0C4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6A9A847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44D8C6B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4B4CFDA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63ABC3F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4F899B7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6D1E220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380C8C2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5468DE8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74BD6" w14:paraId="7E7F7D63" w14:textId="77777777" w:rsidTr="00BE4ECD">
        <w:trPr>
          <w:trHeight w:val="320"/>
        </w:trPr>
        <w:tc>
          <w:tcPr>
            <w:tcW w:w="1120" w:type="dxa"/>
            <w:tcBorders>
              <w:top w:val="nil"/>
              <w:left w:val="nil"/>
              <w:bottom w:val="nil"/>
              <w:right w:val="nil"/>
            </w:tcBorders>
            <w:shd w:val="clear" w:color="auto" w:fill="auto"/>
            <w:vAlign w:val="center"/>
            <w:hideMark/>
          </w:tcPr>
          <w:p w14:paraId="2FDDCA83"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Q11</w:t>
            </w:r>
          </w:p>
        </w:tc>
        <w:tc>
          <w:tcPr>
            <w:tcW w:w="4580" w:type="dxa"/>
            <w:tcBorders>
              <w:top w:val="nil"/>
              <w:left w:val="nil"/>
              <w:bottom w:val="nil"/>
              <w:right w:val="nil"/>
            </w:tcBorders>
            <w:shd w:val="clear" w:color="auto" w:fill="auto"/>
            <w:vAlign w:val="center"/>
            <w:hideMark/>
          </w:tcPr>
          <w:p w14:paraId="6AAED6C2"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Was appropriate statistical analysis used?</w:t>
            </w:r>
          </w:p>
        </w:tc>
        <w:tc>
          <w:tcPr>
            <w:tcW w:w="660" w:type="dxa"/>
            <w:tcBorders>
              <w:top w:val="nil"/>
              <w:left w:val="nil"/>
              <w:bottom w:val="nil"/>
              <w:right w:val="nil"/>
            </w:tcBorders>
            <w:shd w:val="clear" w:color="auto" w:fill="auto"/>
            <w:noWrap/>
            <w:vAlign w:val="bottom"/>
            <w:hideMark/>
          </w:tcPr>
          <w:p w14:paraId="5071C224"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3731CDF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vAlign w:val="bottom"/>
            <w:hideMark/>
          </w:tcPr>
          <w:p w14:paraId="0CB79CB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7B0377A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vAlign w:val="bottom"/>
            <w:hideMark/>
          </w:tcPr>
          <w:p w14:paraId="4F12792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12BF3A5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4D2D0B2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vAlign w:val="bottom"/>
            <w:hideMark/>
          </w:tcPr>
          <w:p w14:paraId="54115C7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vAlign w:val="bottom"/>
            <w:hideMark/>
          </w:tcPr>
          <w:p w14:paraId="3915FD4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vAlign w:val="bottom"/>
            <w:hideMark/>
          </w:tcPr>
          <w:p w14:paraId="1BA26CC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4133DBE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vAlign w:val="bottom"/>
            <w:hideMark/>
          </w:tcPr>
          <w:p w14:paraId="7D88A71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74BD6" w14:paraId="4506CB2A" w14:textId="77777777" w:rsidTr="00BE4ECD">
        <w:trPr>
          <w:trHeight w:val="320"/>
        </w:trPr>
        <w:tc>
          <w:tcPr>
            <w:tcW w:w="1120" w:type="dxa"/>
            <w:tcBorders>
              <w:top w:val="nil"/>
              <w:left w:val="nil"/>
              <w:bottom w:val="nil"/>
              <w:right w:val="nil"/>
            </w:tcBorders>
            <w:shd w:val="clear" w:color="auto" w:fill="auto"/>
            <w:vAlign w:val="center"/>
            <w:hideMark/>
          </w:tcPr>
          <w:p w14:paraId="7BFA433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4580" w:type="dxa"/>
            <w:tcBorders>
              <w:top w:val="nil"/>
              <w:left w:val="nil"/>
              <w:bottom w:val="nil"/>
              <w:right w:val="nil"/>
            </w:tcBorders>
            <w:shd w:val="clear" w:color="auto" w:fill="auto"/>
            <w:vAlign w:val="center"/>
            <w:hideMark/>
          </w:tcPr>
          <w:p w14:paraId="4AF15F6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center"/>
            <w:hideMark/>
          </w:tcPr>
          <w:p w14:paraId="28E51AAE"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783D442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noWrap/>
            <w:vAlign w:val="bottom"/>
            <w:hideMark/>
          </w:tcPr>
          <w:p w14:paraId="616C55D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1425486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7557A5EE"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3E8587B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23B4FCE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noWrap/>
            <w:vAlign w:val="bottom"/>
            <w:hideMark/>
          </w:tcPr>
          <w:p w14:paraId="7157204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367F29E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4776529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noWrap/>
            <w:vAlign w:val="bottom"/>
            <w:hideMark/>
          </w:tcPr>
          <w:p w14:paraId="214C1B8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noWrap/>
            <w:vAlign w:val="bottom"/>
            <w:hideMark/>
          </w:tcPr>
          <w:p w14:paraId="7FC85F8E"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E4ECD" w14:paraId="6A7C1A19" w14:textId="77777777" w:rsidTr="00BE4ECD">
        <w:trPr>
          <w:trHeight w:val="520"/>
        </w:trPr>
        <w:tc>
          <w:tcPr>
            <w:tcW w:w="1120" w:type="dxa"/>
            <w:tcBorders>
              <w:top w:val="nil"/>
              <w:left w:val="nil"/>
              <w:bottom w:val="nil"/>
              <w:right w:val="nil"/>
            </w:tcBorders>
            <w:shd w:val="clear" w:color="auto" w:fill="auto"/>
            <w:vAlign w:val="center"/>
            <w:hideMark/>
          </w:tcPr>
          <w:p w14:paraId="30ACD869" w14:textId="77777777" w:rsidR="00BE4ECD" w:rsidRPr="00BE4ECD" w:rsidRDefault="00BE4ECD" w:rsidP="00BE4ECD">
            <w:pPr>
              <w:rPr>
                <w:rFonts w:ascii="Times New Roman" w:eastAsia="Times New Roman" w:hAnsi="Times New Roman" w:cs="Times New Roman"/>
                <w:i/>
                <w:iCs/>
                <w:color w:val="000000"/>
                <w:kern w:val="0"/>
                <w:sz w:val="18"/>
                <w:szCs w:val="18"/>
                <w:lang w:eastAsia="it-IT"/>
                <w14:ligatures w14:val="none"/>
              </w:rPr>
            </w:pPr>
            <w:r w:rsidRPr="00BE4ECD">
              <w:rPr>
                <w:rFonts w:ascii="Times New Roman" w:eastAsia="Times New Roman" w:hAnsi="Times New Roman" w:cs="Times New Roman"/>
                <w:i/>
                <w:iCs/>
                <w:color w:val="000000"/>
                <w:kern w:val="0"/>
                <w:sz w:val="18"/>
                <w:szCs w:val="18"/>
                <w:lang w:eastAsia="it-IT"/>
                <w14:ligatures w14:val="none"/>
              </w:rPr>
              <w:t>Case control</w:t>
            </w:r>
          </w:p>
        </w:tc>
        <w:tc>
          <w:tcPr>
            <w:tcW w:w="4580" w:type="dxa"/>
            <w:tcBorders>
              <w:top w:val="nil"/>
              <w:left w:val="nil"/>
              <w:bottom w:val="nil"/>
              <w:right w:val="nil"/>
            </w:tcBorders>
            <w:shd w:val="clear" w:color="auto" w:fill="auto"/>
            <w:vAlign w:val="center"/>
            <w:hideMark/>
          </w:tcPr>
          <w:p w14:paraId="71F6F8ED" w14:textId="77777777" w:rsidR="00BE4ECD" w:rsidRPr="00BE4ECD" w:rsidRDefault="00BE4ECD" w:rsidP="00BE4ECD">
            <w:pPr>
              <w:rPr>
                <w:rFonts w:ascii="Times New Roman" w:eastAsia="Times New Roman" w:hAnsi="Times New Roman" w:cs="Times New Roman"/>
                <w:i/>
                <w:iCs/>
                <w:color w:val="000000"/>
                <w:kern w:val="0"/>
                <w:sz w:val="18"/>
                <w:szCs w:val="18"/>
                <w:lang w:eastAsia="it-IT"/>
                <w14:ligatures w14:val="none"/>
              </w:rPr>
            </w:pPr>
          </w:p>
        </w:tc>
        <w:tc>
          <w:tcPr>
            <w:tcW w:w="660" w:type="dxa"/>
            <w:tcBorders>
              <w:top w:val="nil"/>
              <w:left w:val="nil"/>
              <w:bottom w:val="nil"/>
              <w:right w:val="nil"/>
            </w:tcBorders>
            <w:shd w:val="clear" w:color="auto" w:fill="auto"/>
            <w:vAlign w:val="center"/>
            <w:hideMark/>
          </w:tcPr>
          <w:p w14:paraId="2AB89290"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60" w:type="dxa"/>
            <w:tcBorders>
              <w:top w:val="nil"/>
              <w:left w:val="nil"/>
              <w:bottom w:val="nil"/>
              <w:right w:val="nil"/>
            </w:tcBorders>
            <w:shd w:val="clear" w:color="auto" w:fill="auto"/>
            <w:vAlign w:val="bottom"/>
            <w:hideMark/>
          </w:tcPr>
          <w:p w14:paraId="05DB5889"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60" w:type="dxa"/>
            <w:tcBorders>
              <w:top w:val="nil"/>
              <w:left w:val="nil"/>
              <w:bottom w:val="nil"/>
              <w:right w:val="nil"/>
            </w:tcBorders>
            <w:shd w:val="clear" w:color="auto" w:fill="auto"/>
            <w:noWrap/>
            <w:vAlign w:val="bottom"/>
            <w:hideMark/>
          </w:tcPr>
          <w:p w14:paraId="4AE0386A"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40" w:type="dxa"/>
            <w:tcBorders>
              <w:top w:val="nil"/>
              <w:left w:val="nil"/>
              <w:bottom w:val="nil"/>
              <w:right w:val="nil"/>
            </w:tcBorders>
            <w:shd w:val="clear" w:color="auto" w:fill="auto"/>
            <w:noWrap/>
            <w:vAlign w:val="bottom"/>
            <w:hideMark/>
          </w:tcPr>
          <w:p w14:paraId="16E120A3"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40" w:type="dxa"/>
            <w:tcBorders>
              <w:top w:val="nil"/>
              <w:left w:val="nil"/>
              <w:bottom w:val="nil"/>
              <w:right w:val="nil"/>
            </w:tcBorders>
            <w:shd w:val="clear" w:color="auto" w:fill="auto"/>
            <w:noWrap/>
            <w:vAlign w:val="bottom"/>
            <w:hideMark/>
          </w:tcPr>
          <w:p w14:paraId="55ADD6CB"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80" w:type="dxa"/>
            <w:tcBorders>
              <w:top w:val="nil"/>
              <w:left w:val="nil"/>
              <w:bottom w:val="nil"/>
              <w:right w:val="nil"/>
            </w:tcBorders>
            <w:shd w:val="clear" w:color="auto" w:fill="auto"/>
            <w:noWrap/>
            <w:vAlign w:val="bottom"/>
            <w:hideMark/>
          </w:tcPr>
          <w:p w14:paraId="091611D3"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00" w:type="dxa"/>
            <w:tcBorders>
              <w:top w:val="nil"/>
              <w:left w:val="nil"/>
              <w:bottom w:val="nil"/>
              <w:right w:val="nil"/>
            </w:tcBorders>
            <w:shd w:val="clear" w:color="auto" w:fill="auto"/>
            <w:noWrap/>
            <w:vAlign w:val="bottom"/>
            <w:hideMark/>
          </w:tcPr>
          <w:p w14:paraId="2EB68A98"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40" w:type="dxa"/>
            <w:tcBorders>
              <w:top w:val="nil"/>
              <w:left w:val="nil"/>
              <w:bottom w:val="nil"/>
              <w:right w:val="nil"/>
            </w:tcBorders>
            <w:shd w:val="clear" w:color="auto" w:fill="auto"/>
            <w:noWrap/>
            <w:vAlign w:val="bottom"/>
            <w:hideMark/>
          </w:tcPr>
          <w:p w14:paraId="2BEFB2E0"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80" w:type="dxa"/>
            <w:tcBorders>
              <w:top w:val="nil"/>
              <w:left w:val="nil"/>
              <w:bottom w:val="nil"/>
              <w:right w:val="nil"/>
            </w:tcBorders>
            <w:shd w:val="clear" w:color="auto" w:fill="auto"/>
            <w:noWrap/>
            <w:vAlign w:val="bottom"/>
            <w:hideMark/>
          </w:tcPr>
          <w:p w14:paraId="25AE040F"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00" w:type="dxa"/>
            <w:tcBorders>
              <w:top w:val="nil"/>
              <w:left w:val="nil"/>
              <w:bottom w:val="nil"/>
              <w:right w:val="nil"/>
            </w:tcBorders>
            <w:shd w:val="clear" w:color="auto" w:fill="auto"/>
            <w:noWrap/>
            <w:vAlign w:val="bottom"/>
            <w:hideMark/>
          </w:tcPr>
          <w:p w14:paraId="1FDE6E45"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60" w:type="dxa"/>
            <w:tcBorders>
              <w:top w:val="nil"/>
              <w:left w:val="nil"/>
              <w:bottom w:val="nil"/>
              <w:right w:val="nil"/>
            </w:tcBorders>
            <w:shd w:val="clear" w:color="auto" w:fill="auto"/>
            <w:noWrap/>
            <w:vAlign w:val="bottom"/>
            <w:hideMark/>
          </w:tcPr>
          <w:p w14:paraId="33391719"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1160" w:type="dxa"/>
            <w:tcBorders>
              <w:top w:val="nil"/>
              <w:left w:val="nil"/>
              <w:bottom w:val="nil"/>
              <w:right w:val="nil"/>
            </w:tcBorders>
            <w:shd w:val="clear" w:color="auto" w:fill="auto"/>
            <w:noWrap/>
            <w:vAlign w:val="bottom"/>
            <w:hideMark/>
          </w:tcPr>
          <w:p w14:paraId="3037DF3E"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r>
      <w:tr w:rsidR="00BE4ECD" w:rsidRPr="000538EE" w14:paraId="1E36D1AA" w14:textId="77777777" w:rsidTr="00BE4ECD">
        <w:trPr>
          <w:trHeight w:val="520"/>
        </w:trPr>
        <w:tc>
          <w:tcPr>
            <w:tcW w:w="1120" w:type="dxa"/>
            <w:tcBorders>
              <w:top w:val="nil"/>
              <w:left w:val="nil"/>
              <w:bottom w:val="nil"/>
              <w:right w:val="nil"/>
            </w:tcBorders>
            <w:shd w:val="clear" w:color="auto" w:fill="auto"/>
            <w:vAlign w:val="center"/>
            <w:hideMark/>
          </w:tcPr>
          <w:p w14:paraId="36022359"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Q1</w:t>
            </w:r>
          </w:p>
        </w:tc>
        <w:tc>
          <w:tcPr>
            <w:tcW w:w="4580" w:type="dxa"/>
            <w:tcBorders>
              <w:top w:val="nil"/>
              <w:left w:val="nil"/>
              <w:bottom w:val="nil"/>
              <w:right w:val="nil"/>
            </w:tcBorders>
            <w:shd w:val="clear" w:color="auto" w:fill="auto"/>
            <w:vAlign w:val="center"/>
            <w:hideMark/>
          </w:tcPr>
          <w:p w14:paraId="0B12E740"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Were the groups comparable other than the presence of disease in cases or the absence of disease in controls?</w:t>
            </w:r>
          </w:p>
        </w:tc>
        <w:tc>
          <w:tcPr>
            <w:tcW w:w="660" w:type="dxa"/>
            <w:tcBorders>
              <w:top w:val="nil"/>
              <w:left w:val="nil"/>
              <w:bottom w:val="nil"/>
              <w:right w:val="nil"/>
            </w:tcBorders>
            <w:shd w:val="clear" w:color="auto" w:fill="auto"/>
            <w:vAlign w:val="center"/>
            <w:hideMark/>
          </w:tcPr>
          <w:p w14:paraId="6F3E3486"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4071F45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noWrap/>
            <w:vAlign w:val="bottom"/>
            <w:hideMark/>
          </w:tcPr>
          <w:p w14:paraId="6EB66FA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67E694F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13EE8BA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41701BB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04E364F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noWrap/>
            <w:vAlign w:val="bottom"/>
            <w:hideMark/>
          </w:tcPr>
          <w:p w14:paraId="22A42CE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0F5B21A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362638E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noWrap/>
            <w:vAlign w:val="bottom"/>
            <w:hideMark/>
          </w:tcPr>
          <w:p w14:paraId="7361520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noWrap/>
            <w:vAlign w:val="bottom"/>
            <w:hideMark/>
          </w:tcPr>
          <w:p w14:paraId="7794B02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4A9144CC" w14:textId="77777777" w:rsidTr="00BE4ECD">
        <w:trPr>
          <w:trHeight w:val="320"/>
        </w:trPr>
        <w:tc>
          <w:tcPr>
            <w:tcW w:w="1120" w:type="dxa"/>
            <w:tcBorders>
              <w:top w:val="nil"/>
              <w:left w:val="nil"/>
              <w:bottom w:val="nil"/>
              <w:right w:val="nil"/>
            </w:tcBorders>
            <w:shd w:val="clear" w:color="auto" w:fill="auto"/>
            <w:vAlign w:val="center"/>
            <w:hideMark/>
          </w:tcPr>
          <w:p w14:paraId="38162639"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Q2</w:t>
            </w:r>
          </w:p>
        </w:tc>
        <w:tc>
          <w:tcPr>
            <w:tcW w:w="4580" w:type="dxa"/>
            <w:tcBorders>
              <w:top w:val="nil"/>
              <w:left w:val="nil"/>
              <w:bottom w:val="nil"/>
              <w:right w:val="nil"/>
            </w:tcBorders>
            <w:shd w:val="clear" w:color="auto" w:fill="auto"/>
            <w:vAlign w:val="center"/>
            <w:hideMark/>
          </w:tcPr>
          <w:p w14:paraId="44C52CC7"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Were cases and controls matched appropriately?</w:t>
            </w:r>
          </w:p>
        </w:tc>
        <w:tc>
          <w:tcPr>
            <w:tcW w:w="660" w:type="dxa"/>
            <w:tcBorders>
              <w:top w:val="nil"/>
              <w:left w:val="nil"/>
              <w:bottom w:val="nil"/>
              <w:right w:val="nil"/>
            </w:tcBorders>
            <w:shd w:val="clear" w:color="auto" w:fill="auto"/>
            <w:vAlign w:val="center"/>
            <w:hideMark/>
          </w:tcPr>
          <w:p w14:paraId="5B53A07D"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3240BF3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noWrap/>
            <w:vAlign w:val="bottom"/>
            <w:hideMark/>
          </w:tcPr>
          <w:p w14:paraId="78F478B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55C81F9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797070D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69A4EC0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76FF83C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noWrap/>
            <w:vAlign w:val="bottom"/>
            <w:hideMark/>
          </w:tcPr>
          <w:p w14:paraId="4370900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5052A26E"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0D2E24C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noWrap/>
            <w:vAlign w:val="bottom"/>
            <w:hideMark/>
          </w:tcPr>
          <w:p w14:paraId="3E46102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noWrap/>
            <w:vAlign w:val="bottom"/>
            <w:hideMark/>
          </w:tcPr>
          <w:p w14:paraId="20E69FE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24AC1F25" w14:textId="77777777" w:rsidTr="00BE4ECD">
        <w:trPr>
          <w:trHeight w:val="520"/>
        </w:trPr>
        <w:tc>
          <w:tcPr>
            <w:tcW w:w="1120" w:type="dxa"/>
            <w:tcBorders>
              <w:top w:val="nil"/>
              <w:left w:val="nil"/>
              <w:bottom w:val="nil"/>
              <w:right w:val="nil"/>
            </w:tcBorders>
            <w:shd w:val="clear" w:color="auto" w:fill="auto"/>
            <w:vAlign w:val="center"/>
            <w:hideMark/>
          </w:tcPr>
          <w:p w14:paraId="420924D2"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Q3</w:t>
            </w:r>
          </w:p>
        </w:tc>
        <w:tc>
          <w:tcPr>
            <w:tcW w:w="4580" w:type="dxa"/>
            <w:tcBorders>
              <w:top w:val="nil"/>
              <w:left w:val="nil"/>
              <w:bottom w:val="nil"/>
              <w:right w:val="nil"/>
            </w:tcBorders>
            <w:shd w:val="clear" w:color="auto" w:fill="auto"/>
            <w:vAlign w:val="center"/>
            <w:hideMark/>
          </w:tcPr>
          <w:p w14:paraId="73D6568A"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Were the same criteria used for identification of cases and controls?</w:t>
            </w:r>
          </w:p>
        </w:tc>
        <w:tc>
          <w:tcPr>
            <w:tcW w:w="660" w:type="dxa"/>
            <w:tcBorders>
              <w:top w:val="nil"/>
              <w:left w:val="nil"/>
              <w:bottom w:val="nil"/>
              <w:right w:val="nil"/>
            </w:tcBorders>
            <w:shd w:val="clear" w:color="auto" w:fill="auto"/>
            <w:vAlign w:val="center"/>
            <w:hideMark/>
          </w:tcPr>
          <w:p w14:paraId="00C2EC90"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50FA108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noWrap/>
            <w:vAlign w:val="bottom"/>
            <w:hideMark/>
          </w:tcPr>
          <w:p w14:paraId="2458D81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7F66055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07E82D3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711BFAA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596D0C0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noWrap/>
            <w:vAlign w:val="bottom"/>
            <w:hideMark/>
          </w:tcPr>
          <w:p w14:paraId="4772429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0570F4C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596BDF1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noWrap/>
            <w:vAlign w:val="bottom"/>
            <w:hideMark/>
          </w:tcPr>
          <w:p w14:paraId="1A5A834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noWrap/>
            <w:vAlign w:val="bottom"/>
            <w:hideMark/>
          </w:tcPr>
          <w:p w14:paraId="1D6AC8F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3490E668" w14:textId="77777777" w:rsidTr="00BE4ECD">
        <w:trPr>
          <w:trHeight w:val="520"/>
        </w:trPr>
        <w:tc>
          <w:tcPr>
            <w:tcW w:w="1120" w:type="dxa"/>
            <w:tcBorders>
              <w:top w:val="nil"/>
              <w:left w:val="nil"/>
              <w:bottom w:val="nil"/>
              <w:right w:val="nil"/>
            </w:tcBorders>
            <w:shd w:val="clear" w:color="auto" w:fill="auto"/>
            <w:vAlign w:val="center"/>
            <w:hideMark/>
          </w:tcPr>
          <w:p w14:paraId="7A33947F"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Q4</w:t>
            </w:r>
          </w:p>
        </w:tc>
        <w:tc>
          <w:tcPr>
            <w:tcW w:w="4580" w:type="dxa"/>
            <w:tcBorders>
              <w:top w:val="nil"/>
              <w:left w:val="nil"/>
              <w:bottom w:val="nil"/>
              <w:right w:val="nil"/>
            </w:tcBorders>
            <w:shd w:val="clear" w:color="auto" w:fill="auto"/>
            <w:vAlign w:val="center"/>
            <w:hideMark/>
          </w:tcPr>
          <w:p w14:paraId="27D4C5F9"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Was exposure measured in a standard, valid and reliable way?</w:t>
            </w:r>
          </w:p>
        </w:tc>
        <w:tc>
          <w:tcPr>
            <w:tcW w:w="660" w:type="dxa"/>
            <w:tcBorders>
              <w:top w:val="nil"/>
              <w:left w:val="nil"/>
              <w:bottom w:val="nil"/>
              <w:right w:val="nil"/>
            </w:tcBorders>
            <w:shd w:val="clear" w:color="auto" w:fill="auto"/>
            <w:vAlign w:val="center"/>
            <w:hideMark/>
          </w:tcPr>
          <w:p w14:paraId="28BBA246"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414D0F7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noWrap/>
            <w:vAlign w:val="bottom"/>
            <w:hideMark/>
          </w:tcPr>
          <w:p w14:paraId="4457901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6E3EA05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739ACE7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14F0DFB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77C23F0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noWrap/>
            <w:vAlign w:val="bottom"/>
            <w:hideMark/>
          </w:tcPr>
          <w:p w14:paraId="71F8AC1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6BEE98D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3B6A49A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noWrap/>
            <w:vAlign w:val="bottom"/>
            <w:hideMark/>
          </w:tcPr>
          <w:p w14:paraId="77981B2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noWrap/>
            <w:vAlign w:val="bottom"/>
            <w:hideMark/>
          </w:tcPr>
          <w:p w14:paraId="21577E3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03CE1E2C" w14:textId="77777777" w:rsidTr="00BE4ECD">
        <w:trPr>
          <w:trHeight w:val="520"/>
        </w:trPr>
        <w:tc>
          <w:tcPr>
            <w:tcW w:w="1120" w:type="dxa"/>
            <w:tcBorders>
              <w:top w:val="nil"/>
              <w:left w:val="nil"/>
              <w:bottom w:val="nil"/>
              <w:right w:val="nil"/>
            </w:tcBorders>
            <w:shd w:val="clear" w:color="auto" w:fill="auto"/>
            <w:vAlign w:val="center"/>
            <w:hideMark/>
          </w:tcPr>
          <w:p w14:paraId="35E3FDFF"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Q5</w:t>
            </w:r>
          </w:p>
        </w:tc>
        <w:tc>
          <w:tcPr>
            <w:tcW w:w="4580" w:type="dxa"/>
            <w:tcBorders>
              <w:top w:val="nil"/>
              <w:left w:val="nil"/>
              <w:bottom w:val="nil"/>
              <w:right w:val="nil"/>
            </w:tcBorders>
            <w:shd w:val="clear" w:color="auto" w:fill="auto"/>
            <w:vAlign w:val="center"/>
            <w:hideMark/>
          </w:tcPr>
          <w:p w14:paraId="0693EDCA"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Was exposure measured in the same way for cases and controls?</w:t>
            </w:r>
          </w:p>
        </w:tc>
        <w:tc>
          <w:tcPr>
            <w:tcW w:w="660" w:type="dxa"/>
            <w:tcBorders>
              <w:top w:val="nil"/>
              <w:left w:val="nil"/>
              <w:bottom w:val="nil"/>
              <w:right w:val="nil"/>
            </w:tcBorders>
            <w:shd w:val="clear" w:color="auto" w:fill="auto"/>
            <w:vAlign w:val="center"/>
            <w:hideMark/>
          </w:tcPr>
          <w:p w14:paraId="7416232A"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104FF8B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noWrap/>
            <w:vAlign w:val="bottom"/>
            <w:hideMark/>
          </w:tcPr>
          <w:p w14:paraId="67058B6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5AC2B39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7A71276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6202BD4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1E23C1C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noWrap/>
            <w:vAlign w:val="bottom"/>
            <w:hideMark/>
          </w:tcPr>
          <w:p w14:paraId="5CCDD49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5F61BB3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4358DBD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noWrap/>
            <w:vAlign w:val="bottom"/>
            <w:hideMark/>
          </w:tcPr>
          <w:p w14:paraId="42F6A84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noWrap/>
            <w:vAlign w:val="bottom"/>
            <w:hideMark/>
          </w:tcPr>
          <w:p w14:paraId="0BA2E8E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E4ECD" w14:paraId="764E43ED" w14:textId="77777777" w:rsidTr="00BE4ECD">
        <w:trPr>
          <w:trHeight w:val="320"/>
        </w:trPr>
        <w:tc>
          <w:tcPr>
            <w:tcW w:w="1120" w:type="dxa"/>
            <w:tcBorders>
              <w:top w:val="nil"/>
              <w:left w:val="nil"/>
              <w:bottom w:val="nil"/>
              <w:right w:val="nil"/>
            </w:tcBorders>
            <w:shd w:val="clear" w:color="auto" w:fill="auto"/>
            <w:vAlign w:val="center"/>
            <w:hideMark/>
          </w:tcPr>
          <w:p w14:paraId="15682433"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Q6</w:t>
            </w:r>
          </w:p>
        </w:tc>
        <w:tc>
          <w:tcPr>
            <w:tcW w:w="4580" w:type="dxa"/>
            <w:tcBorders>
              <w:top w:val="nil"/>
              <w:left w:val="nil"/>
              <w:bottom w:val="nil"/>
              <w:right w:val="nil"/>
            </w:tcBorders>
            <w:shd w:val="clear" w:color="auto" w:fill="auto"/>
            <w:vAlign w:val="center"/>
            <w:hideMark/>
          </w:tcPr>
          <w:p w14:paraId="5741846E"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 xml:space="preserve">Were confounding factors identified? </w:t>
            </w:r>
          </w:p>
        </w:tc>
        <w:tc>
          <w:tcPr>
            <w:tcW w:w="660" w:type="dxa"/>
            <w:tcBorders>
              <w:top w:val="nil"/>
              <w:left w:val="nil"/>
              <w:bottom w:val="nil"/>
              <w:right w:val="nil"/>
            </w:tcBorders>
            <w:shd w:val="clear" w:color="auto" w:fill="auto"/>
            <w:vAlign w:val="center"/>
            <w:hideMark/>
          </w:tcPr>
          <w:p w14:paraId="078249E1"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p>
        </w:tc>
        <w:tc>
          <w:tcPr>
            <w:tcW w:w="660" w:type="dxa"/>
            <w:tcBorders>
              <w:top w:val="nil"/>
              <w:left w:val="nil"/>
              <w:bottom w:val="nil"/>
              <w:right w:val="nil"/>
            </w:tcBorders>
            <w:shd w:val="clear" w:color="auto" w:fill="auto"/>
            <w:vAlign w:val="bottom"/>
            <w:hideMark/>
          </w:tcPr>
          <w:p w14:paraId="2C58EF04"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60" w:type="dxa"/>
            <w:tcBorders>
              <w:top w:val="nil"/>
              <w:left w:val="nil"/>
              <w:bottom w:val="nil"/>
              <w:right w:val="nil"/>
            </w:tcBorders>
            <w:shd w:val="clear" w:color="auto" w:fill="auto"/>
            <w:noWrap/>
            <w:vAlign w:val="bottom"/>
            <w:hideMark/>
          </w:tcPr>
          <w:p w14:paraId="6AD641B8"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40" w:type="dxa"/>
            <w:tcBorders>
              <w:top w:val="nil"/>
              <w:left w:val="nil"/>
              <w:bottom w:val="nil"/>
              <w:right w:val="nil"/>
            </w:tcBorders>
            <w:shd w:val="clear" w:color="auto" w:fill="auto"/>
            <w:noWrap/>
            <w:vAlign w:val="bottom"/>
            <w:hideMark/>
          </w:tcPr>
          <w:p w14:paraId="38A424CF"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40" w:type="dxa"/>
            <w:tcBorders>
              <w:top w:val="nil"/>
              <w:left w:val="nil"/>
              <w:bottom w:val="nil"/>
              <w:right w:val="nil"/>
            </w:tcBorders>
            <w:shd w:val="clear" w:color="auto" w:fill="auto"/>
            <w:noWrap/>
            <w:vAlign w:val="bottom"/>
            <w:hideMark/>
          </w:tcPr>
          <w:p w14:paraId="0C24E182"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80" w:type="dxa"/>
            <w:tcBorders>
              <w:top w:val="nil"/>
              <w:left w:val="nil"/>
              <w:bottom w:val="nil"/>
              <w:right w:val="nil"/>
            </w:tcBorders>
            <w:shd w:val="clear" w:color="auto" w:fill="auto"/>
            <w:noWrap/>
            <w:vAlign w:val="bottom"/>
            <w:hideMark/>
          </w:tcPr>
          <w:p w14:paraId="7DEBF690"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00" w:type="dxa"/>
            <w:tcBorders>
              <w:top w:val="nil"/>
              <w:left w:val="nil"/>
              <w:bottom w:val="nil"/>
              <w:right w:val="nil"/>
            </w:tcBorders>
            <w:shd w:val="clear" w:color="auto" w:fill="auto"/>
            <w:noWrap/>
            <w:vAlign w:val="bottom"/>
            <w:hideMark/>
          </w:tcPr>
          <w:p w14:paraId="605EF74F"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40" w:type="dxa"/>
            <w:tcBorders>
              <w:top w:val="nil"/>
              <w:left w:val="nil"/>
              <w:bottom w:val="nil"/>
              <w:right w:val="nil"/>
            </w:tcBorders>
            <w:shd w:val="clear" w:color="auto" w:fill="auto"/>
            <w:noWrap/>
            <w:vAlign w:val="bottom"/>
            <w:hideMark/>
          </w:tcPr>
          <w:p w14:paraId="36427B6D"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80" w:type="dxa"/>
            <w:tcBorders>
              <w:top w:val="nil"/>
              <w:left w:val="nil"/>
              <w:bottom w:val="nil"/>
              <w:right w:val="nil"/>
            </w:tcBorders>
            <w:shd w:val="clear" w:color="auto" w:fill="auto"/>
            <w:noWrap/>
            <w:vAlign w:val="bottom"/>
            <w:hideMark/>
          </w:tcPr>
          <w:p w14:paraId="2F85C364"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00" w:type="dxa"/>
            <w:tcBorders>
              <w:top w:val="nil"/>
              <w:left w:val="nil"/>
              <w:bottom w:val="nil"/>
              <w:right w:val="nil"/>
            </w:tcBorders>
            <w:shd w:val="clear" w:color="auto" w:fill="auto"/>
            <w:noWrap/>
            <w:vAlign w:val="bottom"/>
            <w:hideMark/>
          </w:tcPr>
          <w:p w14:paraId="39A58F0C"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60" w:type="dxa"/>
            <w:tcBorders>
              <w:top w:val="nil"/>
              <w:left w:val="nil"/>
              <w:bottom w:val="nil"/>
              <w:right w:val="nil"/>
            </w:tcBorders>
            <w:shd w:val="clear" w:color="auto" w:fill="auto"/>
            <w:noWrap/>
            <w:vAlign w:val="bottom"/>
            <w:hideMark/>
          </w:tcPr>
          <w:p w14:paraId="1F6D9049"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1160" w:type="dxa"/>
            <w:tcBorders>
              <w:top w:val="nil"/>
              <w:left w:val="nil"/>
              <w:bottom w:val="nil"/>
              <w:right w:val="nil"/>
            </w:tcBorders>
            <w:shd w:val="clear" w:color="auto" w:fill="auto"/>
            <w:noWrap/>
            <w:vAlign w:val="bottom"/>
            <w:hideMark/>
          </w:tcPr>
          <w:p w14:paraId="4944FA97"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r>
      <w:tr w:rsidR="00BE4ECD" w:rsidRPr="000538EE" w14:paraId="29F2EFA1" w14:textId="77777777" w:rsidTr="00BE4ECD">
        <w:trPr>
          <w:trHeight w:val="320"/>
        </w:trPr>
        <w:tc>
          <w:tcPr>
            <w:tcW w:w="1120" w:type="dxa"/>
            <w:tcBorders>
              <w:top w:val="nil"/>
              <w:left w:val="nil"/>
              <w:bottom w:val="nil"/>
              <w:right w:val="nil"/>
            </w:tcBorders>
            <w:shd w:val="clear" w:color="auto" w:fill="auto"/>
            <w:vAlign w:val="center"/>
            <w:hideMark/>
          </w:tcPr>
          <w:p w14:paraId="3390C978"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lastRenderedPageBreak/>
              <w:t>JBI Q7</w:t>
            </w:r>
          </w:p>
        </w:tc>
        <w:tc>
          <w:tcPr>
            <w:tcW w:w="4580" w:type="dxa"/>
            <w:tcBorders>
              <w:top w:val="nil"/>
              <w:left w:val="nil"/>
              <w:bottom w:val="nil"/>
              <w:right w:val="nil"/>
            </w:tcBorders>
            <w:shd w:val="clear" w:color="auto" w:fill="auto"/>
            <w:vAlign w:val="center"/>
            <w:hideMark/>
          </w:tcPr>
          <w:p w14:paraId="548DC980"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Were strategies to deal with confounding factors stated?</w:t>
            </w:r>
          </w:p>
        </w:tc>
        <w:tc>
          <w:tcPr>
            <w:tcW w:w="660" w:type="dxa"/>
            <w:tcBorders>
              <w:top w:val="nil"/>
              <w:left w:val="nil"/>
              <w:bottom w:val="nil"/>
              <w:right w:val="nil"/>
            </w:tcBorders>
            <w:shd w:val="clear" w:color="auto" w:fill="auto"/>
            <w:vAlign w:val="center"/>
            <w:hideMark/>
          </w:tcPr>
          <w:p w14:paraId="5E780339"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3D2085B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noWrap/>
            <w:vAlign w:val="bottom"/>
            <w:hideMark/>
          </w:tcPr>
          <w:p w14:paraId="23B769F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4E682AE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0D43A0E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7680EA2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4AA4B0E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noWrap/>
            <w:vAlign w:val="bottom"/>
            <w:hideMark/>
          </w:tcPr>
          <w:p w14:paraId="2B22EDE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760E616E"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20BCABF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noWrap/>
            <w:vAlign w:val="bottom"/>
            <w:hideMark/>
          </w:tcPr>
          <w:p w14:paraId="011E68C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noWrap/>
            <w:vAlign w:val="bottom"/>
            <w:hideMark/>
          </w:tcPr>
          <w:p w14:paraId="06A603F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4C6573D1" w14:textId="77777777" w:rsidTr="00BE4ECD">
        <w:trPr>
          <w:trHeight w:val="520"/>
        </w:trPr>
        <w:tc>
          <w:tcPr>
            <w:tcW w:w="1120" w:type="dxa"/>
            <w:tcBorders>
              <w:top w:val="nil"/>
              <w:left w:val="nil"/>
              <w:bottom w:val="nil"/>
              <w:right w:val="nil"/>
            </w:tcBorders>
            <w:shd w:val="clear" w:color="auto" w:fill="auto"/>
            <w:vAlign w:val="center"/>
            <w:hideMark/>
          </w:tcPr>
          <w:p w14:paraId="67DFAABF"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Q8</w:t>
            </w:r>
          </w:p>
        </w:tc>
        <w:tc>
          <w:tcPr>
            <w:tcW w:w="4580" w:type="dxa"/>
            <w:tcBorders>
              <w:top w:val="nil"/>
              <w:left w:val="nil"/>
              <w:bottom w:val="nil"/>
              <w:right w:val="nil"/>
            </w:tcBorders>
            <w:shd w:val="clear" w:color="auto" w:fill="auto"/>
            <w:vAlign w:val="center"/>
            <w:hideMark/>
          </w:tcPr>
          <w:p w14:paraId="0AA64CE0"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Were outcomes assessed in a standard, valid and reliable way for cases and controls?</w:t>
            </w:r>
          </w:p>
        </w:tc>
        <w:tc>
          <w:tcPr>
            <w:tcW w:w="660" w:type="dxa"/>
            <w:tcBorders>
              <w:top w:val="nil"/>
              <w:left w:val="nil"/>
              <w:bottom w:val="nil"/>
              <w:right w:val="nil"/>
            </w:tcBorders>
            <w:shd w:val="clear" w:color="auto" w:fill="auto"/>
            <w:vAlign w:val="center"/>
            <w:hideMark/>
          </w:tcPr>
          <w:p w14:paraId="28DFE353"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3020B89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noWrap/>
            <w:vAlign w:val="bottom"/>
            <w:hideMark/>
          </w:tcPr>
          <w:p w14:paraId="7256B06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02BB468E"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658E59E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211CB69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6596638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noWrap/>
            <w:vAlign w:val="bottom"/>
            <w:hideMark/>
          </w:tcPr>
          <w:p w14:paraId="5574F84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036490A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440E5BF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noWrap/>
            <w:vAlign w:val="bottom"/>
            <w:hideMark/>
          </w:tcPr>
          <w:p w14:paraId="75EAF1E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noWrap/>
            <w:vAlign w:val="bottom"/>
            <w:hideMark/>
          </w:tcPr>
          <w:p w14:paraId="514E858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17BEAC39" w14:textId="77777777" w:rsidTr="00BE4ECD">
        <w:trPr>
          <w:trHeight w:val="520"/>
        </w:trPr>
        <w:tc>
          <w:tcPr>
            <w:tcW w:w="1120" w:type="dxa"/>
            <w:tcBorders>
              <w:top w:val="nil"/>
              <w:left w:val="nil"/>
              <w:bottom w:val="nil"/>
              <w:right w:val="nil"/>
            </w:tcBorders>
            <w:shd w:val="clear" w:color="auto" w:fill="auto"/>
            <w:vAlign w:val="center"/>
            <w:hideMark/>
          </w:tcPr>
          <w:p w14:paraId="6B1908B7"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Q9</w:t>
            </w:r>
          </w:p>
        </w:tc>
        <w:tc>
          <w:tcPr>
            <w:tcW w:w="4580" w:type="dxa"/>
            <w:tcBorders>
              <w:top w:val="nil"/>
              <w:left w:val="nil"/>
              <w:bottom w:val="nil"/>
              <w:right w:val="nil"/>
            </w:tcBorders>
            <w:shd w:val="clear" w:color="auto" w:fill="auto"/>
            <w:vAlign w:val="center"/>
            <w:hideMark/>
          </w:tcPr>
          <w:p w14:paraId="3A7054FC"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Was the exposure period of interest long enough to be meaningful?</w:t>
            </w:r>
          </w:p>
        </w:tc>
        <w:tc>
          <w:tcPr>
            <w:tcW w:w="660" w:type="dxa"/>
            <w:tcBorders>
              <w:top w:val="nil"/>
              <w:left w:val="nil"/>
              <w:bottom w:val="nil"/>
              <w:right w:val="nil"/>
            </w:tcBorders>
            <w:shd w:val="clear" w:color="auto" w:fill="auto"/>
            <w:vAlign w:val="center"/>
            <w:hideMark/>
          </w:tcPr>
          <w:p w14:paraId="02790ECF"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7939C4B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noWrap/>
            <w:vAlign w:val="bottom"/>
            <w:hideMark/>
          </w:tcPr>
          <w:p w14:paraId="383C45B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7B4B9F3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1F293A4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0BAEBD4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49A0C2D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noWrap/>
            <w:vAlign w:val="bottom"/>
            <w:hideMark/>
          </w:tcPr>
          <w:p w14:paraId="376038E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0172EA1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308BC389"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noWrap/>
            <w:vAlign w:val="bottom"/>
            <w:hideMark/>
          </w:tcPr>
          <w:p w14:paraId="7CD91B4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noWrap/>
            <w:vAlign w:val="bottom"/>
            <w:hideMark/>
          </w:tcPr>
          <w:p w14:paraId="2FF9A86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7FFB309C" w14:textId="77777777" w:rsidTr="00BE4ECD">
        <w:trPr>
          <w:trHeight w:val="320"/>
        </w:trPr>
        <w:tc>
          <w:tcPr>
            <w:tcW w:w="1120" w:type="dxa"/>
            <w:tcBorders>
              <w:top w:val="nil"/>
              <w:left w:val="nil"/>
              <w:bottom w:val="nil"/>
              <w:right w:val="nil"/>
            </w:tcBorders>
            <w:shd w:val="clear" w:color="auto" w:fill="auto"/>
            <w:vAlign w:val="center"/>
            <w:hideMark/>
          </w:tcPr>
          <w:p w14:paraId="08E1C5A7"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Q10</w:t>
            </w:r>
          </w:p>
        </w:tc>
        <w:tc>
          <w:tcPr>
            <w:tcW w:w="4580" w:type="dxa"/>
            <w:tcBorders>
              <w:top w:val="nil"/>
              <w:left w:val="nil"/>
              <w:bottom w:val="nil"/>
              <w:right w:val="nil"/>
            </w:tcBorders>
            <w:shd w:val="clear" w:color="auto" w:fill="auto"/>
            <w:vAlign w:val="center"/>
            <w:hideMark/>
          </w:tcPr>
          <w:p w14:paraId="58683AF5"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Was appropriate statistical analysis used?</w:t>
            </w:r>
          </w:p>
        </w:tc>
        <w:tc>
          <w:tcPr>
            <w:tcW w:w="660" w:type="dxa"/>
            <w:tcBorders>
              <w:top w:val="nil"/>
              <w:left w:val="nil"/>
              <w:bottom w:val="nil"/>
              <w:right w:val="nil"/>
            </w:tcBorders>
            <w:shd w:val="clear" w:color="auto" w:fill="auto"/>
            <w:vAlign w:val="center"/>
            <w:hideMark/>
          </w:tcPr>
          <w:p w14:paraId="31AAB80D"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vAlign w:val="bottom"/>
            <w:hideMark/>
          </w:tcPr>
          <w:p w14:paraId="7D63858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noWrap/>
            <w:vAlign w:val="bottom"/>
            <w:hideMark/>
          </w:tcPr>
          <w:p w14:paraId="6E06EF8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1B1FD33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2EF63E8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37CA2D5E"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623B44F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noWrap/>
            <w:vAlign w:val="bottom"/>
            <w:hideMark/>
          </w:tcPr>
          <w:p w14:paraId="16D0AA9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5E2C4E6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64C9659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noWrap/>
            <w:vAlign w:val="bottom"/>
            <w:hideMark/>
          </w:tcPr>
          <w:p w14:paraId="1D4B425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noWrap/>
            <w:vAlign w:val="bottom"/>
            <w:hideMark/>
          </w:tcPr>
          <w:p w14:paraId="6B3C364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68A0531D" w14:textId="77777777" w:rsidTr="00BE4ECD">
        <w:trPr>
          <w:trHeight w:val="320"/>
        </w:trPr>
        <w:tc>
          <w:tcPr>
            <w:tcW w:w="1120" w:type="dxa"/>
            <w:tcBorders>
              <w:top w:val="nil"/>
              <w:left w:val="nil"/>
              <w:bottom w:val="nil"/>
              <w:right w:val="nil"/>
            </w:tcBorders>
            <w:shd w:val="clear" w:color="auto" w:fill="auto"/>
            <w:vAlign w:val="center"/>
            <w:hideMark/>
          </w:tcPr>
          <w:p w14:paraId="6284C36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4580" w:type="dxa"/>
            <w:tcBorders>
              <w:top w:val="nil"/>
              <w:left w:val="nil"/>
              <w:bottom w:val="nil"/>
              <w:right w:val="nil"/>
            </w:tcBorders>
            <w:shd w:val="clear" w:color="auto" w:fill="auto"/>
            <w:vAlign w:val="center"/>
            <w:hideMark/>
          </w:tcPr>
          <w:p w14:paraId="1A488A6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center"/>
            <w:hideMark/>
          </w:tcPr>
          <w:p w14:paraId="6BF2584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vAlign w:val="bottom"/>
            <w:hideMark/>
          </w:tcPr>
          <w:p w14:paraId="4B32555E"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noWrap/>
            <w:vAlign w:val="bottom"/>
            <w:hideMark/>
          </w:tcPr>
          <w:p w14:paraId="6501D76E"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12B2807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noWrap/>
            <w:vAlign w:val="bottom"/>
            <w:hideMark/>
          </w:tcPr>
          <w:p w14:paraId="64F6FF1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72A5E9F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620E11F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noWrap/>
            <w:vAlign w:val="bottom"/>
            <w:hideMark/>
          </w:tcPr>
          <w:p w14:paraId="50D4B54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noWrap/>
            <w:vAlign w:val="bottom"/>
            <w:hideMark/>
          </w:tcPr>
          <w:p w14:paraId="0B3A6E1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noWrap/>
            <w:vAlign w:val="bottom"/>
            <w:hideMark/>
          </w:tcPr>
          <w:p w14:paraId="5B9EE67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noWrap/>
            <w:vAlign w:val="bottom"/>
            <w:hideMark/>
          </w:tcPr>
          <w:p w14:paraId="79FB2E5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noWrap/>
            <w:vAlign w:val="bottom"/>
            <w:hideMark/>
          </w:tcPr>
          <w:p w14:paraId="342E207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BE4ECD" w14:paraId="5DC05EB9" w14:textId="77777777" w:rsidTr="00BE4ECD">
        <w:trPr>
          <w:trHeight w:val="520"/>
        </w:trPr>
        <w:tc>
          <w:tcPr>
            <w:tcW w:w="1120" w:type="dxa"/>
            <w:tcBorders>
              <w:top w:val="nil"/>
              <w:left w:val="nil"/>
              <w:bottom w:val="nil"/>
              <w:right w:val="nil"/>
            </w:tcBorders>
            <w:shd w:val="clear" w:color="auto" w:fill="auto"/>
            <w:vAlign w:val="center"/>
            <w:hideMark/>
          </w:tcPr>
          <w:p w14:paraId="69A1703A" w14:textId="77777777" w:rsidR="00BE4ECD" w:rsidRPr="00BE4ECD" w:rsidRDefault="00BE4ECD" w:rsidP="00BE4ECD">
            <w:pPr>
              <w:rPr>
                <w:rFonts w:ascii="Times New Roman" w:eastAsia="Times New Roman" w:hAnsi="Times New Roman" w:cs="Times New Roman"/>
                <w:i/>
                <w:iCs/>
                <w:color w:val="000000"/>
                <w:kern w:val="0"/>
                <w:sz w:val="18"/>
                <w:szCs w:val="18"/>
                <w:lang w:eastAsia="it-IT"/>
                <w14:ligatures w14:val="none"/>
              </w:rPr>
            </w:pPr>
            <w:r w:rsidRPr="00BE4ECD">
              <w:rPr>
                <w:rFonts w:ascii="Times New Roman" w:eastAsia="Times New Roman" w:hAnsi="Times New Roman" w:cs="Times New Roman"/>
                <w:i/>
                <w:iCs/>
                <w:color w:val="000000"/>
                <w:kern w:val="0"/>
                <w:sz w:val="18"/>
                <w:szCs w:val="18"/>
                <w:lang w:eastAsia="it-IT"/>
                <w14:ligatures w14:val="none"/>
              </w:rPr>
              <w:t>Qualitative study</w:t>
            </w:r>
          </w:p>
        </w:tc>
        <w:tc>
          <w:tcPr>
            <w:tcW w:w="4580" w:type="dxa"/>
            <w:tcBorders>
              <w:top w:val="nil"/>
              <w:left w:val="nil"/>
              <w:bottom w:val="nil"/>
              <w:right w:val="nil"/>
            </w:tcBorders>
            <w:shd w:val="clear" w:color="auto" w:fill="auto"/>
            <w:vAlign w:val="center"/>
            <w:hideMark/>
          </w:tcPr>
          <w:p w14:paraId="715B421A" w14:textId="77777777" w:rsidR="00BE4ECD" w:rsidRPr="00BE4ECD" w:rsidRDefault="00BE4ECD" w:rsidP="00BE4ECD">
            <w:pPr>
              <w:rPr>
                <w:rFonts w:ascii="Times New Roman" w:eastAsia="Times New Roman" w:hAnsi="Times New Roman" w:cs="Times New Roman"/>
                <w:i/>
                <w:iCs/>
                <w:color w:val="000000"/>
                <w:kern w:val="0"/>
                <w:sz w:val="18"/>
                <w:szCs w:val="18"/>
                <w:lang w:eastAsia="it-IT"/>
                <w14:ligatures w14:val="none"/>
              </w:rPr>
            </w:pPr>
          </w:p>
        </w:tc>
        <w:tc>
          <w:tcPr>
            <w:tcW w:w="660" w:type="dxa"/>
            <w:tcBorders>
              <w:top w:val="nil"/>
              <w:left w:val="nil"/>
              <w:bottom w:val="nil"/>
              <w:right w:val="nil"/>
            </w:tcBorders>
            <w:shd w:val="clear" w:color="auto" w:fill="auto"/>
            <w:vAlign w:val="bottom"/>
            <w:hideMark/>
          </w:tcPr>
          <w:p w14:paraId="5503C1E6"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60" w:type="dxa"/>
            <w:tcBorders>
              <w:top w:val="nil"/>
              <w:left w:val="nil"/>
              <w:bottom w:val="nil"/>
              <w:right w:val="nil"/>
            </w:tcBorders>
            <w:shd w:val="clear" w:color="auto" w:fill="auto"/>
            <w:vAlign w:val="center"/>
            <w:hideMark/>
          </w:tcPr>
          <w:p w14:paraId="0C328853"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60" w:type="dxa"/>
            <w:tcBorders>
              <w:top w:val="nil"/>
              <w:left w:val="nil"/>
              <w:bottom w:val="nil"/>
              <w:right w:val="nil"/>
            </w:tcBorders>
            <w:shd w:val="clear" w:color="auto" w:fill="auto"/>
            <w:vAlign w:val="center"/>
            <w:hideMark/>
          </w:tcPr>
          <w:p w14:paraId="09A47D9F"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40" w:type="dxa"/>
            <w:tcBorders>
              <w:top w:val="nil"/>
              <w:left w:val="nil"/>
              <w:bottom w:val="nil"/>
              <w:right w:val="nil"/>
            </w:tcBorders>
            <w:shd w:val="clear" w:color="auto" w:fill="auto"/>
            <w:vAlign w:val="center"/>
            <w:hideMark/>
          </w:tcPr>
          <w:p w14:paraId="0673E959"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40" w:type="dxa"/>
            <w:tcBorders>
              <w:top w:val="nil"/>
              <w:left w:val="nil"/>
              <w:bottom w:val="nil"/>
              <w:right w:val="nil"/>
            </w:tcBorders>
            <w:shd w:val="clear" w:color="auto" w:fill="auto"/>
            <w:vAlign w:val="center"/>
            <w:hideMark/>
          </w:tcPr>
          <w:p w14:paraId="27CBB1BB"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80" w:type="dxa"/>
            <w:tcBorders>
              <w:top w:val="nil"/>
              <w:left w:val="nil"/>
              <w:bottom w:val="nil"/>
              <w:right w:val="nil"/>
            </w:tcBorders>
            <w:shd w:val="clear" w:color="auto" w:fill="auto"/>
            <w:vAlign w:val="center"/>
            <w:hideMark/>
          </w:tcPr>
          <w:p w14:paraId="4C6E27D4"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00" w:type="dxa"/>
            <w:tcBorders>
              <w:top w:val="nil"/>
              <w:left w:val="nil"/>
              <w:bottom w:val="nil"/>
              <w:right w:val="nil"/>
            </w:tcBorders>
            <w:shd w:val="clear" w:color="auto" w:fill="auto"/>
            <w:vAlign w:val="bottom"/>
            <w:hideMark/>
          </w:tcPr>
          <w:p w14:paraId="38FAC223"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40" w:type="dxa"/>
            <w:tcBorders>
              <w:top w:val="nil"/>
              <w:left w:val="nil"/>
              <w:bottom w:val="nil"/>
              <w:right w:val="nil"/>
            </w:tcBorders>
            <w:shd w:val="clear" w:color="auto" w:fill="auto"/>
            <w:vAlign w:val="bottom"/>
            <w:hideMark/>
          </w:tcPr>
          <w:p w14:paraId="06F6958E"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580" w:type="dxa"/>
            <w:tcBorders>
              <w:top w:val="nil"/>
              <w:left w:val="nil"/>
              <w:bottom w:val="nil"/>
              <w:right w:val="nil"/>
            </w:tcBorders>
            <w:shd w:val="clear" w:color="auto" w:fill="auto"/>
            <w:vAlign w:val="bottom"/>
            <w:hideMark/>
          </w:tcPr>
          <w:p w14:paraId="3CD41E16"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00" w:type="dxa"/>
            <w:tcBorders>
              <w:top w:val="nil"/>
              <w:left w:val="nil"/>
              <w:bottom w:val="nil"/>
              <w:right w:val="nil"/>
            </w:tcBorders>
            <w:shd w:val="clear" w:color="auto" w:fill="auto"/>
            <w:vAlign w:val="bottom"/>
            <w:hideMark/>
          </w:tcPr>
          <w:p w14:paraId="3092FFFE"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660" w:type="dxa"/>
            <w:tcBorders>
              <w:top w:val="nil"/>
              <w:left w:val="nil"/>
              <w:bottom w:val="nil"/>
              <w:right w:val="nil"/>
            </w:tcBorders>
            <w:shd w:val="clear" w:color="auto" w:fill="auto"/>
            <w:vAlign w:val="bottom"/>
            <w:hideMark/>
          </w:tcPr>
          <w:p w14:paraId="1273907D"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c>
          <w:tcPr>
            <w:tcW w:w="1160" w:type="dxa"/>
            <w:tcBorders>
              <w:top w:val="nil"/>
              <w:left w:val="nil"/>
              <w:bottom w:val="nil"/>
              <w:right w:val="nil"/>
            </w:tcBorders>
            <w:shd w:val="clear" w:color="auto" w:fill="auto"/>
            <w:vAlign w:val="bottom"/>
            <w:hideMark/>
          </w:tcPr>
          <w:p w14:paraId="767ABD62" w14:textId="77777777" w:rsidR="00BE4ECD" w:rsidRPr="00BE4ECD" w:rsidRDefault="00BE4ECD" w:rsidP="00BE4ECD">
            <w:pPr>
              <w:rPr>
                <w:rFonts w:ascii="Times New Roman" w:eastAsia="Times New Roman" w:hAnsi="Times New Roman" w:cs="Times New Roman"/>
                <w:kern w:val="0"/>
                <w:sz w:val="20"/>
                <w:szCs w:val="20"/>
                <w:lang w:eastAsia="it-IT"/>
                <w14:ligatures w14:val="none"/>
              </w:rPr>
            </w:pPr>
          </w:p>
        </w:tc>
      </w:tr>
      <w:tr w:rsidR="00BE4ECD" w:rsidRPr="000538EE" w14:paraId="79FBB8D0" w14:textId="77777777" w:rsidTr="00BE4ECD">
        <w:trPr>
          <w:trHeight w:val="320"/>
        </w:trPr>
        <w:tc>
          <w:tcPr>
            <w:tcW w:w="1120" w:type="dxa"/>
            <w:tcBorders>
              <w:top w:val="nil"/>
              <w:left w:val="nil"/>
              <w:bottom w:val="nil"/>
              <w:right w:val="nil"/>
            </w:tcBorders>
            <w:shd w:val="clear" w:color="auto" w:fill="auto"/>
            <w:vAlign w:val="center"/>
            <w:hideMark/>
          </w:tcPr>
          <w:p w14:paraId="37FEBE4B"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Q1</w:t>
            </w:r>
          </w:p>
        </w:tc>
        <w:tc>
          <w:tcPr>
            <w:tcW w:w="7740" w:type="dxa"/>
            <w:gridSpan w:val="6"/>
            <w:tcBorders>
              <w:top w:val="nil"/>
              <w:left w:val="nil"/>
              <w:bottom w:val="nil"/>
              <w:right w:val="nil"/>
            </w:tcBorders>
            <w:shd w:val="clear" w:color="auto" w:fill="auto"/>
            <w:noWrap/>
            <w:vAlign w:val="bottom"/>
            <w:hideMark/>
          </w:tcPr>
          <w:p w14:paraId="42D709FB"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Is there congruity between the stated philosophical perspective and the research methodology</w:t>
            </w:r>
          </w:p>
        </w:tc>
        <w:tc>
          <w:tcPr>
            <w:tcW w:w="580" w:type="dxa"/>
            <w:tcBorders>
              <w:top w:val="nil"/>
              <w:left w:val="nil"/>
              <w:bottom w:val="nil"/>
              <w:right w:val="nil"/>
            </w:tcBorders>
            <w:shd w:val="clear" w:color="auto" w:fill="auto"/>
            <w:hideMark/>
          </w:tcPr>
          <w:p w14:paraId="4EA6A7A4"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00" w:type="dxa"/>
            <w:tcBorders>
              <w:top w:val="nil"/>
              <w:left w:val="nil"/>
              <w:bottom w:val="nil"/>
              <w:right w:val="nil"/>
            </w:tcBorders>
            <w:shd w:val="clear" w:color="auto" w:fill="auto"/>
            <w:hideMark/>
          </w:tcPr>
          <w:p w14:paraId="6A7A270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hideMark/>
          </w:tcPr>
          <w:p w14:paraId="6B38195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hideMark/>
          </w:tcPr>
          <w:p w14:paraId="6230609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hideMark/>
          </w:tcPr>
          <w:p w14:paraId="74F5653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hideMark/>
          </w:tcPr>
          <w:p w14:paraId="0539580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hideMark/>
          </w:tcPr>
          <w:p w14:paraId="03F21AD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63BD753E" w14:textId="77777777" w:rsidTr="00BE4ECD">
        <w:trPr>
          <w:trHeight w:val="320"/>
        </w:trPr>
        <w:tc>
          <w:tcPr>
            <w:tcW w:w="1120" w:type="dxa"/>
            <w:tcBorders>
              <w:top w:val="nil"/>
              <w:left w:val="nil"/>
              <w:bottom w:val="nil"/>
              <w:right w:val="nil"/>
            </w:tcBorders>
            <w:shd w:val="clear" w:color="auto" w:fill="auto"/>
            <w:vAlign w:val="center"/>
            <w:hideMark/>
          </w:tcPr>
          <w:p w14:paraId="48EDEB30"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Q2</w:t>
            </w:r>
          </w:p>
        </w:tc>
        <w:tc>
          <w:tcPr>
            <w:tcW w:w="7740" w:type="dxa"/>
            <w:gridSpan w:val="6"/>
            <w:tcBorders>
              <w:top w:val="nil"/>
              <w:left w:val="nil"/>
              <w:bottom w:val="nil"/>
              <w:right w:val="nil"/>
            </w:tcBorders>
            <w:shd w:val="clear" w:color="auto" w:fill="auto"/>
            <w:noWrap/>
            <w:vAlign w:val="bottom"/>
            <w:hideMark/>
          </w:tcPr>
          <w:p w14:paraId="6A64725E"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Is there congruity between the research methodology and the research question or objectives</w:t>
            </w:r>
          </w:p>
        </w:tc>
        <w:tc>
          <w:tcPr>
            <w:tcW w:w="580" w:type="dxa"/>
            <w:tcBorders>
              <w:top w:val="nil"/>
              <w:left w:val="nil"/>
              <w:bottom w:val="nil"/>
              <w:right w:val="nil"/>
            </w:tcBorders>
            <w:shd w:val="clear" w:color="auto" w:fill="auto"/>
            <w:hideMark/>
          </w:tcPr>
          <w:p w14:paraId="2A846980"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00" w:type="dxa"/>
            <w:tcBorders>
              <w:top w:val="nil"/>
              <w:left w:val="nil"/>
              <w:bottom w:val="nil"/>
              <w:right w:val="nil"/>
            </w:tcBorders>
            <w:shd w:val="clear" w:color="auto" w:fill="auto"/>
            <w:hideMark/>
          </w:tcPr>
          <w:p w14:paraId="34D015D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hideMark/>
          </w:tcPr>
          <w:p w14:paraId="2DE19CE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hideMark/>
          </w:tcPr>
          <w:p w14:paraId="434C7F8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hideMark/>
          </w:tcPr>
          <w:p w14:paraId="68C4B6A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hideMark/>
          </w:tcPr>
          <w:p w14:paraId="5D9F29D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hideMark/>
          </w:tcPr>
          <w:p w14:paraId="3E15C1E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471079ED" w14:textId="77777777" w:rsidTr="00BE4ECD">
        <w:trPr>
          <w:trHeight w:val="320"/>
        </w:trPr>
        <w:tc>
          <w:tcPr>
            <w:tcW w:w="1120" w:type="dxa"/>
            <w:tcBorders>
              <w:top w:val="nil"/>
              <w:left w:val="nil"/>
              <w:bottom w:val="nil"/>
              <w:right w:val="nil"/>
            </w:tcBorders>
            <w:shd w:val="clear" w:color="auto" w:fill="auto"/>
            <w:vAlign w:val="center"/>
            <w:hideMark/>
          </w:tcPr>
          <w:p w14:paraId="7647A4AF"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Q3</w:t>
            </w:r>
          </w:p>
        </w:tc>
        <w:tc>
          <w:tcPr>
            <w:tcW w:w="7100" w:type="dxa"/>
            <w:gridSpan w:val="5"/>
            <w:tcBorders>
              <w:top w:val="nil"/>
              <w:left w:val="nil"/>
              <w:bottom w:val="nil"/>
              <w:right w:val="nil"/>
            </w:tcBorders>
            <w:shd w:val="clear" w:color="auto" w:fill="auto"/>
            <w:noWrap/>
            <w:vAlign w:val="bottom"/>
            <w:hideMark/>
          </w:tcPr>
          <w:p w14:paraId="3585D39F"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 xml:space="preserve">Is there congruity between the research methodology and the methods used to collect data? </w:t>
            </w:r>
          </w:p>
        </w:tc>
        <w:tc>
          <w:tcPr>
            <w:tcW w:w="640" w:type="dxa"/>
            <w:tcBorders>
              <w:top w:val="nil"/>
              <w:left w:val="nil"/>
              <w:bottom w:val="nil"/>
              <w:right w:val="nil"/>
            </w:tcBorders>
            <w:shd w:val="clear" w:color="auto" w:fill="auto"/>
            <w:hideMark/>
          </w:tcPr>
          <w:p w14:paraId="6A1452F3"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580" w:type="dxa"/>
            <w:tcBorders>
              <w:top w:val="nil"/>
              <w:left w:val="nil"/>
              <w:bottom w:val="nil"/>
              <w:right w:val="nil"/>
            </w:tcBorders>
            <w:shd w:val="clear" w:color="auto" w:fill="auto"/>
            <w:hideMark/>
          </w:tcPr>
          <w:p w14:paraId="28BF2C7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hideMark/>
          </w:tcPr>
          <w:p w14:paraId="4919923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hideMark/>
          </w:tcPr>
          <w:p w14:paraId="750A4E2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hideMark/>
          </w:tcPr>
          <w:p w14:paraId="2764D44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hideMark/>
          </w:tcPr>
          <w:p w14:paraId="62319FB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hideMark/>
          </w:tcPr>
          <w:p w14:paraId="24C8C7C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hideMark/>
          </w:tcPr>
          <w:p w14:paraId="45A4319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2767A106" w14:textId="77777777" w:rsidTr="00BE4ECD">
        <w:trPr>
          <w:trHeight w:val="320"/>
        </w:trPr>
        <w:tc>
          <w:tcPr>
            <w:tcW w:w="1120" w:type="dxa"/>
            <w:tcBorders>
              <w:top w:val="nil"/>
              <w:left w:val="nil"/>
              <w:bottom w:val="nil"/>
              <w:right w:val="nil"/>
            </w:tcBorders>
            <w:shd w:val="clear" w:color="auto" w:fill="auto"/>
            <w:vAlign w:val="center"/>
            <w:hideMark/>
          </w:tcPr>
          <w:p w14:paraId="5E2258C8"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Q4</w:t>
            </w:r>
          </w:p>
        </w:tc>
        <w:tc>
          <w:tcPr>
            <w:tcW w:w="7740" w:type="dxa"/>
            <w:gridSpan w:val="6"/>
            <w:tcBorders>
              <w:top w:val="nil"/>
              <w:left w:val="nil"/>
              <w:bottom w:val="nil"/>
              <w:right w:val="nil"/>
            </w:tcBorders>
            <w:shd w:val="clear" w:color="auto" w:fill="auto"/>
            <w:noWrap/>
            <w:vAlign w:val="bottom"/>
            <w:hideMark/>
          </w:tcPr>
          <w:p w14:paraId="66B4C8C5"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 xml:space="preserve">Is there congruity between the research methodology and the representation and analysis of data? </w:t>
            </w:r>
          </w:p>
        </w:tc>
        <w:tc>
          <w:tcPr>
            <w:tcW w:w="580" w:type="dxa"/>
            <w:tcBorders>
              <w:top w:val="nil"/>
              <w:left w:val="nil"/>
              <w:bottom w:val="nil"/>
              <w:right w:val="nil"/>
            </w:tcBorders>
            <w:shd w:val="clear" w:color="auto" w:fill="auto"/>
            <w:hideMark/>
          </w:tcPr>
          <w:p w14:paraId="40871EC9"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00" w:type="dxa"/>
            <w:tcBorders>
              <w:top w:val="nil"/>
              <w:left w:val="nil"/>
              <w:bottom w:val="nil"/>
              <w:right w:val="nil"/>
            </w:tcBorders>
            <w:shd w:val="clear" w:color="auto" w:fill="auto"/>
            <w:hideMark/>
          </w:tcPr>
          <w:p w14:paraId="1AB4CA1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hideMark/>
          </w:tcPr>
          <w:p w14:paraId="24BA336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hideMark/>
          </w:tcPr>
          <w:p w14:paraId="16535FE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hideMark/>
          </w:tcPr>
          <w:p w14:paraId="1792ADB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hideMark/>
          </w:tcPr>
          <w:p w14:paraId="711FBB1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hideMark/>
          </w:tcPr>
          <w:p w14:paraId="6959719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389FAD27" w14:textId="77777777" w:rsidTr="00BE4ECD">
        <w:trPr>
          <w:trHeight w:val="320"/>
        </w:trPr>
        <w:tc>
          <w:tcPr>
            <w:tcW w:w="1120" w:type="dxa"/>
            <w:tcBorders>
              <w:top w:val="nil"/>
              <w:left w:val="nil"/>
              <w:bottom w:val="nil"/>
              <w:right w:val="nil"/>
            </w:tcBorders>
            <w:shd w:val="clear" w:color="auto" w:fill="auto"/>
            <w:vAlign w:val="center"/>
            <w:hideMark/>
          </w:tcPr>
          <w:p w14:paraId="4D991DA0"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Q5</w:t>
            </w:r>
          </w:p>
        </w:tc>
        <w:tc>
          <w:tcPr>
            <w:tcW w:w="7100" w:type="dxa"/>
            <w:gridSpan w:val="5"/>
            <w:tcBorders>
              <w:top w:val="nil"/>
              <w:left w:val="nil"/>
              <w:bottom w:val="nil"/>
              <w:right w:val="nil"/>
            </w:tcBorders>
            <w:shd w:val="clear" w:color="auto" w:fill="auto"/>
            <w:noWrap/>
            <w:vAlign w:val="bottom"/>
            <w:hideMark/>
          </w:tcPr>
          <w:p w14:paraId="061250AE"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Is there congruity between the research methodology and the interpretation of results?</w:t>
            </w:r>
          </w:p>
        </w:tc>
        <w:tc>
          <w:tcPr>
            <w:tcW w:w="640" w:type="dxa"/>
            <w:tcBorders>
              <w:top w:val="nil"/>
              <w:left w:val="nil"/>
              <w:bottom w:val="nil"/>
              <w:right w:val="nil"/>
            </w:tcBorders>
            <w:shd w:val="clear" w:color="auto" w:fill="auto"/>
            <w:hideMark/>
          </w:tcPr>
          <w:p w14:paraId="07ADD69E"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580" w:type="dxa"/>
            <w:tcBorders>
              <w:top w:val="nil"/>
              <w:left w:val="nil"/>
              <w:bottom w:val="nil"/>
              <w:right w:val="nil"/>
            </w:tcBorders>
            <w:shd w:val="clear" w:color="auto" w:fill="auto"/>
            <w:hideMark/>
          </w:tcPr>
          <w:p w14:paraId="330F0FB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hideMark/>
          </w:tcPr>
          <w:p w14:paraId="63DBA32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hideMark/>
          </w:tcPr>
          <w:p w14:paraId="7C0F9CD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hideMark/>
          </w:tcPr>
          <w:p w14:paraId="7E008D0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hideMark/>
          </w:tcPr>
          <w:p w14:paraId="762EB30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hideMark/>
          </w:tcPr>
          <w:p w14:paraId="78973F5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hideMark/>
          </w:tcPr>
          <w:p w14:paraId="5D664CD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4F416CC6" w14:textId="77777777" w:rsidTr="00BE4ECD">
        <w:trPr>
          <w:trHeight w:val="320"/>
        </w:trPr>
        <w:tc>
          <w:tcPr>
            <w:tcW w:w="1120" w:type="dxa"/>
            <w:tcBorders>
              <w:top w:val="nil"/>
              <w:left w:val="nil"/>
              <w:bottom w:val="nil"/>
              <w:right w:val="nil"/>
            </w:tcBorders>
            <w:shd w:val="clear" w:color="auto" w:fill="auto"/>
            <w:vAlign w:val="center"/>
            <w:hideMark/>
          </w:tcPr>
          <w:p w14:paraId="60C2761A"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Q6</w:t>
            </w:r>
          </w:p>
        </w:tc>
        <w:tc>
          <w:tcPr>
            <w:tcW w:w="5900" w:type="dxa"/>
            <w:gridSpan w:val="3"/>
            <w:tcBorders>
              <w:top w:val="nil"/>
              <w:left w:val="nil"/>
              <w:bottom w:val="nil"/>
              <w:right w:val="nil"/>
            </w:tcBorders>
            <w:shd w:val="clear" w:color="auto" w:fill="auto"/>
            <w:noWrap/>
            <w:vAlign w:val="bottom"/>
            <w:hideMark/>
          </w:tcPr>
          <w:p w14:paraId="1F39A17C"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 xml:space="preserve">Is there a statement locating the researcher culturally or theoretically? </w:t>
            </w:r>
          </w:p>
        </w:tc>
        <w:tc>
          <w:tcPr>
            <w:tcW w:w="560" w:type="dxa"/>
            <w:tcBorders>
              <w:top w:val="nil"/>
              <w:left w:val="nil"/>
              <w:bottom w:val="nil"/>
              <w:right w:val="nil"/>
            </w:tcBorders>
            <w:shd w:val="clear" w:color="auto" w:fill="auto"/>
            <w:hideMark/>
          </w:tcPr>
          <w:p w14:paraId="00F4C3F4"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40" w:type="dxa"/>
            <w:tcBorders>
              <w:top w:val="nil"/>
              <w:left w:val="nil"/>
              <w:bottom w:val="nil"/>
              <w:right w:val="nil"/>
            </w:tcBorders>
            <w:shd w:val="clear" w:color="auto" w:fill="auto"/>
            <w:hideMark/>
          </w:tcPr>
          <w:p w14:paraId="490E1A1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hideMark/>
          </w:tcPr>
          <w:p w14:paraId="3D0AE162"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hideMark/>
          </w:tcPr>
          <w:p w14:paraId="65753E6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hideMark/>
          </w:tcPr>
          <w:p w14:paraId="5DE89C8F"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hideMark/>
          </w:tcPr>
          <w:p w14:paraId="3FCB064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hideMark/>
          </w:tcPr>
          <w:p w14:paraId="6ABD5E1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hideMark/>
          </w:tcPr>
          <w:p w14:paraId="7DD0437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hideMark/>
          </w:tcPr>
          <w:p w14:paraId="39B930A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hideMark/>
          </w:tcPr>
          <w:p w14:paraId="108B68D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34D28B8B" w14:textId="77777777" w:rsidTr="00BE4ECD">
        <w:trPr>
          <w:trHeight w:val="320"/>
        </w:trPr>
        <w:tc>
          <w:tcPr>
            <w:tcW w:w="1120" w:type="dxa"/>
            <w:tcBorders>
              <w:top w:val="nil"/>
              <w:left w:val="nil"/>
              <w:bottom w:val="nil"/>
              <w:right w:val="nil"/>
            </w:tcBorders>
            <w:shd w:val="clear" w:color="auto" w:fill="auto"/>
            <w:vAlign w:val="center"/>
            <w:hideMark/>
          </w:tcPr>
          <w:p w14:paraId="1BF6C704"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Q7</w:t>
            </w:r>
          </w:p>
        </w:tc>
        <w:tc>
          <w:tcPr>
            <w:tcW w:w="5900" w:type="dxa"/>
            <w:gridSpan w:val="3"/>
            <w:tcBorders>
              <w:top w:val="nil"/>
              <w:left w:val="nil"/>
              <w:bottom w:val="nil"/>
              <w:right w:val="nil"/>
            </w:tcBorders>
            <w:shd w:val="clear" w:color="auto" w:fill="auto"/>
            <w:noWrap/>
            <w:vAlign w:val="bottom"/>
            <w:hideMark/>
          </w:tcPr>
          <w:p w14:paraId="653DAB2F"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Is the influence of the researcher on the research, and vice- versa, addressed?</w:t>
            </w:r>
          </w:p>
        </w:tc>
        <w:tc>
          <w:tcPr>
            <w:tcW w:w="560" w:type="dxa"/>
            <w:tcBorders>
              <w:top w:val="nil"/>
              <w:left w:val="nil"/>
              <w:bottom w:val="nil"/>
              <w:right w:val="nil"/>
            </w:tcBorders>
            <w:shd w:val="clear" w:color="auto" w:fill="auto"/>
            <w:hideMark/>
          </w:tcPr>
          <w:p w14:paraId="09DD15E6"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40" w:type="dxa"/>
            <w:tcBorders>
              <w:top w:val="nil"/>
              <w:left w:val="nil"/>
              <w:bottom w:val="nil"/>
              <w:right w:val="nil"/>
            </w:tcBorders>
            <w:shd w:val="clear" w:color="auto" w:fill="auto"/>
            <w:hideMark/>
          </w:tcPr>
          <w:p w14:paraId="019DDAA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hideMark/>
          </w:tcPr>
          <w:p w14:paraId="1FD9A75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hideMark/>
          </w:tcPr>
          <w:p w14:paraId="7BF64FD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hideMark/>
          </w:tcPr>
          <w:p w14:paraId="33619AC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hideMark/>
          </w:tcPr>
          <w:p w14:paraId="427C624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hideMark/>
          </w:tcPr>
          <w:p w14:paraId="38D3BD73"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hideMark/>
          </w:tcPr>
          <w:p w14:paraId="2E17B554"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hideMark/>
          </w:tcPr>
          <w:p w14:paraId="5E94151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hideMark/>
          </w:tcPr>
          <w:p w14:paraId="71FA927C"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59F312E2" w14:textId="77777777" w:rsidTr="00BE4ECD">
        <w:trPr>
          <w:trHeight w:val="320"/>
        </w:trPr>
        <w:tc>
          <w:tcPr>
            <w:tcW w:w="1120" w:type="dxa"/>
            <w:tcBorders>
              <w:top w:val="nil"/>
              <w:left w:val="nil"/>
              <w:bottom w:val="nil"/>
              <w:right w:val="nil"/>
            </w:tcBorders>
            <w:shd w:val="clear" w:color="auto" w:fill="auto"/>
            <w:vAlign w:val="center"/>
            <w:hideMark/>
          </w:tcPr>
          <w:p w14:paraId="0C402DF0"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Q8</w:t>
            </w:r>
          </w:p>
        </w:tc>
        <w:tc>
          <w:tcPr>
            <w:tcW w:w="4580" w:type="dxa"/>
            <w:tcBorders>
              <w:top w:val="nil"/>
              <w:left w:val="nil"/>
              <w:bottom w:val="nil"/>
              <w:right w:val="nil"/>
            </w:tcBorders>
            <w:shd w:val="clear" w:color="auto" w:fill="auto"/>
            <w:noWrap/>
            <w:vAlign w:val="bottom"/>
            <w:hideMark/>
          </w:tcPr>
          <w:p w14:paraId="152F0CE2"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Are participants, and their voices, adequately represented?</w:t>
            </w:r>
          </w:p>
        </w:tc>
        <w:tc>
          <w:tcPr>
            <w:tcW w:w="660" w:type="dxa"/>
            <w:tcBorders>
              <w:top w:val="nil"/>
              <w:left w:val="nil"/>
              <w:bottom w:val="nil"/>
              <w:right w:val="nil"/>
            </w:tcBorders>
            <w:shd w:val="clear" w:color="auto" w:fill="auto"/>
            <w:noWrap/>
            <w:vAlign w:val="bottom"/>
            <w:hideMark/>
          </w:tcPr>
          <w:p w14:paraId="490DF286"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660" w:type="dxa"/>
            <w:tcBorders>
              <w:top w:val="nil"/>
              <w:left w:val="nil"/>
              <w:bottom w:val="nil"/>
              <w:right w:val="nil"/>
            </w:tcBorders>
            <w:shd w:val="clear" w:color="auto" w:fill="auto"/>
            <w:hideMark/>
          </w:tcPr>
          <w:p w14:paraId="371DCFE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60" w:type="dxa"/>
            <w:tcBorders>
              <w:top w:val="nil"/>
              <w:left w:val="nil"/>
              <w:bottom w:val="nil"/>
              <w:right w:val="nil"/>
            </w:tcBorders>
            <w:shd w:val="clear" w:color="auto" w:fill="auto"/>
            <w:hideMark/>
          </w:tcPr>
          <w:p w14:paraId="0DBDA6DD"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hideMark/>
          </w:tcPr>
          <w:p w14:paraId="3FB72CE0"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40" w:type="dxa"/>
            <w:tcBorders>
              <w:top w:val="nil"/>
              <w:left w:val="nil"/>
              <w:bottom w:val="nil"/>
              <w:right w:val="nil"/>
            </w:tcBorders>
            <w:shd w:val="clear" w:color="auto" w:fill="auto"/>
            <w:hideMark/>
          </w:tcPr>
          <w:p w14:paraId="714156E1"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hideMark/>
          </w:tcPr>
          <w:p w14:paraId="72AED6D8"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hideMark/>
          </w:tcPr>
          <w:p w14:paraId="387505E5"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40" w:type="dxa"/>
            <w:tcBorders>
              <w:top w:val="nil"/>
              <w:left w:val="nil"/>
              <w:bottom w:val="nil"/>
              <w:right w:val="nil"/>
            </w:tcBorders>
            <w:shd w:val="clear" w:color="auto" w:fill="auto"/>
            <w:hideMark/>
          </w:tcPr>
          <w:p w14:paraId="7C6FEB8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580" w:type="dxa"/>
            <w:tcBorders>
              <w:top w:val="nil"/>
              <w:left w:val="nil"/>
              <w:bottom w:val="nil"/>
              <w:right w:val="nil"/>
            </w:tcBorders>
            <w:shd w:val="clear" w:color="auto" w:fill="auto"/>
            <w:hideMark/>
          </w:tcPr>
          <w:p w14:paraId="6CAC2D07"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00" w:type="dxa"/>
            <w:tcBorders>
              <w:top w:val="nil"/>
              <w:left w:val="nil"/>
              <w:bottom w:val="nil"/>
              <w:right w:val="nil"/>
            </w:tcBorders>
            <w:shd w:val="clear" w:color="auto" w:fill="auto"/>
            <w:hideMark/>
          </w:tcPr>
          <w:p w14:paraId="2448573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660" w:type="dxa"/>
            <w:tcBorders>
              <w:top w:val="nil"/>
              <w:left w:val="nil"/>
              <w:bottom w:val="nil"/>
              <w:right w:val="nil"/>
            </w:tcBorders>
            <w:shd w:val="clear" w:color="auto" w:fill="auto"/>
            <w:hideMark/>
          </w:tcPr>
          <w:p w14:paraId="06467B3A"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c>
          <w:tcPr>
            <w:tcW w:w="1160" w:type="dxa"/>
            <w:tcBorders>
              <w:top w:val="nil"/>
              <w:left w:val="nil"/>
              <w:bottom w:val="nil"/>
              <w:right w:val="nil"/>
            </w:tcBorders>
            <w:shd w:val="clear" w:color="auto" w:fill="auto"/>
            <w:hideMark/>
          </w:tcPr>
          <w:p w14:paraId="58F213EB"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2A7C71B1" w14:textId="77777777" w:rsidTr="00BE4ECD">
        <w:trPr>
          <w:trHeight w:val="320"/>
        </w:trPr>
        <w:tc>
          <w:tcPr>
            <w:tcW w:w="1120" w:type="dxa"/>
            <w:tcBorders>
              <w:top w:val="nil"/>
              <w:left w:val="nil"/>
              <w:bottom w:val="nil"/>
              <w:right w:val="nil"/>
            </w:tcBorders>
            <w:shd w:val="clear" w:color="auto" w:fill="auto"/>
            <w:vAlign w:val="center"/>
            <w:hideMark/>
          </w:tcPr>
          <w:p w14:paraId="5D28533F"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Q9</w:t>
            </w:r>
          </w:p>
        </w:tc>
        <w:tc>
          <w:tcPr>
            <w:tcW w:w="10640" w:type="dxa"/>
            <w:gridSpan w:val="11"/>
            <w:tcBorders>
              <w:top w:val="nil"/>
              <w:left w:val="nil"/>
              <w:bottom w:val="nil"/>
              <w:right w:val="nil"/>
            </w:tcBorders>
            <w:shd w:val="clear" w:color="auto" w:fill="auto"/>
            <w:noWrap/>
            <w:vAlign w:val="bottom"/>
            <w:hideMark/>
          </w:tcPr>
          <w:p w14:paraId="6F0E8E59"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Is the research ethical according to current criteria or, for recent studies, and is there evidence of ethical approval by an appropriate body?</w:t>
            </w:r>
          </w:p>
        </w:tc>
        <w:tc>
          <w:tcPr>
            <w:tcW w:w="660" w:type="dxa"/>
            <w:tcBorders>
              <w:top w:val="nil"/>
              <w:left w:val="nil"/>
              <w:bottom w:val="nil"/>
              <w:right w:val="nil"/>
            </w:tcBorders>
            <w:shd w:val="clear" w:color="auto" w:fill="auto"/>
            <w:hideMark/>
          </w:tcPr>
          <w:p w14:paraId="1C77CCD8"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p>
        </w:tc>
        <w:tc>
          <w:tcPr>
            <w:tcW w:w="1160" w:type="dxa"/>
            <w:tcBorders>
              <w:top w:val="nil"/>
              <w:left w:val="nil"/>
              <w:bottom w:val="nil"/>
              <w:right w:val="nil"/>
            </w:tcBorders>
            <w:shd w:val="clear" w:color="auto" w:fill="auto"/>
            <w:hideMark/>
          </w:tcPr>
          <w:p w14:paraId="3AFA2C26" w14:textId="77777777" w:rsidR="00BE4ECD" w:rsidRPr="00BE4ECD" w:rsidRDefault="00BE4ECD" w:rsidP="00BE4ECD">
            <w:pPr>
              <w:rPr>
                <w:rFonts w:ascii="Times New Roman" w:eastAsia="Times New Roman" w:hAnsi="Times New Roman" w:cs="Times New Roman"/>
                <w:kern w:val="0"/>
                <w:sz w:val="20"/>
                <w:szCs w:val="20"/>
                <w:lang w:val="en-US" w:eastAsia="it-IT"/>
                <w14:ligatures w14:val="none"/>
              </w:rPr>
            </w:pPr>
          </w:p>
        </w:tc>
      </w:tr>
      <w:tr w:rsidR="00BE4ECD" w:rsidRPr="000538EE" w14:paraId="725EBD39" w14:textId="77777777" w:rsidTr="00BE4ECD">
        <w:trPr>
          <w:trHeight w:val="340"/>
        </w:trPr>
        <w:tc>
          <w:tcPr>
            <w:tcW w:w="1120" w:type="dxa"/>
            <w:tcBorders>
              <w:top w:val="nil"/>
              <w:left w:val="nil"/>
              <w:bottom w:val="single" w:sz="8" w:space="0" w:color="auto"/>
              <w:right w:val="nil"/>
            </w:tcBorders>
            <w:shd w:val="clear" w:color="auto" w:fill="auto"/>
            <w:vAlign w:val="center"/>
            <w:hideMark/>
          </w:tcPr>
          <w:p w14:paraId="03225C82" w14:textId="77777777" w:rsidR="00BE4ECD" w:rsidRPr="00BE4ECD" w:rsidRDefault="00BE4ECD" w:rsidP="00BE4ECD">
            <w:pPr>
              <w:rPr>
                <w:rFonts w:ascii="Times New Roman" w:eastAsia="Times New Roman" w:hAnsi="Times New Roman" w:cs="Times New Roman"/>
                <w:color w:val="000000"/>
                <w:kern w:val="0"/>
                <w:sz w:val="18"/>
                <w:szCs w:val="18"/>
                <w:lang w:eastAsia="it-IT"/>
                <w14:ligatures w14:val="none"/>
              </w:rPr>
            </w:pPr>
            <w:r w:rsidRPr="00BE4ECD">
              <w:rPr>
                <w:rFonts w:ascii="Times New Roman" w:eastAsia="Times New Roman" w:hAnsi="Times New Roman" w:cs="Times New Roman"/>
                <w:color w:val="000000"/>
                <w:kern w:val="0"/>
                <w:sz w:val="18"/>
                <w:szCs w:val="18"/>
                <w:lang w:eastAsia="it-IT"/>
                <w14:ligatures w14:val="none"/>
              </w:rPr>
              <w:t>JBI Q10</w:t>
            </w:r>
          </w:p>
        </w:tc>
        <w:tc>
          <w:tcPr>
            <w:tcW w:w="8320" w:type="dxa"/>
            <w:gridSpan w:val="7"/>
            <w:tcBorders>
              <w:top w:val="nil"/>
              <w:left w:val="nil"/>
              <w:bottom w:val="single" w:sz="8" w:space="0" w:color="auto"/>
              <w:right w:val="nil"/>
            </w:tcBorders>
            <w:shd w:val="clear" w:color="auto" w:fill="auto"/>
            <w:noWrap/>
            <w:vAlign w:val="center"/>
            <w:hideMark/>
          </w:tcPr>
          <w:p w14:paraId="5843AC76" w14:textId="77777777" w:rsidR="00BE4ECD" w:rsidRPr="00BE4ECD" w:rsidRDefault="00BE4ECD" w:rsidP="00BE4ECD">
            <w:pPr>
              <w:rPr>
                <w:rFonts w:ascii="Times New Roman" w:eastAsia="Times New Roman" w:hAnsi="Times New Roman" w:cs="Times New Roman"/>
                <w:color w:val="000000"/>
                <w:kern w:val="0"/>
                <w:sz w:val="18"/>
                <w:szCs w:val="18"/>
                <w:lang w:val="en-US" w:eastAsia="it-IT"/>
                <w14:ligatures w14:val="none"/>
              </w:rPr>
            </w:pPr>
            <w:r w:rsidRPr="00BE4ECD">
              <w:rPr>
                <w:rFonts w:ascii="Times New Roman" w:eastAsia="Times New Roman" w:hAnsi="Times New Roman" w:cs="Times New Roman"/>
                <w:color w:val="000000"/>
                <w:kern w:val="0"/>
                <w:sz w:val="18"/>
                <w:szCs w:val="18"/>
                <w:lang w:val="en-US" w:eastAsia="it-IT"/>
                <w14:ligatures w14:val="none"/>
              </w:rPr>
              <w:t>Do the conclusions drawn in the research report flow from the analysis, or interpretation, of the data?</w:t>
            </w:r>
          </w:p>
        </w:tc>
        <w:tc>
          <w:tcPr>
            <w:tcW w:w="600" w:type="dxa"/>
            <w:tcBorders>
              <w:top w:val="nil"/>
              <w:left w:val="nil"/>
              <w:bottom w:val="single" w:sz="8" w:space="0" w:color="auto"/>
              <w:right w:val="nil"/>
            </w:tcBorders>
            <w:shd w:val="clear" w:color="auto" w:fill="auto"/>
            <w:hideMark/>
          </w:tcPr>
          <w:p w14:paraId="373BFE6A" w14:textId="77777777" w:rsidR="00BE4ECD" w:rsidRPr="00BE4ECD" w:rsidRDefault="00BE4ECD" w:rsidP="00BE4ECD">
            <w:pPr>
              <w:rPr>
                <w:rFonts w:ascii="Times New Roman" w:eastAsia="Times New Roman" w:hAnsi="Times New Roman" w:cs="Times New Roman"/>
                <w:color w:val="000000"/>
                <w:kern w:val="0"/>
                <w:lang w:val="en-US" w:eastAsia="it-IT"/>
                <w14:ligatures w14:val="none"/>
              </w:rPr>
            </w:pPr>
            <w:r w:rsidRPr="00BE4ECD">
              <w:rPr>
                <w:rFonts w:ascii="Times New Roman" w:eastAsia="Times New Roman" w:hAnsi="Times New Roman" w:cs="Times New Roman"/>
                <w:color w:val="000000"/>
                <w:kern w:val="0"/>
                <w:lang w:val="en-US" w:eastAsia="it-IT"/>
                <w14:ligatures w14:val="none"/>
              </w:rPr>
              <w:t> </w:t>
            </w:r>
          </w:p>
        </w:tc>
        <w:tc>
          <w:tcPr>
            <w:tcW w:w="540" w:type="dxa"/>
            <w:tcBorders>
              <w:top w:val="nil"/>
              <w:left w:val="nil"/>
              <w:bottom w:val="single" w:sz="8" w:space="0" w:color="auto"/>
              <w:right w:val="nil"/>
            </w:tcBorders>
            <w:shd w:val="clear" w:color="auto" w:fill="auto"/>
            <w:hideMark/>
          </w:tcPr>
          <w:p w14:paraId="139C074C" w14:textId="77777777" w:rsidR="00BE4ECD" w:rsidRPr="00BE4ECD" w:rsidRDefault="00BE4ECD" w:rsidP="00BE4ECD">
            <w:pPr>
              <w:rPr>
                <w:rFonts w:ascii="Times New Roman" w:eastAsia="Times New Roman" w:hAnsi="Times New Roman" w:cs="Times New Roman"/>
                <w:color w:val="000000"/>
                <w:kern w:val="0"/>
                <w:lang w:val="en-US" w:eastAsia="it-IT"/>
                <w14:ligatures w14:val="none"/>
              </w:rPr>
            </w:pPr>
            <w:r w:rsidRPr="00BE4ECD">
              <w:rPr>
                <w:rFonts w:ascii="Times New Roman" w:eastAsia="Times New Roman" w:hAnsi="Times New Roman" w:cs="Times New Roman"/>
                <w:color w:val="000000"/>
                <w:kern w:val="0"/>
                <w:lang w:val="en-US" w:eastAsia="it-IT"/>
                <w14:ligatures w14:val="none"/>
              </w:rPr>
              <w:t> </w:t>
            </w:r>
          </w:p>
        </w:tc>
        <w:tc>
          <w:tcPr>
            <w:tcW w:w="580" w:type="dxa"/>
            <w:tcBorders>
              <w:top w:val="nil"/>
              <w:left w:val="nil"/>
              <w:bottom w:val="single" w:sz="8" w:space="0" w:color="auto"/>
              <w:right w:val="nil"/>
            </w:tcBorders>
            <w:shd w:val="clear" w:color="auto" w:fill="auto"/>
            <w:hideMark/>
          </w:tcPr>
          <w:p w14:paraId="63D09977" w14:textId="77777777" w:rsidR="00BE4ECD" w:rsidRPr="00BE4ECD" w:rsidRDefault="00BE4ECD" w:rsidP="00BE4ECD">
            <w:pPr>
              <w:rPr>
                <w:rFonts w:ascii="Times New Roman" w:eastAsia="Times New Roman" w:hAnsi="Times New Roman" w:cs="Times New Roman"/>
                <w:color w:val="000000"/>
                <w:kern w:val="0"/>
                <w:lang w:val="en-US" w:eastAsia="it-IT"/>
                <w14:ligatures w14:val="none"/>
              </w:rPr>
            </w:pPr>
            <w:r w:rsidRPr="00BE4ECD">
              <w:rPr>
                <w:rFonts w:ascii="Times New Roman" w:eastAsia="Times New Roman" w:hAnsi="Times New Roman" w:cs="Times New Roman"/>
                <w:color w:val="000000"/>
                <w:kern w:val="0"/>
                <w:lang w:val="en-US" w:eastAsia="it-IT"/>
                <w14:ligatures w14:val="none"/>
              </w:rPr>
              <w:t> </w:t>
            </w:r>
          </w:p>
        </w:tc>
        <w:tc>
          <w:tcPr>
            <w:tcW w:w="600" w:type="dxa"/>
            <w:tcBorders>
              <w:top w:val="nil"/>
              <w:left w:val="nil"/>
              <w:bottom w:val="single" w:sz="8" w:space="0" w:color="auto"/>
              <w:right w:val="nil"/>
            </w:tcBorders>
            <w:shd w:val="clear" w:color="auto" w:fill="auto"/>
            <w:hideMark/>
          </w:tcPr>
          <w:p w14:paraId="549C6689" w14:textId="77777777" w:rsidR="00BE4ECD" w:rsidRPr="00BE4ECD" w:rsidRDefault="00BE4ECD" w:rsidP="00BE4ECD">
            <w:pPr>
              <w:rPr>
                <w:rFonts w:ascii="Times New Roman" w:eastAsia="Times New Roman" w:hAnsi="Times New Roman" w:cs="Times New Roman"/>
                <w:color w:val="000000"/>
                <w:kern w:val="0"/>
                <w:lang w:val="en-US" w:eastAsia="it-IT"/>
                <w14:ligatures w14:val="none"/>
              </w:rPr>
            </w:pPr>
            <w:r w:rsidRPr="00BE4ECD">
              <w:rPr>
                <w:rFonts w:ascii="Times New Roman" w:eastAsia="Times New Roman" w:hAnsi="Times New Roman" w:cs="Times New Roman"/>
                <w:color w:val="000000"/>
                <w:kern w:val="0"/>
                <w:lang w:val="en-US" w:eastAsia="it-IT"/>
                <w14:ligatures w14:val="none"/>
              </w:rPr>
              <w:t> </w:t>
            </w:r>
          </w:p>
        </w:tc>
        <w:tc>
          <w:tcPr>
            <w:tcW w:w="660" w:type="dxa"/>
            <w:tcBorders>
              <w:top w:val="nil"/>
              <w:left w:val="nil"/>
              <w:bottom w:val="single" w:sz="8" w:space="0" w:color="auto"/>
              <w:right w:val="nil"/>
            </w:tcBorders>
            <w:shd w:val="clear" w:color="auto" w:fill="auto"/>
            <w:hideMark/>
          </w:tcPr>
          <w:p w14:paraId="0F167CB9" w14:textId="77777777" w:rsidR="00BE4ECD" w:rsidRPr="00BE4ECD" w:rsidRDefault="00BE4ECD" w:rsidP="00BE4ECD">
            <w:pPr>
              <w:rPr>
                <w:rFonts w:ascii="Times New Roman" w:eastAsia="Times New Roman" w:hAnsi="Times New Roman" w:cs="Times New Roman"/>
                <w:color w:val="000000"/>
                <w:kern w:val="0"/>
                <w:lang w:val="en-US" w:eastAsia="it-IT"/>
                <w14:ligatures w14:val="none"/>
              </w:rPr>
            </w:pPr>
            <w:r w:rsidRPr="00BE4ECD">
              <w:rPr>
                <w:rFonts w:ascii="Times New Roman" w:eastAsia="Times New Roman" w:hAnsi="Times New Roman" w:cs="Times New Roman"/>
                <w:color w:val="000000"/>
                <w:kern w:val="0"/>
                <w:lang w:val="en-US" w:eastAsia="it-IT"/>
                <w14:ligatures w14:val="none"/>
              </w:rPr>
              <w:t> </w:t>
            </w:r>
          </w:p>
        </w:tc>
        <w:tc>
          <w:tcPr>
            <w:tcW w:w="1160" w:type="dxa"/>
            <w:tcBorders>
              <w:top w:val="nil"/>
              <w:left w:val="nil"/>
              <w:bottom w:val="single" w:sz="8" w:space="0" w:color="auto"/>
              <w:right w:val="nil"/>
            </w:tcBorders>
            <w:shd w:val="clear" w:color="auto" w:fill="auto"/>
            <w:hideMark/>
          </w:tcPr>
          <w:p w14:paraId="6CBB8EB6" w14:textId="77777777" w:rsidR="00BE4ECD" w:rsidRPr="00BE4ECD" w:rsidRDefault="00BE4ECD" w:rsidP="00BE4ECD">
            <w:pPr>
              <w:rPr>
                <w:rFonts w:ascii="Times New Roman" w:eastAsia="Times New Roman" w:hAnsi="Times New Roman" w:cs="Times New Roman"/>
                <w:color w:val="000000"/>
                <w:kern w:val="0"/>
                <w:lang w:val="en-US" w:eastAsia="it-IT"/>
                <w14:ligatures w14:val="none"/>
              </w:rPr>
            </w:pPr>
            <w:r w:rsidRPr="00BE4ECD">
              <w:rPr>
                <w:rFonts w:ascii="Times New Roman" w:eastAsia="Times New Roman" w:hAnsi="Times New Roman" w:cs="Times New Roman"/>
                <w:color w:val="000000"/>
                <w:kern w:val="0"/>
                <w:lang w:val="en-US" w:eastAsia="it-IT"/>
                <w14:ligatures w14:val="none"/>
              </w:rPr>
              <w:t> </w:t>
            </w:r>
          </w:p>
        </w:tc>
      </w:tr>
    </w:tbl>
    <w:p w14:paraId="36E5475F" w14:textId="77777777" w:rsidR="006A7CDF" w:rsidRPr="00BE4ECD" w:rsidRDefault="006A7CDF">
      <w:pPr>
        <w:rPr>
          <w:rFonts w:ascii="Times New Roman" w:hAnsi="Times New Roman" w:cs="Times New Roman"/>
          <w:lang w:val="en-US"/>
        </w:rPr>
      </w:pPr>
    </w:p>
    <w:p w14:paraId="758AC367" w14:textId="77777777" w:rsidR="00BE4ECD" w:rsidRPr="00BE4ECD" w:rsidRDefault="00BE4ECD">
      <w:pPr>
        <w:rPr>
          <w:rFonts w:ascii="Times New Roman" w:hAnsi="Times New Roman" w:cs="Times New Roman"/>
          <w:lang w:val="en-US"/>
        </w:rPr>
      </w:pPr>
    </w:p>
    <w:p w14:paraId="61A723EE" w14:textId="5EF158AB" w:rsidR="00BE4ECD" w:rsidRPr="00BE4ECD" w:rsidRDefault="00BE4ECD">
      <w:pPr>
        <w:rPr>
          <w:rFonts w:ascii="Times New Roman" w:hAnsi="Times New Roman" w:cs="Times New Roman"/>
          <w:lang w:val="en-US"/>
        </w:rPr>
      </w:pPr>
      <w:r w:rsidRPr="00BE4ECD">
        <w:rPr>
          <w:rFonts w:ascii="Times New Roman" w:hAnsi="Times New Roman" w:cs="Times New Roman"/>
          <w:lang w:val="en-US"/>
        </w:rPr>
        <w:br w:type="page"/>
      </w:r>
    </w:p>
    <w:p w14:paraId="22A914C9" w14:textId="30C5494E" w:rsidR="00BE4ECD" w:rsidRPr="00B74BD6" w:rsidRDefault="00BE4ECD" w:rsidP="00BE4ECD">
      <w:pPr>
        <w:rPr>
          <w:rFonts w:ascii="Times New Roman" w:hAnsi="Times New Roman" w:cs="Times New Roman"/>
          <w:b/>
          <w:bCs/>
          <w:lang w:val="en-US"/>
        </w:rPr>
      </w:pPr>
      <w:r w:rsidRPr="00B74BD6">
        <w:rPr>
          <w:rFonts w:ascii="Times New Roman" w:hAnsi="Times New Roman" w:cs="Times New Roman"/>
          <w:b/>
          <w:bCs/>
          <w:lang w:val="en-US"/>
        </w:rPr>
        <w:lastRenderedPageBreak/>
        <w:t xml:space="preserve">Table 3. </w:t>
      </w:r>
      <w:r w:rsidRPr="00B74BD6">
        <w:rPr>
          <w:rFonts w:ascii="Times New Roman" w:hAnsi="Times New Roman" w:cs="Times New Roman"/>
          <w:b/>
          <w:bCs/>
          <w:i/>
          <w:iCs/>
          <w:sz w:val="22"/>
          <w:szCs w:val="22"/>
          <w:lang w:val="en-US"/>
        </w:rPr>
        <w:t>PRISMA Checklist</w:t>
      </w:r>
    </w:p>
    <w:tbl>
      <w:tblPr>
        <w:tblW w:w="15200" w:type="dxa"/>
        <w:tblBorders>
          <w:top w:val="nil"/>
          <w:left w:val="nil"/>
          <w:bottom w:val="nil"/>
          <w:right w:val="nil"/>
        </w:tblBorders>
        <w:tblLook w:val="0000" w:firstRow="0" w:lastRow="0" w:firstColumn="0" w:lastColumn="0" w:noHBand="0" w:noVBand="0"/>
      </w:tblPr>
      <w:tblGrid>
        <w:gridCol w:w="1668"/>
        <w:gridCol w:w="616"/>
        <w:gridCol w:w="11717"/>
        <w:gridCol w:w="1199"/>
      </w:tblGrid>
      <w:tr w:rsidR="00BE4ECD" w:rsidRPr="00B74BD6" w14:paraId="55E388CE" w14:textId="77777777" w:rsidTr="00E564C0">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B8F1DB0" w14:textId="77777777" w:rsidR="00BE4ECD" w:rsidRPr="00BE4ECD" w:rsidRDefault="00BE4ECD" w:rsidP="00E564C0">
            <w:pPr>
              <w:pStyle w:val="Default"/>
              <w:rPr>
                <w:rFonts w:ascii="Times New Roman" w:hAnsi="Times New Roman" w:cs="Times New Roman"/>
                <w:color w:val="FFFFFF"/>
                <w:sz w:val="20"/>
                <w:szCs w:val="20"/>
              </w:rPr>
            </w:pPr>
            <w:r w:rsidRPr="00BE4ECD">
              <w:rPr>
                <w:rFonts w:ascii="Times New Roman" w:hAnsi="Times New Roman" w:cs="Times New Roman"/>
                <w:b/>
                <w:bCs/>
                <w:color w:val="FFFFFF"/>
                <w:sz w:val="20"/>
                <w:szCs w:val="20"/>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C72CB65" w14:textId="77777777" w:rsidR="00BE4ECD" w:rsidRPr="00BE4ECD" w:rsidRDefault="00BE4ECD" w:rsidP="00E564C0">
            <w:pPr>
              <w:pStyle w:val="Default"/>
              <w:rPr>
                <w:rFonts w:ascii="Times New Roman" w:hAnsi="Times New Roman" w:cs="Times New Roman"/>
                <w:b/>
                <w:bCs/>
                <w:color w:val="FFFFFF"/>
                <w:sz w:val="20"/>
                <w:szCs w:val="20"/>
              </w:rPr>
            </w:pPr>
            <w:r w:rsidRPr="00BE4ECD">
              <w:rPr>
                <w:rFonts w:ascii="Times New Roman" w:hAnsi="Times New Roman" w:cs="Times New Roman"/>
                <w:b/>
                <w:bCs/>
                <w:color w:val="FFFFFF"/>
                <w:sz w:val="20"/>
                <w:szCs w:val="20"/>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AF1AF17" w14:textId="77777777" w:rsidR="00BE4ECD" w:rsidRPr="00BE4ECD" w:rsidRDefault="00BE4ECD" w:rsidP="00E564C0">
            <w:pPr>
              <w:pStyle w:val="Default"/>
              <w:rPr>
                <w:rFonts w:ascii="Times New Roman" w:hAnsi="Times New Roman" w:cs="Times New Roman"/>
                <w:color w:val="FFFFFF"/>
                <w:sz w:val="20"/>
                <w:szCs w:val="20"/>
              </w:rPr>
            </w:pPr>
            <w:r w:rsidRPr="00BE4ECD">
              <w:rPr>
                <w:rFonts w:ascii="Times New Roman" w:hAnsi="Times New Roman" w:cs="Times New Roman"/>
                <w:b/>
                <w:bCs/>
                <w:color w:val="FFFFFF"/>
                <w:sz w:val="20"/>
                <w:szCs w:val="20"/>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4D6F78C" w14:textId="77777777" w:rsidR="00BE4ECD" w:rsidRPr="00BE4ECD" w:rsidRDefault="00BE4ECD" w:rsidP="00E564C0">
            <w:pPr>
              <w:pStyle w:val="Default"/>
              <w:rPr>
                <w:rFonts w:ascii="Times New Roman" w:hAnsi="Times New Roman" w:cs="Times New Roman"/>
                <w:color w:val="FFFFFF"/>
                <w:sz w:val="20"/>
                <w:szCs w:val="20"/>
              </w:rPr>
            </w:pPr>
            <w:r w:rsidRPr="00BE4ECD">
              <w:rPr>
                <w:rFonts w:ascii="Times New Roman" w:hAnsi="Times New Roman" w:cs="Times New Roman"/>
                <w:b/>
                <w:bCs/>
                <w:color w:val="FFFFFF"/>
                <w:sz w:val="20"/>
                <w:szCs w:val="20"/>
              </w:rPr>
              <w:t xml:space="preserve">Location where item is reported </w:t>
            </w:r>
          </w:p>
        </w:tc>
      </w:tr>
      <w:tr w:rsidR="00BE4ECD" w:rsidRPr="00BE4ECD" w14:paraId="70FF0F70" w14:textId="77777777" w:rsidTr="00E564C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04239A" w14:textId="77777777" w:rsidR="00BE4ECD" w:rsidRPr="00BE4ECD" w:rsidRDefault="00BE4ECD" w:rsidP="00E564C0">
            <w:pPr>
              <w:pStyle w:val="Default"/>
              <w:rPr>
                <w:rFonts w:ascii="Times New Roman" w:hAnsi="Times New Roman" w:cs="Times New Roman"/>
                <w:sz w:val="20"/>
                <w:szCs w:val="20"/>
              </w:rPr>
            </w:pPr>
            <w:r w:rsidRPr="00BE4ECD">
              <w:rPr>
                <w:rFonts w:ascii="Times New Roman" w:hAnsi="Times New Roman" w:cs="Times New Roman"/>
                <w:b/>
                <w:bCs/>
                <w:sz w:val="20"/>
                <w:szCs w:val="20"/>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AD67979" w14:textId="77777777" w:rsidR="00BE4ECD" w:rsidRPr="00BE4ECD" w:rsidRDefault="00BE4ECD" w:rsidP="00E564C0">
            <w:pPr>
              <w:pStyle w:val="Default"/>
              <w:jc w:val="right"/>
              <w:rPr>
                <w:rFonts w:ascii="Times New Roman" w:hAnsi="Times New Roman" w:cs="Times New Roman"/>
                <w:color w:val="auto"/>
                <w:sz w:val="20"/>
                <w:szCs w:val="20"/>
              </w:rPr>
            </w:pPr>
          </w:p>
        </w:tc>
      </w:tr>
      <w:tr w:rsidR="00BE4ECD" w:rsidRPr="00BE4ECD" w14:paraId="578BE6CD" w14:textId="77777777" w:rsidTr="00E564C0">
        <w:trPr>
          <w:trHeight w:val="48"/>
        </w:trPr>
        <w:tc>
          <w:tcPr>
            <w:tcW w:w="1668" w:type="dxa"/>
            <w:tcBorders>
              <w:top w:val="single" w:sz="5" w:space="0" w:color="000000"/>
              <w:left w:val="single" w:sz="5" w:space="0" w:color="000000"/>
              <w:bottom w:val="double" w:sz="2" w:space="0" w:color="FFFFCC"/>
              <w:right w:val="single" w:sz="5" w:space="0" w:color="000000"/>
            </w:tcBorders>
          </w:tcPr>
          <w:p w14:paraId="04003EE4"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8796668"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w:t>
            </w:r>
          </w:p>
        </w:tc>
        <w:tc>
          <w:tcPr>
            <w:tcW w:w="11745" w:type="dxa"/>
            <w:tcBorders>
              <w:top w:val="single" w:sz="5" w:space="0" w:color="000000"/>
              <w:left w:val="single" w:sz="5" w:space="0" w:color="000000"/>
              <w:bottom w:val="double" w:sz="5" w:space="0" w:color="000000"/>
              <w:right w:val="single" w:sz="5" w:space="0" w:color="000000"/>
            </w:tcBorders>
          </w:tcPr>
          <w:p w14:paraId="045A5264"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1817790F"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 xml:space="preserve">Title </w:t>
            </w:r>
          </w:p>
        </w:tc>
      </w:tr>
      <w:tr w:rsidR="00BE4ECD" w:rsidRPr="00BE4ECD" w14:paraId="6BF8382F" w14:textId="77777777" w:rsidTr="00E564C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2222B6" w14:textId="77777777" w:rsidR="00BE4ECD" w:rsidRPr="00BE4ECD" w:rsidRDefault="00BE4ECD" w:rsidP="00E564C0">
            <w:pPr>
              <w:pStyle w:val="Default"/>
              <w:rPr>
                <w:rFonts w:ascii="Times New Roman" w:hAnsi="Times New Roman" w:cs="Times New Roman"/>
                <w:sz w:val="20"/>
                <w:szCs w:val="20"/>
              </w:rPr>
            </w:pPr>
            <w:r w:rsidRPr="00BE4ECD">
              <w:rPr>
                <w:rFonts w:ascii="Times New Roman" w:hAnsi="Times New Roman" w:cs="Times New Roman"/>
                <w:b/>
                <w:bCs/>
                <w:sz w:val="20"/>
                <w:szCs w:val="20"/>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19A6A99" w14:textId="77777777" w:rsidR="00BE4ECD" w:rsidRPr="00BE4ECD" w:rsidRDefault="00BE4ECD" w:rsidP="00E564C0">
            <w:pPr>
              <w:pStyle w:val="Default"/>
              <w:jc w:val="right"/>
              <w:rPr>
                <w:rFonts w:ascii="Times New Roman" w:hAnsi="Times New Roman" w:cs="Times New Roman"/>
                <w:color w:val="auto"/>
                <w:sz w:val="20"/>
                <w:szCs w:val="20"/>
              </w:rPr>
            </w:pPr>
          </w:p>
        </w:tc>
      </w:tr>
      <w:tr w:rsidR="00BE4ECD" w:rsidRPr="00BE4ECD" w14:paraId="6FAB2181" w14:textId="77777777" w:rsidTr="00E564C0">
        <w:trPr>
          <w:trHeight w:val="48"/>
        </w:trPr>
        <w:tc>
          <w:tcPr>
            <w:tcW w:w="1668" w:type="dxa"/>
            <w:tcBorders>
              <w:top w:val="single" w:sz="5" w:space="0" w:color="000000"/>
              <w:left w:val="single" w:sz="5" w:space="0" w:color="000000"/>
              <w:bottom w:val="double" w:sz="2" w:space="0" w:color="FFFFCC"/>
              <w:right w:val="single" w:sz="5" w:space="0" w:color="000000"/>
            </w:tcBorders>
          </w:tcPr>
          <w:p w14:paraId="2C9063A7"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3A4BCBD2"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w:t>
            </w:r>
          </w:p>
        </w:tc>
        <w:tc>
          <w:tcPr>
            <w:tcW w:w="11745" w:type="dxa"/>
            <w:tcBorders>
              <w:top w:val="single" w:sz="5" w:space="0" w:color="000000"/>
              <w:left w:val="single" w:sz="5" w:space="0" w:color="000000"/>
              <w:bottom w:val="double" w:sz="5" w:space="0" w:color="000000"/>
              <w:right w:val="single" w:sz="5" w:space="0" w:color="000000"/>
            </w:tcBorders>
          </w:tcPr>
          <w:p w14:paraId="08D6FC14"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3A913500"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 1</w:t>
            </w:r>
          </w:p>
        </w:tc>
      </w:tr>
      <w:tr w:rsidR="00BE4ECD" w:rsidRPr="00BE4ECD" w14:paraId="0A3C7BB8" w14:textId="77777777" w:rsidTr="00E564C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3315045" w14:textId="77777777" w:rsidR="00BE4ECD" w:rsidRPr="00BE4ECD" w:rsidRDefault="00BE4ECD" w:rsidP="00E564C0">
            <w:pPr>
              <w:pStyle w:val="Default"/>
              <w:rPr>
                <w:rFonts w:ascii="Times New Roman" w:hAnsi="Times New Roman" w:cs="Times New Roman"/>
                <w:sz w:val="20"/>
                <w:szCs w:val="20"/>
              </w:rPr>
            </w:pPr>
            <w:r w:rsidRPr="00BE4ECD">
              <w:rPr>
                <w:rFonts w:ascii="Times New Roman" w:hAnsi="Times New Roman" w:cs="Times New Roman"/>
                <w:b/>
                <w:bCs/>
                <w:sz w:val="20"/>
                <w:szCs w:val="20"/>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5E12B06" w14:textId="77777777" w:rsidR="00BE4ECD" w:rsidRPr="00BE4ECD" w:rsidRDefault="00BE4ECD" w:rsidP="00E564C0">
            <w:pPr>
              <w:pStyle w:val="Default"/>
              <w:jc w:val="right"/>
              <w:rPr>
                <w:rFonts w:ascii="Times New Roman" w:hAnsi="Times New Roman" w:cs="Times New Roman"/>
                <w:color w:val="auto"/>
                <w:sz w:val="20"/>
                <w:szCs w:val="20"/>
              </w:rPr>
            </w:pPr>
          </w:p>
        </w:tc>
      </w:tr>
      <w:tr w:rsidR="00BE4ECD" w:rsidRPr="00BE4ECD" w14:paraId="586BB1CD" w14:textId="77777777" w:rsidTr="00E564C0">
        <w:trPr>
          <w:trHeight w:val="48"/>
        </w:trPr>
        <w:tc>
          <w:tcPr>
            <w:tcW w:w="1668" w:type="dxa"/>
            <w:tcBorders>
              <w:top w:val="single" w:sz="5" w:space="0" w:color="000000"/>
              <w:left w:val="single" w:sz="5" w:space="0" w:color="000000"/>
              <w:bottom w:val="single" w:sz="5" w:space="0" w:color="000000"/>
              <w:right w:val="single" w:sz="5" w:space="0" w:color="000000"/>
            </w:tcBorders>
          </w:tcPr>
          <w:p w14:paraId="4D6302F5"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A7544EC"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3</w:t>
            </w:r>
          </w:p>
        </w:tc>
        <w:tc>
          <w:tcPr>
            <w:tcW w:w="11745" w:type="dxa"/>
            <w:tcBorders>
              <w:top w:val="single" w:sz="5" w:space="0" w:color="000000"/>
              <w:left w:val="single" w:sz="5" w:space="0" w:color="000000"/>
              <w:bottom w:val="single" w:sz="5" w:space="0" w:color="000000"/>
              <w:right w:val="single" w:sz="5" w:space="0" w:color="000000"/>
            </w:tcBorders>
          </w:tcPr>
          <w:p w14:paraId="2FE1FC5C"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0B9B1B1C"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Pages 2-3</w:t>
            </w:r>
          </w:p>
        </w:tc>
      </w:tr>
      <w:tr w:rsidR="00BE4ECD" w:rsidRPr="00BE4ECD" w14:paraId="01622C3E" w14:textId="77777777" w:rsidTr="00E564C0">
        <w:trPr>
          <w:trHeight w:val="48"/>
        </w:trPr>
        <w:tc>
          <w:tcPr>
            <w:tcW w:w="1668" w:type="dxa"/>
            <w:tcBorders>
              <w:top w:val="single" w:sz="5" w:space="0" w:color="000000"/>
              <w:left w:val="single" w:sz="5" w:space="0" w:color="000000"/>
              <w:bottom w:val="double" w:sz="2" w:space="0" w:color="FFFFCC"/>
              <w:right w:val="single" w:sz="5" w:space="0" w:color="000000"/>
            </w:tcBorders>
          </w:tcPr>
          <w:p w14:paraId="3690DAE4"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E2A395D"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4</w:t>
            </w:r>
          </w:p>
        </w:tc>
        <w:tc>
          <w:tcPr>
            <w:tcW w:w="11745" w:type="dxa"/>
            <w:tcBorders>
              <w:top w:val="single" w:sz="5" w:space="0" w:color="000000"/>
              <w:left w:val="single" w:sz="5" w:space="0" w:color="000000"/>
              <w:bottom w:val="double" w:sz="5" w:space="0" w:color="000000"/>
              <w:right w:val="single" w:sz="5" w:space="0" w:color="000000"/>
            </w:tcBorders>
          </w:tcPr>
          <w:p w14:paraId="64E78B23"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21D19C34"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 3</w:t>
            </w:r>
          </w:p>
        </w:tc>
      </w:tr>
      <w:tr w:rsidR="00BE4ECD" w:rsidRPr="00BE4ECD" w14:paraId="341F6002" w14:textId="77777777" w:rsidTr="00E564C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E480697" w14:textId="77777777" w:rsidR="00BE4ECD" w:rsidRPr="00BE4ECD" w:rsidRDefault="00BE4ECD" w:rsidP="00E564C0">
            <w:pPr>
              <w:pStyle w:val="Default"/>
              <w:rPr>
                <w:rFonts w:ascii="Times New Roman" w:hAnsi="Times New Roman" w:cs="Times New Roman"/>
                <w:sz w:val="20"/>
                <w:szCs w:val="20"/>
              </w:rPr>
            </w:pPr>
            <w:r w:rsidRPr="00BE4ECD">
              <w:rPr>
                <w:rFonts w:ascii="Times New Roman" w:hAnsi="Times New Roman" w:cs="Times New Roman"/>
                <w:b/>
                <w:bCs/>
                <w:sz w:val="20"/>
                <w:szCs w:val="20"/>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C318DF3" w14:textId="77777777" w:rsidR="00BE4ECD" w:rsidRPr="00BE4ECD" w:rsidRDefault="00BE4ECD" w:rsidP="00E564C0">
            <w:pPr>
              <w:pStyle w:val="Default"/>
              <w:jc w:val="right"/>
              <w:rPr>
                <w:rFonts w:ascii="Times New Roman" w:hAnsi="Times New Roman" w:cs="Times New Roman"/>
                <w:color w:val="auto"/>
                <w:sz w:val="20"/>
                <w:szCs w:val="20"/>
              </w:rPr>
            </w:pPr>
          </w:p>
        </w:tc>
      </w:tr>
      <w:tr w:rsidR="00BE4ECD" w:rsidRPr="00BE4ECD" w14:paraId="079848AB" w14:textId="77777777" w:rsidTr="00E564C0">
        <w:trPr>
          <w:trHeight w:val="48"/>
        </w:trPr>
        <w:tc>
          <w:tcPr>
            <w:tcW w:w="1668" w:type="dxa"/>
            <w:tcBorders>
              <w:top w:val="single" w:sz="5" w:space="0" w:color="000000"/>
              <w:left w:val="single" w:sz="5" w:space="0" w:color="000000"/>
              <w:bottom w:val="single" w:sz="5" w:space="0" w:color="000000"/>
              <w:right w:val="single" w:sz="5" w:space="0" w:color="000000"/>
            </w:tcBorders>
          </w:tcPr>
          <w:p w14:paraId="32B2FBD1"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7733CE9"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5</w:t>
            </w:r>
          </w:p>
        </w:tc>
        <w:tc>
          <w:tcPr>
            <w:tcW w:w="11745" w:type="dxa"/>
            <w:tcBorders>
              <w:top w:val="single" w:sz="5" w:space="0" w:color="000000"/>
              <w:left w:val="single" w:sz="5" w:space="0" w:color="000000"/>
              <w:bottom w:val="single" w:sz="5" w:space="0" w:color="000000"/>
              <w:right w:val="single" w:sz="5" w:space="0" w:color="000000"/>
            </w:tcBorders>
          </w:tcPr>
          <w:p w14:paraId="3AF46669"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4D09AF56"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 4-5 and Figure 1</w:t>
            </w:r>
          </w:p>
        </w:tc>
      </w:tr>
      <w:tr w:rsidR="00BE4ECD" w:rsidRPr="00BE4ECD" w14:paraId="03E7A4B6" w14:textId="77777777" w:rsidTr="00E564C0">
        <w:trPr>
          <w:trHeight w:val="191"/>
        </w:trPr>
        <w:tc>
          <w:tcPr>
            <w:tcW w:w="1668" w:type="dxa"/>
            <w:tcBorders>
              <w:top w:val="single" w:sz="5" w:space="0" w:color="000000"/>
              <w:left w:val="single" w:sz="5" w:space="0" w:color="000000"/>
              <w:bottom w:val="single" w:sz="5" w:space="0" w:color="000000"/>
              <w:right w:val="single" w:sz="5" w:space="0" w:color="000000"/>
            </w:tcBorders>
          </w:tcPr>
          <w:p w14:paraId="7828741A"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2FAFB30"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6</w:t>
            </w:r>
          </w:p>
        </w:tc>
        <w:tc>
          <w:tcPr>
            <w:tcW w:w="11745" w:type="dxa"/>
            <w:tcBorders>
              <w:top w:val="single" w:sz="5" w:space="0" w:color="000000"/>
              <w:left w:val="single" w:sz="5" w:space="0" w:color="000000"/>
              <w:bottom w:val="single" w:sz="5" w:space="0" w:color="000000"/>
              <w:right w:val="single" w:sz="5" w:space="0" w:color="000000"/>
            </w:tcBorders>
          </w:tcPr>
          <w:p w14:paraId="31832FF0"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0D2D951"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Pages 3-5</w:t>
            </w:r>
          </w:p>
        </w:tc>
      </w:tr>
      <w:tr w:rsidR="00BE4ECD" w:rsidRPr="00BE4ECD" w14:paraId="74BCA6D7" w14:textId="77777777" w:rsidTr="00E564C0">
        <w:trPr>
          <w:trHeight w:val="48"/>
        </w:trPr>
        <w:tc>
          <w:tcPr>
            <w:tcW w:w="1668" w:type="dxa"/>
            <w:tcBorders>
              <w:top w:val="single" w:sz="5" w:space="0" w:color="000000"/>
              <w:left w:val="single" w:sz="5" w:space="0" w:color="000000"/>
              <w:bottom w:val="single" w:sz="5" w:space="0" w:color="000000"/>
              <w:right w:val="single" w:sz="5" w:space="0" w:color="000000"/>
            </w:tcBorders>
          </w:tcPr>
          <w:p w14:paraId="68A69B01"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5A955ABD"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7</w:t>
            </w:r>
          </w:p>
        </w:tc>
        <w:tc>
          <w:tcPr>
            <w:tcW w:w="11745" w:type="dxa"/>
            <w:tcBorders>
              <w:top w:val="single" w:sz="5" w:space="0" w:color="000000"/>
              <w:left w:val="single" w:sz="5" w:space="0" w:color="000000"/>
              <w:bottom w:val="single" w:sz="5" w:space="0" w:color="000000"/>
              <w:right w:val="single" w:sz="5" w:space="0" w:color="000000"/>
            </w:tcBorders>
          </w:tcPr>
          <w:p w14:paraId="2EC6FBA6"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22B0D3DE"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Figure 1</w:t>
            </w:r>
          </w:p>
        </w:tc>
      </w:tr>
      <w:tr w:rsidR="00BE4ECD" w:rsidRPr="00BE4ECD" w14:paraId="61080145" w14:textId="77777777" w:rsidTr="00E564C0">
        <w:trPr>
          <w:trHeight w:val="48"/>
        </w:trPr>
        <w:tc>
          <w:tcPr>
            <w:tcW w:w="1668" w:type="dxa"/>
            <w:tcBorders>
              <w:top w:val="single" w:sz="5" w:space="0" w:color="000000"/>
              <w:left w:val="single" w:sz="5" w:space="0" w:color="000000"/>
              <w:bottom w:val="single" w:sz="5" w:space="0" w:color="000000"/>
              <w:right w:val="single" w:sz="5" w:space="0" w:color="000000"/>
            </w:tcBorders>
          </w:tcPr>
          <w:p w14:paraId="045972FB"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769CB7CF"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8</w:t>
            </w:r>
          </w:p>
        </w:tc>
        <w:tc>
          <w:tcPr>
            <w:tcW w:w="11745" w:type="dxa"/>
            <w:tcBorders>
              <w:top w:val="single" w:sz="5" w:space="0" w:color="000000"/>
              <w:left w:val="single" w:sz="5" w:space="0" w:color="000000"/>
              <w:bottom w:val="single" w:sz="5" w:space="0" w:color="000000"/>
              <w:right w:val="single" w:sz="5" w:space="0" w:color="000000"/>
            </w:tcBorders>
          </w:tcPr>
          <w:p w14:paraId="75447BFA"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F5528B8"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Pages 4-5</w:t>
            </w:r>
          </w:p>
        </w:tc>
      </w:tr>
      <w:tr w:rsidR="00BE4ECD" w:rsidRPr="00BE4ECD" w14:paraId="4A77E75F" w14:textId="77777777" w:rsidTr="00E564C0">
        <w:trPr>
          <w:trHeight w:val="152"/>
        </w:trPr>
        <w:tc>
          <w:tcPr>
            <w:tcW w:w="1668" w:type="dxa"/>
            <w:tcBorders>
              <w:top w:val="single" w:sz="5" w:space="0" w:color="000000"/>
              <w:left w:val="single" w:sz="5" w:space="0" w:color="000000"/>
              <w:bottom w:val="single" w:sz="5" w:space="0" w:color="000000"/>
              <w:right w:val="single" w:sz="5" w:space="0" w:color="000000"/>
            </w:tcBorders>
          </w:tcPr>
          <w:p w14:paraId="0B259986"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3C7F5AE8"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9</w:t>
            </w:r>
          </w:p>
        </w:tc>
        <w:tc>
          <w:tcPr>
            <w:tcW w:w="11745" w:type="dxa"/>
            <w:tcBorders>
              <w:top w:val="single" w:sz="5" w:space="0" w:color="000000"/>
              <w:left w:val="single" w:sz="5" w:space="0" w:color="000000"/>
              <w:bottom w:val="single" w:sz="5" w:space="0" w:color="000000"/>
              <w:right w:val="single" w:sz="5" w:space="0" w:color="000000"/>
            </w:tcBorders>
          </w:tcPr>
          <w:p w14:paraId="7CCF5D14"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A32D090"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 7</w:t>
            </w:r>
          </w:p>
        </w:tc>
      </w:tr>
      <w:tr w:rsidR="00BE4ECD" w:rsidRPr="00BE4ECD" w14:paraId="076FD972" w14:textId="77777777" w:rsidTr="00E564C0">
        <w:trPr>
          <w:trHeight w:val="48"/>
        </w:trPr>
        <w:tc>
          <w:tcPr>
            <w:tcW w:w="1668" w:type="dxa"/>
            <w:vMerge w:val="restart"/>
            <w:tcBorders>
              <w:top w:val="single" w:sz="5" w:space="0" w:color="000000"/>
              <w:left w:val="single" w:sz="5" w:space="0" w:color="000000"/>
              <w:right w:val="single" w:sz="5" w:space="0" w:color="000000"/>
            </w:tcBorders>
          </w:tcPr>
          <w:p w14:paraId="74F41727"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32925BC"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10a</w:t>
            </w:r>
          </w:p>
        </w:tc>
        <w:tc>
          <w:tcPr>
            <w:tcW w:w="11745" w:type="dxa"/>
            <w:tcBorders>
              <w:top w:val="single" w:sz="5" w:space="0" w:color="000000"/>
              <w:left w:val="single" w:sz="5" w:space="0" w:color="000000"/>
              <w:bottom w:val="single" w:sz="5" w:space="0" w:color="000000"/>
              <w:right w:val="single" w:sz="5" w:space="0" w:color="000000"/>
            </w:tcBorders>
          </w:tcPr>
          <w:p w14:paraId="6C996CCB"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54EF9D3C"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Supp. table 1</w:t>
            </w:r>
          </w:p>
        </w:tc>
      </w:tr>
      <w:tr w:rsidR="00BE4ECD" w:rsidRPr="00BE4ECD" w14:paraId="545788F6" w14:textId="77777777" w:rsidTr="00E564C0">
        <w:trPr>
          <w:trHeight w:val="48"/>
        </w:trPr>
        <w:tc>
          <w:tcPr>
            <w:tcW w:w="1668" w:type="dxa"/>
            <w:vMerge/>
            <w:tcBorders>
              <w:left w:val="single" w:sz="5" w:space="0" w:color="000000"/>
              <w:bottom w:val="single" w:sz="5" w:space="0" w:color="000000"/>
              <w:right w:val="single" w:sz="5" w:space="0" w:color="000000"/>
            </w:tcBorders>
          </w:tcPr>
          <w:p w14:paraId="68F5AB4D" w14:textId="77777777" w:rsidR="00BE4ECD" w:rsidRPr="00BE4ECD" w:rsidRDefault="00BE4ECD" w:rsidP="00E564C0">
            <w:pPr>
              <w:pStyle w:val="Default"/>
              <w:spacing w:before="40" w:after="40"/>
              <w:rPr>
                <w:rFonts w:ascii="Times New Roman" w:hAnsi="Times New Roman" w:cs="Times New Roman"/>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33B98E5A"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10b</w:t>
            </w:r>
          </w:p>
        </w:tc>
        <w:tc>
          <w:tcPr>
            <w:tcW w:w="11745" w:type="dxa"/>
            <w:tcBorders>
              <w:top w:val="single" w:sz="5" w:space="0" w:color="000000"/>
              <w:left w:val="single" w:sz="5" w:space="0" w:color="000000"/>
              <w:bottom w:val="single" w:sz="5" w:space="0" w:color="000000"/>
              <w:right w:val="single" w:sz="5" w:space="0" w:color="000000"/>
            </w:tcBorders>
          </w:tcPr>
          <w:p w14:paraId="7096E351"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679B8559"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Supp. table 1</w:t>
            </w:r>
          </w:p>
        </w:tc>
      </w:tr>
      <w:tr w:rsidR="00BE4ECD" w:rsidRPr="00BE4ECD" w14:paraId="16AE0903" w14:textId="77777777" w:rsidTr="00E564C0">
        <w:trPr>
          <w:trHeight w:val="48"/>
        </w:trPr>
        <w:tc>
          <w:tcPr>
            <w:tcW w:w="1668" w:type="dxa"/>
            <w:tcBorders>
              <w:top w:val="single" w:sz="5" w:space="0" w:color="000000"/>
              <w:left w:val="single" w:sz="5" w:space="0" w:color="000000"/>
              <w:bottom w:val="single" w:sz="5" w:space="0" w:color="000000"/>
              <w:right w:val="single" w:sz="5" w:space="0" w:color="000000"/>
            </w:tcBorders>
          </w:tcPr>
          <w:p w14:paraId="3D2E3935"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3155790D"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11</w:t>
            </w:r>
          </w:p>
        </w:tc>
        <w:tc>
          <w:tcPr>
            <w:tcW w:w="11745" w:type="dxa"/>
            <w:tcBorders>
              <w:top w:val="single" w:sz="5" w:space="0" w:color="000000"/>
              <w:left w:val="single" w:sz="5" w:space="0" w:color="000000"/>
              <w:bottom w:val="single" w:sz="5" w:space="0" w:color="000000"/>
              <w:right w:val="single" w:sz="5" w:space="0" w:color="000000"/>
            </w:tcBorders>
          </w:tcPr>
          <w:p w14:paraId="3711B68C"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D94F5FF"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 5 and Supp. Table 2</w:t>
            </w:r>
          </w:p>
        </w:tc>
      </w:tr>
      <w:tr w:rsidR="00BE4ECD" w:rsidRPr="00BE4ECD" w14:paraId="17203286" w14:textId="77777777" w:rsidTr="00E564C0">
        <w:trPr>
          <w:trHeight w:val="48"/>
        </w:trPr>
        <w:tc>
          <w:tcPr>
            <w:tcW w:w="1668" w:type="dxa"/>
            <w:tcBorders>
              <w:top w:val="single" w:sz="5" w:space="0" w:color="000000"/>
              <w:left w:val="single" w:sz="5" w:space="0" w:color="000000"/>
              <w:bottom w:val="single" w:sz="5" w:space="0" w:color="000000"/>
              <w:right w:val="single" w:sz="5" w:space="0" w:color="000000"/>
            </w:tcBorders>
          </w:tcPr>
          <w:p w14:paraId="2D9C759C"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66589A04"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12</w:t>
            </w:r>
          </w:p>
        </w:tc>
        <w:tc>
          <w:tcPr>
            <w:tcW w:w="11745" w:type="dxa"/>
            <w:tcBorders>
              <w:top w:val="single" w:sz="5" w:space="0" w:color="000000"/>
              <w:left w:val="single" w:sz="5" w:space="0" w:color="000000"/>
              <w:bottom w:val="single" w:sz="5" w:space="0" w:color="000000"/>
              <w:right w:val="single" w:sz="5" w:space="0" w:color="000000"/>
            </w:tcBorders>
          </w:tcPr>
          <w:p w14:paraId="70197C11"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1CB9989B"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Pages 6-8</w:t>
            </w:r>
          </w:p>
        </w:tc>
      </w:tr>
      <w:tr w:rsidR="00BE4ECD" w:rsidRPr="00BE4ECD" w14:paraId="2D64FA2F" w14:textId="77777777" w:rsidTr="00E564C0">
        <w:trPr>
          <w:trHeight w:val="48"/>
        </w:trPr>
        <w:tc>
          <w:tcPr>
            <w:tcW w:w="1668" w:type="dxa"/>
            <w:vMerge w:val="restart"/>
            <w:tcBorders>
              <w:top w:val="single" w:sz="5" w:space="0" w:color="000000"/>
              <w:left w:val="single" w:sz="5" w:space="0" w:color="000000"/>
              <w:right w:val="single" w:sz="5" w:space="0" w:color="000000"/>
            </w:tcBorders>
          </w:tcPr>
          <w:p w14:paraId="493F0BB5"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Synthesis </w:t>
            </w:r>
            <w:r w:rsidRPr="00BE4ECD">
              <w:rPr>
                <w:rFonts w:ascii="Times New Roman" w:hAnsi="Times New Roman" w:cs="Times New Roman"/>
                <w:sz w:val="20"/>
                <w:szCs w:val="20"/>
              </w:rPr>
              <w:lastRenderedPageBreak/>
              <w:t>methods</w:t>
            </w:r>
          </w:p>
        </w:tc>
        <w:tc>
          <w:tcPr>
            <w:tcW w:w="587" w:type="dxa"/>
            <w:tcBorders>
              <w:top w:val="single" w:sz="5" w:space="0" w:color="000000"/>
              <w:left w:val="single" w:sz="5" w:space="0" w:color="000000"/>
              <w:bottom w:val="single" w:sz="5" w:space="0" w:color="000000"/>
              <w:right w:val="single" w:sz="5" w:space="0" w:color="000000"/>
            </w:tcBorders>
          </w:tcPr>
          <w:p w14:paraId="12B0EE1B"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lastRenderedPageBreak/>
              <w:t>13a</w:t>
            </w:r>
          </w:p>
        </w:tc>
        <w:tc>
          <w:tcPr>
            <w:tcW w:w="11745" w:type="dxa"/>
            <w:tcBorders>
              <w:top w:val="single" w:sz="5" w:space="0" w:color="000000"/>
              <w:left w:val="single" w:sz="5" w:space="0" w:color="000000"/>
              <w:bottom w:val="single" w:sz="5" w:space="0" w:color="000000"/>
              <w:right w:val="single" w:sz="5" w:space="0" w:color="000000"/>
            </w:tcBorders>
          </w:tcPr>
          <w:p w14:paraId="28AB42FF"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Describe the processes used to decide which studies were eligible for each synthesis (e.g. tabulating the study intervention characteristics and </w:t>
            </w:r>
            <w:r w:rsidRPr="00BE4ECD">
              <w:rPr>
                <w:rFonts w:ascii="Times New Roman" w:hAnsi="Times New Roman" w:cs="Times New Roman"/>
                <w:sz w:val="20"/>
                <w:szCs w:val="20"/>
              </w:rPr>
              <w:lastRenderedPageBreak/>
              <w:t>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D360B86"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lastRenderedPageBreak/>
              <w:t xml:space="preserve">Pages 6-8 </w:t>
            </w:r>
          </w:p>
        </w:tc>
      </w:tr>
      <w:tr w:rsidR="00BE4ECD" w:rsidRPr="00BE4ECD" w14:paraId="0321B053" w14:textId="77777777" w:rsidTr="00E564C0">
        <w:trPr>
          <w:trHeight w:val="48"/>
        </w:trPr>
        <w:tc>
          <w:tcPr>
            <w:tcW w:w="1668" w:type="dxa"/>
            <w:vMerge/>
            <w:tcBorders>
              <w:left w:val="single" w:sz="5" w:space="0" w:color="000000"/>
              <w:right w:val="single" w:sz="5" w:space="0" w:color="000000"/>
            </w:tcBorders>
          </w:tcPr>
          <w:p w14:paraId="15DEA323" w14:textId="77777777" w:rsidR="00BE4ECD" w:rsidRPr="00BE4ECD" w:rsidRDefault="00BE4ECD" w:rsidP="00E564C0">
            <w:pPr>
              <w:pStyle w:val="Default"/>
              <w:spacing w:before="40" w:after="40"/>
              <w:rPr>
                <w:rFonts w:ascii="Times New Roman" w:hAnsi="Times New Roman" w:cs="Times New Roman"/>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192522D3"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13b</w:t>
            </w:r>
          </w:p>
        </w:tc>
        <w:tc>
          <w:tcPr>
            <w:tcW w:w="11745" w:type="dxa"/>
            <w:tcBorders>
              <w:top w:val="single" w:sz="5" w:space="0" w:color="000000"/>
              <w:left w:val="single" w:sz="5" w:space="0" w:color="000000"/>
              <w:bottom w:val="single" w:sz="5" w:space="0" w:color="000000"/>
              <w:right w:val="single" w:sz="5" w:space="0" w:color="000000"/>
            </w:tcBorders>
          </w:tcPr>
          <w:p w14:paraId="40B5B977"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1698E8A5"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Pages 7-8</w:t>
            </w:r>
          </w:p>
        </w:tc>
      </w:tr>
      <w:tr w:rsidR="00BE4ECD" w:rsidRPr="00BE4ECD" w14:paraId="01CCB3DD" w14:textId="77777777" w:rsidTr="00E564C0">
        <w:trPr>
          <w:trHeight w:val="48"/>
        </w:trPr>
        <w:tc>
          <w:tcPr>
            <w:tcW w:w="1668" w:type="dxa"/>
            <w:vMerge/>
            <w:tcBorders>
              <w:left w:val="single" w:sz="5" w:space="0" w:color="000000"/>
              <w:right w:val="single" w:sz="5" w:space="0" w:color="000000"/>
            </w:tcBorders>
          </w:tcPr>
          <w:p w14:paraId="3E762456" w14:textId="77777777" w:rsidR="00BE4ECD" w:rsidRPr="00BE4ECD" w:rsidRDefault="00BE4ECD" w:rsidP="00E564C0">
            <w:pPr>
              <w:pStyle w:val="Default"/>
              <w:spacing w:before="40" w:after="40"/>
              <w:rPr>
                <w:rFonts w:ascii="Times New Roman" w:hAnsi="Times New Roman" w:cs="Times New Roman"/>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555CDC52"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13c</w:t>
            </w:r>
          </w:p>
        </w:tc>
        <w:tc>
          <w:tcPr>
            <w:tcW w:w="11745" w:type="dxa"/>
            <w:tcBorders>
              <w:top w:val="single" w:sz="5" w:space="0" w:color="000000"/>
              <w:left w:val="single" w:sz="5" w:space="0" w:color="000000"/>
              <w:bottom w:val="single" w:sz="5" w:space="0" w:color="000000"/>
              <w:right w:val="single" w:sz="5" w:space="0" w:color="000000"/>
            </w:tcBorders>
          </w:tcPr>
          <w:p w14:paraId="667D27E7"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6A70BB42"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 5 and Supp. Table 1.</w:t>
            </w:r>
          </w:p>
        </w:tc>
      </w:tr>
      <w:tr w:rsidR="00BE4ECD" w:rsidRPr="00BE4ECD" w14:paraId="31CCFC22" w14:textId="77777777" w:rsidTr="00E564C0">
        <w:trPr>
          <w:trHeight w:val="48"/>
        </w:trPr>
        <w:tc>
          <w:tcPr>
            <w:tcW w:w="1668" w:type="dxa"/>
            <w:vMerge/>
            <w:tcBorders>
              <w:left w:val="single" w:sz="5" w:space="0" w:color="000000"/>
              <w:right w:val="single" w:sz="5" w:space="0" w:color="000000"/>
            </w:tcBorders>
          </w:tcPr>
          <w:p w14:paraId="251CD371" w14:textId="77777777" w:rsidR="00BE4ECD" w:rsidRPr="00BE4ECD" w:rsidRDefault="00BE4ECD" w:rsidP="00E564C0">
            <w:pPr>
              <w:pStyle w:val="Default"/>
              <w:spacing w:before="40" w:after="40"/>
              <w:rPr>
                <w:rFonts w:ascii="Times New Roman" w:hAnsi="Times New Roman" w:cs="Times New Roman"/>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5DE86BB2"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13d</w:t>
            </w:r>
          </w:p>
        </w:tc>
        <w:tc>
          <w:tcPr>
            <w:tcW w:w="11745" w:type="dxa"/>
            <w:tcBorders>
              <w:top w:val="single" w:sz="5" w:space="0" w:color="000000"/>
              <w:left w:val="single" w:sz="5" w:space="0" w:color="000000"/>
              <w:bottom w:val="single" w:sz="5" w:space="0" w:color="000000"/>
              <w:right w:val="single" w:sz="5" w:space="0" w:color="000000"/>
            </w:tcBorders>
          </w:tcPr>
          <w:p w14:paraId="38786DBF"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F17094E"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 5</w:t>
            </w:r>
          </w:p>
        </w:tc>
      </w:tr>
      <w:tr w:rsidR="00BE4ECD" w:rsidRPr="00BE4ECD" w14:paraId="540074E6" w14:textId="77777777" w:rsidTr="00E564C0">
        <w:trPr>
          <w:trHeight w:val="48"/>
        </w:trPr>
        <w:tc>
          <w:tcPr>
            <w:tcW w:w="1668" w:type="dxa"/>
            <w:vMerge/>
            <w:tcBorders>
              <w:left w:val="single" w:sz="5" w:space="0" w:color="000000"/>
              <w:right w:val="single" w:sz="5" w:space="0" w:color="000000"/>
            </w:tcBorders>
          </w:tcPr>
          <w:p w14:paraId="1FF17580" w14:textId="77777777" w:rsidR="00BE4ECD" w:rsidRPr="00BE4ECD" w:rsidRDefault="00BE4ECD" w:rsidP="00E564C0">
            <w:pPr>
              <w:pStyle w:val="Default"/>
              <w:spacing w:before="40" w:after="40"/>
              <w:rPr>
                <w:rFonts w:ascii="Times New Roman" w:hAnsi="Times New Roman" w:cs="Times New Roman"/>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0D357E7A"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13e</w:t>
            </w:r>
          </w:p>
        </w:tc>
        <w:tc>
          <w:tcPr>
            <w:tcW w:w="11745" w:type="dxa"/>
            <w:tcBorders>
              <w:top w:val="single" w:sz="5" w:space="0" w:color="000000"/>
              <w:left w:val="single" w:sz="5" w:space="0" w:color="000000"/>
              <w:bottom w:val="single" w:sz="5" w:space="0" w:color="000000"/>
              <w:right w:val="single" w:sz="5" w:space="0" w:color="000000"/>
            </w:tcBorders>
          </w:tcPr>
          <w:p w14:paraId="5841D307"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049A309"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n/a</w:t>
            </w:r>
          </w:p>
        </w:tc>
      </w:tr>
      <w:tr w:rsidR="00BE4ECD" w:rsidRPr="00BE4ECD" w14:paraId="6AD93AD2" w14:textId="77777777" w:rsidTr="00E564C0">
        <w:trPr>
          <w:trHeight w:val="50"/>
        </w:trPr>
        <w:tc>
          <w:tcPr>
            <w:tcW w:w="1668" w:type="dxa"/>
            <w:vMerge/>
            <w:tcBorders>
              <w:left w:val="single" w:sz="5" w:space="0" w:color="000000"/>
              <w:bottom w:val="single" w:sz="5" w:space="0" w:color="000000"/>
              <w:right w:val="single" w:sz="5" w:space="0" w:color="000000"/>
            </w:tcBorders>
          </w:tcPr>
          <w:p w14:paraId="3091734C" w14:textId="77777777" w:rsidR="00BE4ECD" w:rsidRPr="00BE4ECD" w:rsidRDefault="00BE4ECD" w:rsidP="00E564C0">
            <w:pPr>
              <w:pStyle w:val="Default"/>
              <w:spacing w:before="40" w:after="40"/>
              <w:rPr>
                <w:rFonts w:ascii="Times New Roman" w:hAnsi="Times New Roman" w:cs="Times New Roman"/>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5700F8FC"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13f</w:t>
            </w:r>
          </w:p>
        </w:tc>
        <w:tc>
          <w:tcPr>
            <w:tcW w:w="11745" w:type="dxa"/>
            <w:tcBorders>
              <w:top w:val="single" w:sz="5" w:space="0" w:color="000000"/>
              <w:left w:val="single" w:sz="5" w:space="0" w:color="000000"/>
              <w:bottom w:val="single" w:sz="5" w:space="0" w:color="000000"/>
              <w:right w:val="single" w:sz="5" w:space="0" w:color="000000"/>
            </w:tcBorders>
          </w:tcPr>
          <w:p w14:paraId="5B5CB53C"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EA1A8E6"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n/a</w:t>
            </w:r>
          </w:p>
        </w:tc>
      </w:tr>
      <w:tr w:rsidR="00BE4ECD" w:rsidRPr="00BE4ECD" w14:paraId="6AE541AE" w14:textId="77777777" w:rsidTr="00E564C0">
        <w:trPr>
          <w:trHeight w:val="48"/>
        </w:trPr>
        <w:tc>
          <w:tcPr>
            <w:tcW w:w="1668" w:type="dxa"/>
            <w:tcBorders>
              <w:top w:val="single" w:sz="5" w:space="0" w:color="000000"/>
              <w:left w:val="single" w:sz="5" w:space="0" w:color="000000"/>
              <w:bottom w:val="single" w:sz="5" w:space="0" w:color="000000"/>
              <w:right w:val="single" w:sz="5" w:space="0" w:color="000000"/>
            </w:tcBorders>
          </w:tcPr>
          <w:p w14:paraId="2AB27E21"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C9D8AC9"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14</w:t>
            </w:r>
          </w:p>
        </w:tc>
        <w:tc>
          <w:tcPr>
            <w:tcW w:w="11745" w:type="dxa"/>
            <w:tcBorders>
              <w:top w:val="single" w:sz="5" w:space="0" w:color="000000"/>
              <w:left w:val="single" w:sz="5" w:space="0" w:color="000000"/>
              <w:bottom w:val="single" w:sz="5" w:space="0" w:color="000000"/>
              <w:right w:val="single" w:sz="5" w:space="0" w:color="000000"/>
            </w:tcBorders>
          </w:tcPr>
          <w:p w14:paraId="62E20FD8"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586AE9C"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n/a</w:t>
            </w:r>
          </w:p>
        </w:tc>
      </w:tr>
      <w:tr w:rsidR="00BE4ECD" w:rsidRPr="00BE4ECD" w14:paraId="3E5B93CC" w14:textId="77777777" w:rsidTr="00E564C0">
        <w:trPr>
          <w:trHeight w:val="48"/>
        </w:trPr>
        <w:tc>
          <w:tcPr>
            <w:tcW w:w="1668" w:type="dxa"/>
            <w:tcBorders>
              <w:top w:val="single" w:sz="5" w:space="0" w:color="000000"/>
              <w:left w:val="single" w:sz="5" w:space="0" w:color="000000"/>
              <w:bottom w:val="single" w:sz="5" w:space="0" w:color="000000"/>
              <w:right w:val="single" w:sz="5" w:space="0" w:color="000000"/>
            </w:tcBorders>
          </w:tcPr>
          <w:p w14:paraId="78159416"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EDF1523"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15</w:t>
            </w:r>
          </w:p>
        </w:tc>
        <w:tc>
          <w:tcPr>
            <w:tcW w:w="11745" w:type="dxa"/>
            <w:tcBorders>
              <w:top w:val="single" w:sz="5" w:space="0" w:color="000000"/>
              <w:left w:val="single" w:sz="5" w:space="0" w:color="000000"/>
              <w:bottom w:val="single" w:sz="5" w:space="0" w:color="000000"/>
              <w:right w:val="single" w:sz="5" w:space="0" w:color="000000"/>
            </w:tcBorders>
          </w:tcPr>
          <w:p w14:paraId="7F3AD75F"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0F655ADD"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n/a</w:t>
            </w:r>
          </w:p>
        </w:tc>
      </w:tr>
      <w:tr w:rsidR="00BE4ECD" w:rsidRPr="00BE4ECD" w14:paraId="0C6B31CE" w14:textId="77777777" w:rsidTr="00E564C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41C5D6" w14:textId="77777777" w:rsidR="00BE4ECD" w:rsidRPr="00BE4ECD" w:rsidRDefault="00BE4ECD" w:rsidP="00E564C0">
            <w:pPr>
              <w:pStyle w:val="Default"/>
              <w:rPr>
                <w:rFonts w:ascii="Times New Roman" w:hAnsi="Times New Roman" w:cs="Times New Roman"/>
                <w:sz w:val="20"/>
                <w:szCs w:val="20"/>
              </w:rPr>
            </w:pPr>
            <w:r w:rsidRPr="00BE4ECD">
              <w:rPr>
                <w:rFonts w:ascii="Times New Roman" w:hAnsi="Times New Roman" w:cs="Times New Roman"/>
                <w:b/>
                <w:bCs/>
                <w:sz w:val="20"/>
                <w:szCs w:val="20"/>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84F7C95" w14:textId="77777777" w:rsidR="00BE4ECD" w:rsidRPr="00BE4ECD" w:rsidRDefault="00BE4ECD" w:rsidP="00E564C0">
            <w:pPr>
              <w:pStyle w:val="Default"/>
              <w:jc w:val="center"/>
              <w:rPr>
                <w:rFonts w:ascii="Times New Roman" w:hAnsi="Times New Roman" w:cs="Times New Roman"/>
                <w:color w:val="auto"/>
                <w:sz w:val="20"/>
                <w:szCs w:val="20"/>
              </w:rPr>
            </w:pPr>
          </w:p>
        </w:tc>
      </w:tr>
      <w:tr w:rsidR="00BE4ECD" w:rsidRPr="00BE4ECD" w14:paraId="263842CC" w14:textId="77777777" w:rsidTr="00E564C0">
        <w:trPr>
          <w:trHeight w:val="48"/>
        </w:trPr>
        <w:tc>
          <w:tcPr>
            <w:tcW w:w="1668" w:type="dxa"/>
            <w:vMerge w:val="restart"/>
            <w:tcBorders>
              <w:top w:val="single" w:sz="5" w:space="0" w:color="000000"/>
              <w:left w:val="single" w:sz="5" w:space="0" w:color="000000"/>
              <w:right w:val="single" w:sz="5" w:space="0" w:color="000000"/>
            </w:tcBorders>
          </w:tcPr>
          <w:p w14:paraId="07625EDE"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3DE1282"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16a</w:t>
            </w:r>
          </w:p>
        </w:tc>
        <w:tc>
          <w:tcPr>
            <w:tcW w:w="11745" w:type="dxa"/>
            <w:tcBorders>
              <w:top w:val="single" w:sz="5" w:space="0" w:color="000000"/>
              <w:left w:val="single" w:sz="5" w:space="0" w:color="000000"/>
              <w:bottom w:val="single" w:sz="5" w:space="0" w:color="000000"/>
              <w:right w:val="single" w:sz="5" w:space="0" w:color="000000"/>
            </w:tcBorders>
          </w:tcPr>
          <w:p w14:paraId="5978F757"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10B5B6F3"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Figure 1</w:t>
            </w:r>
          </w:p>
        </w:tc>
      </w:tr>
      <w:tr w:rsidR="00BE4ECD" w:rsidRPr="00BE4ECD" w14:paraId="3F0793E3" w14:textId="77777777" w:rsidTr="00E564C0">
        <w:trPr>
          <w:trHeight w:val="48"/>
        </w:trPr>
        <w:tc>
          <w:tcPr>
            <w:tcW w:w="1668" w:type="dxa"/>
            <w:vMerge/>
            <w:tcBorders>
              <w:left w:val="single" w:sz="5" w:space="0" w:color="000000"/>
              <w:bottom w:val="single" w:sz="5" w:space="0" w:color="000000"/>
              <w:right w:val="single" w:sz="5" w:space="0" w:color="000000"/>
            </w:tcBorders>
          </w:tcPr>
          <w:p w14:paraId="576760A1" w14:textId="77777777" w:rsidR="00BE4ECD" w:rsidRPr="00BE4ECD" w:rsidRDefault="00BE4ECD" w:rsidP="00E564C0">
            <w:pPr>
              <w:pStyle w:val="Default"/>
              <w:spacing w:before="40" w:after="40"/>
              <w:rPr>
                <w:rFonts w:ascii="Times New Roman" w:hAnsi="Times New Roman" w:cs="Times New Roman"/>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33F2D622"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16b</w:t>
            </w:r>
          </w:p>
        </w:tc>
        <w:tc>
          <w:tcPr>
            <w:tcW w:w="11745" w:type="dxa"/>
            <w:tcBorders>
              <w:top w:val="single" w:sz="5" w:space="0" w:color="000000"/>
              <w:left w:val="single" w:sz="5" w:space="0" w:color="000000"/>
              <w:bottom w:val="single" w:sz="5" w:space="0" w:color="000000"/>
              <w:right w:val="single" w:sz="5" w:space="0" w:color="000000"/>
            </w:tcBorders>
          </w:tcPr>
          <w:p w14:paraId="060DA16F"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53F6D2F3"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n/a</w:t>
            </w:r>
          </w:p>
        </w:tc>
      </w:tr>
      <w:tr w:rsidR="00BE4ECD" w:rsidRPr="00BE4ECD" w14:paraId="40DEAE93" w14:textId="77777777" w:rsidTr="00E564C0">
        <w:trPr>
          <w:trHeight w:val="103"/>
        </w:trPr>
        <w:tc>
          <w:tcPr>
            <w:tcW w:w="1668" w:type="dxa"/>
            <w:tcBorders>
              <w:top w:val="single" w:sz="5" w:space="0" w:color="000000"/>
              <w:left w:val="single" w:sz="5" w:space="0" w:color="000000"/>
              <w:bottom w:val="single" w:sz="5" w:space="0" w:color="000000"/>
              <w:right w:val="single" w:sz="5" w:space="0" w:color="000000"/>
            </w:tcBorders>
          </w:tcPr>
          <w:p w14:paraId="20C13C9D"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03F2203"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17</w:t>
            </w:r>
          </w:p>
        </w:tc>
        <w:tc>
          <w:tcPr>
            <w:tcW w:w="11745" w:type="dxa"/>
            <w:tcBorders>
              <w:top w:val="single" w:sz="5" w:space="0" w:color="000000"/>
              <w:left w:val="single" w:sz="5" w:space="0" w:color="000000"/>
              <w:bottom w:val="single" w:sz="5" w:space="0" w:color="000000"/>
              <w:right w:val="single" w:sz="5" w:space="0" w:color="000000"/>
            </w:tcBorders>
          </w:tcPr>
          <w:p w14:paraId="010891CE"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40CE2E9A"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Supp. Table 1</w:t>
            </w:r>
          </w:p>
        </w:tc>
      </w:tr>
      <w:tr w:rsidR="00BE4ECD" w:rsidRPr="00BE4ECD" w14:paraId="77058C11" w14:textId="77777777" w:rsidTr="00E564C0">
        <w:trPr>
          <w:trHeight w:val="48"/>
        </w:trPr>
        <w:tc>
          <w:tcPr>
            <w:tcW w:w="1668" w:type="dxa"/>
            <w:tcBorders>
              <w:top w:val="single" w:sz="5" w:space="0" w:color="000000"/>
              <w:left w:val="single" w:sz="5" w:space="0" w:color="000000"/>
              <w:bottom w:val="single" w:sz="5" w:space="0" w:color="000000"/>
              <w:right w:val="single" w:sz="5" w:space="0" w:color="000000"/>
            </w:tcBorders>
          </w:tcPr>
          <w:p w14:paraId="39DC2088"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CD8E729"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18</w:t>
            </w:r>
          </w:p>
        </w:tc>
        <w:tc>
          <w:tcPr>
            <w:tcW w:w="11745" w:type="dxa"/>
            <w:tcBorders>
              <w:top w:val="single" w:sz="5" w:space="0" w:color="000000"/>
              <w:left w:val="single" w:sz="5" w:space="0" w:color="000000"/>
              <w:bottom w:val="single" w:sz="5" w:space="0" w:color="000000"/>
              <w:right w:val="single" w:sz="5" w:space="0" w:color="000000"/>
            </w:tcBorders>
          </w:tcPr>
          <w:p w14:paraId="3828DCFF"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12B2F8F5"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Supp. Table 2</w:t>
            </w:r>
          </w:p>
        </w:tc>
      </w:tr>
      <w:tr w:rsidR="00BE4ECD" w:rsidRPr="00BE4ECD" w14:paraId="370388FA" w14:textId="77777777" w:rsidTr="00E564C0">
        <w:trPr>
          <w:trHeight w:val="48"/>
        </w:trPr>
        <w:tc>
          <w:tcPr>
            <w:tcW w:w="1668" w:type="dxa"/>
            <w:tcBorders>
              <w:top w:val="single" w:sz="5" w:space="0" w:color="000000"/>
              <w:left w:val="single" w:sz="5" w:space="0" w:color="000000"/>
              <w:bottom w:val="single" w:sz="5" w:space="0" w:color="000000"/>
              <w:right w:val="single" w:sz="5" w:space="0" w:color="000000"/>
            </w:tcBorders>
          </w:tcPr>
          <w:p w14:paraId="2ADB69CE"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E76C074"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19</w:t>
            </w:r>
          </w:p>
        </w:tc>
        <w:tc>
          <w:tcPr>
            <w:tcW w:w="11745" w:type="dxa"/>
            <w:tcBorders>
              <w:top w:val="single" w:sz="5" w:space="0" w:color="000000"/>
              <w:left w:val="single" w:sz="5" w:space="0" w:color="000000"/>
              <w:bottom w:val="single" w:sz="5" w:space="0" w:color="000000"/>
              <w:right w:val="single" w:sz="5" w:space="0" w:color="000000"/>
            </w:tcBorders>
          </w:tcPr>
          <w:p w14:paraId="6CC1F9F4"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689F0158"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Supp. Table 1</w:t>
            </w:r>
          </w:p>
        </w:tc>
      </w:tr>
      <w:tr w:rsidR="00BE4ECD" w:rsidRPr="00BE4ECD" w14:paraId="30DB53FB" w14:textId="77777777" w:rsidTr="00E564C0">
        <w:trPr>
          <w:trHeight w:val="48"/>
        </w:trPr>
        <w:tc>
          <w:tcPr>
            <w:tcW w:w="1668" w:type="dxa"/>
            <w:vMerge w:val="restart"/>
            <w:tcBorders>
              <w:top w:val="single" w:sz="5" w:space="0" w:color="000000"/>
              <w:left w:val="single" w:sz="5" w:space="0" w:color="000000"/>
              <w:right w:val="single" w:sz="5" w:space="0" w:color="000000"/>
            </w:tcBorders>
          </w:tcPr>
          <w:p w14:paraId="1DAAA9E7"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744B68B"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20a</w:t>
            </w:r>
          </w:p>
        </w:tc>
        <w:tc>
          <w:tcPr>
            <w:tcW w:w="11745" w:type="dxa"/>
            <w:tcBorders>
              <w:top w:val="single" w:sz="5" w:space="0" w:color="000000"/>
              <w:left w:val="single" w:sz="5" w:space="0" w:color="000000"/>
              <w:bottom w:val="single" w:sz="5" w:space="0" w:color="000000"/>
              <w:right w:val="single" w:sz="5" w:space="0" w:color="000000"/>
            </w:tcBorders>
          </w:tcPr>
          <w:p w14:paraId="621BD21A"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05826F4"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n/a</w:t>
            </w:r>
          </w:p>
        </w:tc>
      </w:tr>
      <w:tr w:rsidR="00BE4ECD" w:rsidRPr="00BE4ECD" w14:paraId="7EFD7D89" w14:textId="77777777" w:rsidTr="00E564C0">
        <w:trPr>
          <w:trHeight w:val="203"/>
        </w:trPr>
        <w:tc>
          <w:tcPr>
            <w:tcW w:w="1668" w:type="dxa"/>
            <w:vMerge/>
            <w:tcBorders>
              <w:left w:val="single" w:sz="5" w:space="0" w:color="000000"/>
              <w:right w:val="single" w:sz="5" w:space="0" w:color="000000"/>
            </w:tcBorders>
          </w:tcPr>
          <w:p w14:paraId="693188E4" w14:textId="77777777" w:rsidR="00BE4ECD" w:rsidRPr="00BE4ECD" w:rsidRDefault="00BE4ECD" w:rsidP="00E564C0">
            <w:pPr>
              <w:pStyle w:val="Default"/>
              <w:spacing w:before="40" w:after="40"/>
              <w:rPr>
                <w:rFonts w:ascii="Times New Roman" w:hAnsi="Times New Roman" w:cs="Times New Roman"/>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2C5D8253"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20b</w:t>
            </w:r>
          </w:p>
        </w:tc>
        <w:tc>
          <w:tcPr>
            <w:tcW w:w="11745" w:type="dxa"/>
            <w:tcBorders>
              <w:top w:val="single" w:sz="5" w:space="0" w:color="000000"/>
              <w:left w:val="single" w:sz="5" w:space="0" w:color="000000"/>
              <w:bottom w:val="single" w:sz="5" w:space="0" w:color="000000"/>
              <w:right w:val="single" w:sz="5" w:space="0" w:color="000000"/>
            </w:tcBorders>
          </w:tcPr>
          <w:p w14:paraId="1A5D686C"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0C7BA88A"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Pages 6-8</w:t>
            </w:r>
          </w:p>
        </w:tc>
      </w:tr>
      <w:tr w:rsidR="00BE4ECD" w:rsidRPr="00BE4ECD" w14:paraId="25CECF8B" w14:textId="77777777" w:rsidTr="00E564C0">
        <w:trPr>
          <w:trHeight w:val="48"/>
        </w:trPr>
        <w:tc>
          <w:tcPr>
            <w:tcW w:w="1668" w:type="dxa"/>
            <w:vMerge/>
            <w:tcBorders>
              <w:left w:val="single" w:sz="5" w:space="0" w:color="000000"/>
              <w:right w:val="single" w:sz="5" w:space="0" w:color="000000"/>
            </w:tcBorders>
          </w:tcPr>
          <w:p w14:paraId="5DC5F4F1" w14:textId="77777777" w:rsidR="00BE4ECD" w:rsidRPr="00BE4ECD" w:rsidRDefault="00BE4ECD" w:rsidP="00E564C0">
            <w:pPr>
              <w:pStyle w:val="Default"/>
              <w:spacing w:before="40" w:after="40"/>
              <w:rPr>
                <w:rFonts w:ascii="Times New Roman" w:hAnsi="Times New Roman" w:cs="Times New Roman"/>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0E52AB47"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20c</w:t>
            </w:r>
          </w:p>
        </w:tc>
        <w:tc>
          <w:tcPr>
            <w:tcW w:w="11745" w:type="dxa"/>
            <w:tcBorders>
              <w:top w:val="single" w:sz="5" w:space="0" w:color="000000"/>
              <w:left w:val="single" w:sz="5" w:space="0" w:color="000000"/>
              <w:bottom w:val="single" w:sz="5" w:space="0" w:color="000000"/>
              <w:right w:val="single" w:sz="5" w:space="0" w:color="000000"/>
            </w:tcBorders>
          </w:tcPr>
          <w:p w14:paraId="14818196"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7551336"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n/a</w:t>
            </w:r>
          </w:p>
        </w:tc>
      </w:tr>
      <w:tr w:rsidR="00BE4ECD" w:rsidRPr="00BE4ECD" w14:paraId="71CD2B74" w14:textId="77777777" w:rsidTr="00E564C0">
        <w:trPr>
          <w:trHeight w:val="48"/>
        </w:trPr>
        <w:tc>
          <w:tcPr>
            <w:tcW w:w="1668" w:type="dxa"/>
            <w:vMerge/>
            <w:tcBorders>
              <w:left w:val="single" w:sz="5" w:space="0" w:color="000000"/>
              <w:bottom w:val="single" w:sz="5" w:space="0" w:color="000000"/>
              <w:right w:val="single" w:sz="5" w:space="0" w:color="000000"/>
            </w:tcBorders>
          </w:tcPr>
          <w:p w14:paraId="09FCC192" w14:textId="77777777" w:rsidR="00BE4ECD" w:rsidRPr="00BE4ECD" w:rsidRDefault="00BE4ECD" w:rsidP="00E564C0">
            <w:pPr>
              <w:pStyle w:val="Default"/>
              <w:spacing w:before="40" w:after="40"/>
              <w:rPr>
                <w:rFonts w:ascii="Times New Roman" w:hAnsi="Times New Roman" w:cs="Times New Roman"/>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409AA8C0"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20d</w:t>
            </w:r>
          </w:p>
        </w:tc>
        <w:tc>
          <w:tcPr>
            <w:tcW w:w="11745" w:type="dxa"/>
            <w:tcBorders>
              <w:top w:val="single" w:sz="5" w:space="0" w:color="000000"/>
              <w:left w:val="single" w:sz="5" w:space="0" w:color="000000"/>
              <w:bottom w:val="single" w:sz="5" w:space="0" w:color="000000"/>
              <w:right w:val="single" w:sz="5" w:space="0" w:color="000000"/>
            </w:tcBorders>
          </w:tcPr>
          <w:p w14:paraId="084895C3"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3A5FC4E"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n/a</w:t>
            </w:r>
          </w:p>
        </w:tc>
      </w:tr>
      <w:tr w:rsidR="00BE4ECD" w:rsidRPr="00BE4ECD" w14:paraId="258AC219" w14:textId="77777777" w:rsidTr="00E564C0">
        <w:trPr>
          <w:trHeight w:val="48"/>
        </w:trPr>
        <w:tc>
          <w:tcPr>
            <w:tcW w:w="1668" w:type="dxa"/>
            <w:tcBorders>
              <w:top w:val="single" w:sz="5" w:space="0" w:color="000000"/>
              <w:left w:val="single" w:sz="5" w:space="0" w:color="000000"/>
              <w:bottom w:val="single" w:sz="5" w:space="0" w:color="000000"/>
              <w:right w:val="single" w:sz="5" w:space="0" w:color="000000"/>
            </w:tcBorders>
          </w:tcPr>
          <w:p w14:paraId="6708E94A"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lastRenderedPageBreak/>
              <w:t>Reporting biases</w:t>
            </w:r>
          </w:p>
        </w:tc>
        <w:tc>
          <w:tcPr>
            <w:tcW w:w="587" w:type="dxa"/>
            <w:tcBorders>
              <w:top w:val="single" w:sz="5" w:space="0" w:color="000000"/>
              <w:left w:val="single" w:sz="5" w:space="0" w:color="000000"/>
              <w:bottom w:val="single" w:sz="5" w:space="0" w:color="000000"/>
              <w:right w:val="single" w:sz="5" w:space="0" w:color="000000"/>
            </w:tcBorders>
          </w:tcPr>
          <w:p w14:paraId="5BEAA827"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21</w:t>
            </w:r>
          </w:p>
        </w:tc>
        <w:tc>
          <w:tcPr>
            <w:tcW w:w="11745" w:type="dxa"/>
            <w:tcBorders>
              <w:top w:val="single" w:sz="5" w:space="0" w:color="000000"/>
              <w:left w:val="single" w:sz="5" w:space="0" w:color="000000"/>
              <w:bottom w:val="single" w:sz="5" w:space="0" w:color="000000"/>
              <w:right w:val="single" w:sz="5" w:space="0" w:color="000000"/>
            </w:tcBorders>
          </w:tcPr>
          <w:p w14:paraId="5441CC10"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7B3E713A"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n/a</w:t>
            </w:r>
          </w:p>
        </w:tc>
      </w:tr>
      <w:tr w:rsidR="00BE4ECD" w:rsidRPr="00BE4ECD" w14:paraId="087CD80B" w14:textId="77777777" w:rsidTr="00E564C0">
        <w:trPr>
          <w:trHeight w:val="48"/>
        </w:trPr>
        <w:tc>
          <w:tcPr>
            <w:tcW w:w="1668" w:type="dxa"/>
            <w:tcBorders>
              <w:top w:val="single" w:sz="5" w:space="0" w:color="000000"/>
              <w:left w:val="single" w:sz="5" w:space="0" w:color="000000"/>
              <w:bottom w:val="single" w:sz="5" w:space="0" w:color="000000"/>
              <w:right w:val="single" w:sz="5" w:space="0" w:color="000000"/>
            </w:tcBorders>
          </w:tcPr>
          <w:p w14:paraId="5744EE81"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A7EB843"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22</w:t>
            </w:r>
          </w:p>
        </w:tc>
        <w:tc>
          <w:tcPr>
            <w:tcW w:w="11745" w:type="dxa"/>
            <w:tcBorders>
              <w:top w:val="single" w:sz="5" w:space="0" w:color="000000"/>
              <w:left w:val="single" w:sz="5" w:space="0" w:color="000000"/>
              <w:bottom w:val="single" w:sz="5" w:space="0" w:color="000000"/>
              <w:right w:val="single" w:sz="5" w:space="0" w:color="000000"/>
            </w:tcBorders>
          </w:tcPr>
          <w:p w14:paraId="3A6F9D4F"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66F2B7AA"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n/a</w:t>
            </w:r>
          </w:p>
        </w:tc>
      </w:tr>
      <w:tr w:rsidR="00BE4ECD" w:rsidRPr="00BE4ECD" w14:paraId="15AF4624" w14:textId="77777777" w:rsidTr="00E564C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78C4F6" w14:textId="77777777" w:rsidR="00BE4ECD" w:rsidRPr="00BE4ECD" w:rsidRDefault="00BE4ECD" w:rsidP="00E564C0">
            <w:pPr>
              <w:pStyle w:val="Default"/>
              <w:rPr>
                <w:rFonts w:ascii="Times New Roman" w:hAnsi="Times New Roman" w:cs="Times New Roman"/>
                <w:sz w:val="20"/>
                <w:szCs w:val="20"/>
              </w:rPr>
            </w:pPr>
            <w:r w:rsidRPr="00BE4ECD">
              <w:rPr>
                <w:rFonts w:ascii="Times New Roman" w:hAnsi="Times New Roman" w:cs="Times New Roman"/>
                <w:b/>
                <w:bCs/>
                <w:sz w:val="20"/>
                <w:szCs w:val="20"/>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C28D63B" w14:textId="77777777" w:rsidR="00BE4ECD" w:rsidRPr="00BE4ECD" w:rsidRDefault="00BE4ECD" w:rsidP="00E564C0">
            <w:pPr>
              <w:pStyle w:val="Default"/>
              <w:jc w:val="center"/>
              <w:rPr>
                <w:rFonts w:ascii="Times New Roman" w:hAnsi="Times New Roman" w:cs="Times New Roman"/>
                <w:color w:val="auto"/>
                <w:sz w:val="20"/>
                <w:szCs w:val="20"/>
              </w:rPr>
            </w:pPr>
          </w:p>
        </w:tc>
      </w:tr>
      <w:tr w:rsidR="00BE4ECD" w:rsidRPr="00BE4ECD" w14:paraId="6CEBCC57" w14:textId="77777777" w:rsidTr="00E564C0">
        <w:trPr>
          <w:trHeight w:val="48"/>
        </w:trPr>
        <w:tc>
          <w:tcPr>
            <w:tcW w:w="1668" w:type="dxa"/>
            <w:vMerge w:val="restart"/>
            <w:tcBorders>
              <w:top w:val="single" w:sz="5" w:space="0" w:color="000000"/>
              <w:left w:val="single" w:sz="5" w:space="0" w:color="000000"/>
              <w:right w:val="single" w:sz="5" w:space="0" w:color="000000"/>
            </w:tcBorders>
          </w:tcPr>
          <w:p w14:paraId="0022891B"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7F282DC"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23a</w:t>
            </w:r>
          </w:p>
        </w:tc>
        <w:tc>
          <w:tcPr>
            <w:tcW w:w="11745" w:type="dxa"/>
            <w:tcBorders>
              <w:top w:val="single" w:sz="5" w:space="0" w:color="000000"/>
              <w:left w:val="single" w:sz="5" w:space="0" w:color="000000"/>
              <w:bottom w:val="single" w:sz="5" w:space="0" w:color="000000"/>
              <w:right w:val="single" w:sz="5" w:space="0" w:color="000000"/>
            </w:tcBorders>
          </w:tcPr>
          <w:p w14:paraId="3D9318A7"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4F2581A7"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Pages 13-16</w:t>
            </w:r>
          </w:p>
        </w:tc>
      </w:tr>
      <w:tr w:rsidR="00BE4ECD" w:rsidRPr="00BE4ECD" w14:paraId="22399DE9" w14:textId="77777777" w:rsidTr="00E564C0">
        <w:trPr>
          <w:trHeight w:val="48"/>
        </w:trPr>
        <w:tc>
          <w:tcPr>
            <w:tcW w:w="1668" w:type="dxa"/>
            <w:vMerge/>
            <w:tcBorders>
              <w:left w:val="single" w:sz="5" w:space="0" w:color="000000"/>
              <w:right w:val="single" w:sz="5" w:space="0" w:color="000000"/>
            </w:tcBorders>
          </w:tcPr>
          <w:p w14:paraId="2D0B1C4B" w14:textId="77777777" w:rsidR="00BE4ECD" w:rsidRPr="00BE4ECD" w:rsidRDefault="00BE4ECD" w:rsidP="00E564C0">
            <w:pPr>
              <w:pStyle w:val="Default"/>
              <w:spacing w:before="40" w:after="40"/>
              <w:rPr>
                <w:rFonts w:ascii="Times New Roman" w:hAnsi="Times New Roman" w:cs="Times New Roman"/>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1E49384C"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23b</w:t>
            </w:r>
          </w:p>
        </w:tc>
        <w:tc>
          <w:tcPr>
            <w:tcW w:w="11745" w:type="dxa"/>
            <w:tcBorders>
              <w:top w:val="single" w:sz="5" w:space="0" w:color="000000"/>
              <w:left w:val="single" w:sz="5" w:space="0" w:color="000000"/>
              <w:bottom w:val="single" w:sz="5" w:space="0" w:color="000000"/>
              <w:right w:val="single" w:sz="5" w:space="0" w:color="000000"/>
            </w:tcBorders>
          </w:tcPr>
          <w:p w14:paraId="7A018749"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27AFE6E5"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 16</w:t>
            </w:r>
          </w:p>
        </w:tc>
      </w:tr>
      <w:tr w:rsidR="00BE4ECD" w:rsidRPr="00BE4ECD" w14:paraId="5B838547" w14:textId="77777777" w:rsidTr="00E564C0">
        <w:trPr>
          <w:trHeight w:val="48"/>
        </w:trPr>
        <w:tc>
          <w:tcPr>
            <w:tcW w:w="1668" w:type="dxa"/>
            <w:vMerge/>
            <w:tcBorders>
              <w:left w:val="single" w:sz="5" w:space="0" w:color="000000"/>
              <w:right w:val="single" w:sz="5" w:space="0" w:color="000000"/>
            </w:tcBorders>
          </w:tcPr>
          <w:p w14:paraId="176BA866" w14:textId="77777777" w:rsidR="00BE4ECD" w:rsidRPr="00BE4ECD" w:rsidRDefault="00BE4ECD" w:rsidP="00E564C0">
            <w:pPr>
              <w:pStyle w:val="Default"/>
              <w:spacing w:before="40" w:after="40"/>
              <w:rPr>
                <w:rFonts w:ascii="Times New Roman" w:hAnsi="Times New Roman" w:cs="Times New Roman"/>
                <w:sz w:val="20"/>
                <w:szCs w:val="20"/>
              </w:rPr>
            </w:pPr>
          </w:p>
        </w:tc>
        <w:tc>
          <w:tcPr>
            <w:tcW w:w="587" w:type="dxa"/>
            <w:tcBorders>
              <w:top w:val="single" w:sz="5" w:space="0" w:color="000000"/>
              <w:left w:val="single" w:sz="5" w:space="0" w:color="000000"/>
              <w:bottom w:val="single" w:sz="4" w:space="0" w:color="auto"/>
              <w:right w:val="single" w:sz="5" w:space="0" w:color="000000"/>
            </w:tcBorders>
          </w:tcPr>
          <w:p w14:paraId="1827FFBD"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23c</w:t>
            </w:r>
          </w:p>
        </w:tc>
        <w:tc>
          <w:tcPr>
            <w:tcW w:w="11745" w:type="dxa"/>
            <w:tcBorders>
              <w:top w:val="single" w:sz="5" w:space="0" w:color="000000"/>
              <w:left w:val="single" w:sz="5" w:space="0" w:color="000000"/>
              <w:bottom w:val="single" w:sz="5" w:space="0" w:color="000000"/>
              <w:right w:val="single" w:sz="5" w:space="0" w:color="000000"/>
            </w:tcBorders>
          </w:tcPr>
          <w:p w14:paraId="518AAF5B"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0760AA7"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 16</w:t>
            </w:r>
          </w:p>
        </w:tc>
      </w:tr>
      <w:tr w:rsidR="00BE4ECD" w:rsidRPr="00BE4ECD" w14:paraId="5716EAE5" w14:textId="77777777" w:rsidTr="00E564C0">
        <w:trPr>
          <w:trHeight w:val="48"/>
        </w:trPr>
        <w:tc>
          <w:tcPr>
            <w:tcW w:w="1668" w:type="dxa"/>
            <w:vMerge/>
            <w:tcBorders>
              <w:left w:val="single" w:sz="5" w:space="0" w:color="000000"/>
              <w:bottom w:val="single" w:sz="4" w:space="0" w:color="auto"/>
              <w:right w:val="single" w:sz="5" w:space="0" w:color="000000"/>
            </w:tcBorders>
          </w:tcPr>
          <w:p w14:paraId="5F9CE21D" w14:textId="77777777" w:rsidR="00BE4ECD" w:rsidRPr="00BE4ECD" w:rsidRDefault="00BE4ECD" w:rsidP="00E564C0">
            <w:pPr>
              <w:pStyle w:val="Default"/>
              <w:spacing w:before="40" w:after="40"/>
              <w:rPr>
                <w:rFonts w:ascii="Times New Roman" w:hAnsi="Times New Roman" w:cs="Times New Roman"/>
                <w:sz w:val="20"/>
                <w:szCs w:val="20"/>
              </w:rPr>
            </w:pPr>
          </w:p>
        </w:tc>
        <w:tc>
          <w:tcPr>
            <w:tcW w:w="587" w:type="dxa"/>
            <w:tcBorders>
              <w:top w:val="single" w:sz="4" w:space="0" w:color="auto"/>
              <w:left w:val="single" w:sz="5" w:space="0" w:color="000000"/>
              <w:bottom w:val="single" w:sz="4" w:space="0" w:color="auto"/>
              <w:right w:val="single" w:sz="4" w:space="0" w:color="auto"/>
            </w:tcBorders>
          </w:tcPr>
          <w:p w14:paraId="209B4CE7"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23d</w:t>
            </w:r>
          </w:p>
        </w:tc>
        <w:tc>
          <w:tcPr>
            <w:tcW w:w="11745" w:type="dxa"/>
            <w:tcBorders>
              <w:top w:val="single" w:sz="5" w:space="0" w:color="000000"/>
              <w:left w:val="single" w:sz="4" w:space="0" w:color="auto"/>
              <w:bottom w:val="double" w:sz="5" w:space="0" w:color="000000"/>
              <w:right w:val="single" w:sz="5" w:space="0" w:color="000000"/>
            </w:tcBorders>
          </w:tcPr>
          <w:p w14:paraId="00E1EFA5"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6B3497B"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Pages 16-17</w:t>
            </w:r>
          </w:p>
        </w:tc>
      </w:tr>
      <w:tr w:rsidR="00BE4ECD" w:rsidRPr="00BE4ECD" w14:paraId="7C9207F8" w14:textId="77777777" w:rsidTr="00E564C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53E381F" w14:textId="77777777" w:rsidR="00BE4ECD" w:rsidRPr="00BE4ECD" w:rsidRDefault="00BE4ECD" w:rsidP="00E564C0">
            <w:pPr>
              <w:pStyle w:val="Default"/>
              <w:rPr>
                <w:rFonts w:ascii="Times New Roman" w:hAnsi="Times New Roman" w:cs="Times New Roman"/>
                <w:sz w:val="20"/>
                <w:szCs w:val="20"/>
              </w:rPr>
            </w:pPr>
            <w:r w:rsidRPr="00BE4ECD">
              <w:rPr>
                <w:rFonts w:ascii="Times New Roman" w:hAnsi="Times New Roman" w:cs="Times New Roman"/>
                <w:b/>
                <w:bCs/>
                <w:sz w:val="20"/>
                <w:szCs w:val="20"/>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EFBCA70" w14:textId="77777777" w:rsidR="00BE4ECD" w:rsidRPr="00BE4ECD" w:rsidRDefault="00BE4ECD" w:rsidP="00E564C0">
            <w:pPr>
              <w:pStyle w:val="Default"/>
              <w:jc w:val="center"/>
              <w:rPr>
                <w:rFonts w:ascii="Times New Roman" w:hAnsi="Times New Roman" w:cs="Times New Roman"/>
                <w:color w:val="auto"/>
                <w:sz w:val="20"/>
                <w:szCs w:val="20"/>
              </w:rPr>
            </w:pPr>
          </w:p>
        </w:tc>
      </w:tr>
      <w:tr w:rsidR="00BE4ECD" w:rsidRPr="00BE4ECD" w14:paraId="48FF4FC2" w14:textId="77777777" w:rsidTr="00E564C0">
        <w:trPr>
          <w:trHeight w:val="48"/>
        </w:trPr>
        <w:tc>
          <w:tcPr>
            <w:tcW w:w="1668" w:type="dxa"/>
            <w:vMerge w:val="restart"/>
            <w:tcBorders>
              <w:top w:val="single" w:sz="5" w:space="0" w:color="000000"/>
              <w:left w:val="single" w:sz="5" w:space="0" w:color="000000"/>
              <w:right w:val="single" w:sz="5" w:space="0" w:color="000000"/>
            </w:tcBorders>
          </w:tcPr>
          <w:p w14:paraId="0948BAC5"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631CCD7"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24a</w:t>
            </w:r>
          </w:p>
        </w:tc>
        <w:tc>
          <w:tcPr>
            <w:tcW w:w="11745" w:type="dxa"/>
            <w:tcBorders>
              <w:top w:val="single" w:sz="5" w:space="0" w:color="000000"/>
              <w:left w:val="single" w:sz="5" w:space="0" w:color="000000"/>
              <w:bottom w:val="single" w:sz="5" w:space="0" w:color="000000"/>
              <w:right w:val="single" w:sz="5" w:space="0" w:color="000000"/>
            </w:tcBorders>
          </w:tcPr>
          <w:p w14:paraId="7F8C3390"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40A304E3"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n/a</w:t>
            </w:r>
          </w:p>
        </w:tc>
      </w:tr>
      <w:tr w:rsidR="00BE4ECD" w:rsidRPr="00BE4ECD" w14:paraId="139B8C66" w14:textId="77777777" w:rsidTr="00E564C0">
        <w:trPr>
          <w:trHeight w:val="57"/>
        </w:trPr>
        <w:tc>
          <w:tcPr>
            <w:tcW w:w="1668" w:type="dxa"/>
            <w:vMerge/>
            <w:tcBorders>
              <w:left w:val="single" w:sz="5" w:space="0" w:color="000000"/>
              <w:right w:val="single" w:sz="5" w:space="0" w:color="000000"/>
            </w:tcBorders>
          </w:tcPr>
          <w:p w14:paraId="05A39069" w14:textId="77777777" w:rsidR="00BE4ECD" w:rsidRPr="00BE4ECD" w:rsidRDefault="00BE4ECD" w:rsidP="00E564C0">
            <w:pPr>
              <w:pStyle w:val="Default"/>
              <w:spacing w:before="40" w:after="40"/>
              <w:rPr>
                <w:rFonts w:ascii="Times New Roman" w:hAnsi="Times New Roman" w:cs="Times New Roman"/>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6EE7B1D5"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24b</w:t>
            </w:r>
          </w:p>
        </w:tc>
        <w:tc>
          <w:tcPr>
            <w:tcW w:w="11745" w:type="dxa"/>
            <w:tcBorders>
              <w:top w:val="single" w:sz="5" w:space="0" w:color="000000"/>
              <w:left w:val="single" w:sz="5" w:space="0" w:color="000000"/>
              <w:bottom w:val="single" w:sz="5" w:space="0" w:color="000000"/>
              <w:right w:val="single" w:sz="5" w:space="0" w:color="000000"/>
            </w:tcBorders>
          </w:tcPr>
          <w:p w14:paraId="499E203B"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24747D5"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n/a</w:t>
            </w:r>
          </w:p>
        </w:tc>
      </w:tr>
      <w:tr w:rsidR="00BE4ECD" w:rsidRPr="00BE4ECD" w14:paraId="13FA449F" w14:textId="77777777" w:rsidTr="00E564C0">
        <w:trPr>
          <w:trHeight w:val="48"/>
        </w:trPr>
        <w:tc>
          <w:tcPr>
            <w:tcW w:w="1668" w:type="dxa"/>
            <w:vMerge/>
            <w:tcBorders>
              <w:left w:val="single" w:sz="5" w:space="0" w:color="000000"/>
              <w:bottom w:val="single" w:sz="5" w:space="0" w:color="000000"/>
              <w:right w:val="single" w:sz="5" w:space="0" w:color="000000"/>
            </w:tcBorders>
          </w:tcPr>
          <w:p w14:paraId="5165EC9C" w14:textId="77777777" w:rsidR="00BE4ECD" w:rsidRPr="00BE4ECD" w:rsidRDefault="00BE4ECD" w:rsidP="00E564C0">
            <w:pPr>
              <w:pStyle w:val="Default"/>
              <w:spacing w:before="40" w:after="40"/>
              <w:rPr>
                <w:rFonts w:ascii="Times New Roman" w:hAnsi="Times New Roman" w:cs="Times New Roman"/>
                <w:sz w:val="20"/>
                <w:szCs w:val="20"/>
              </w:rPr>
            </w:pPr>
          </w:p>
        </w:tc>
        <w:tc>
          <w:tcPr>
            <w:tcW w:w="587" w:type="dxa"/>
            <w:tcBorders>
              <w:top w:val="single" w:sz="5" w:space="0" w:color="000000"/>
              <w:left w:val="single" w:sz="5" w:space="0" w:color="000000"/>
              <w:bottom w:val="single" w:sz="5" w:space="0" w:color="000000"/>
              <w:right w:val="single" w:sz="5" w:space="0" w:color="000000"/>
            </w:tcBorders>
          </w:tcPr>
          <w:p w14:paraId="4E33086B"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24c</w:t>
            </w:r>
          </w:p>
        </w:tc>
        <w:tc>
          <w:tcPr>
            <w:tcW w:w="11745" w:type="dxa"/>
            <w:tcBorders>
              <w:top w:val="single" w:sz="5" w:space="0" w:color="000000"/>
              <w:left w:val="single" w:sz="5" w:space="0" w:color="000000"/>
              <w:bottom w:val="single" w:sz="5" w:space="0" w:color="000000"/>
              <w:right w:val="single" w:sz="5" w:space="0" w:color="000000"/>
            </w:tcBorders>
          </w:tcPr>
          <w:p w14:paraId="16D6D25B"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4A50AC99"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n/a</w:t>
            </w:r>
          </w:p>
        </w:tc>
      </w:tr>
      <w:tr w:rsidR="00BE4ECD" w:rsidRPr="00BE4ECD" w14:paraId="6ECE56C9" w14:textId="77777777" w:rsidTr="00E564C0">
        <w:trPr>
          <w:trHeight w:val="48"/>
        </w:trPr>
        <w:tc>
          <w:tcPr>
            <w:tcW w:w="1668" w:type="dxa"/>
            <w:tcBorders>
              <w:top w:val="single" w:sz="5" w:space="0" w:color="000000"/>
              <w:left w:val="single" w:sz="5" w:space="0" w:color="000000"/>
              <w:bottom w:val="single" w:sz="5" w:space="0" w:color="000000"/>
              <w:right w:val="single" w:sz="5" w:space="0" w:color="000000"/>
            </w:tcBorders>
          </w:tcPr>
          <w:p w14:paraId="032755D7"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Support</w:t>
            </w:r>
          </w:p>
        </w:tc>
        <w:tc>
          <w:tcPr>
            <w:tcW w:w="587" w:type="dxa"/>
            <w:tcBorders>
              <w:top w:val="single" w:sz="5" w:space="0" w:color="000000"/>
              <w:left w:val="single" w:sz="5" w:space="0" w:color="000000"/>
              <w:bottom w:val="single" w:sz="5" w:space="0" w:color="000000"/>
              <w:right w:val="single" w:sz="5" w:space="0" w:color="000000"/>
            </w:tcBorders>
          </w:tcPr>
          <w:p w14:paraId="1714D6ED"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25</w:t>
            </w:r>
          </w:p>
        </w:tc>
        <w:tc>
          <w:tcPr>
            <w:tcW w:w="11745" w:type="dxa"/>
            <w:tcBorders>
              <w:top w:val="single" w:sz="5" w:space="0" w:color="000000"/>
              <w:left w:val="single" w:sz="5" w:space="0" w:color="000000"/>
              <w:bottom w:val="single" w:sz="5" w:space="0" w:color="000000"/>
              <w:right w:val="single" w:sz="5" w:space="0" w:color="000000"/>
            </w:tcBorders>
          </w:tcPr>
          <w:p w14:paraId="1585EFF6"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4E535AC7"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n/a</w:t>
            </w:r>
          </w:p>
        </w:tc>
      </w:tr>
      <w:tr w:rsidR="00BE4ECD" w:rsidRPr="00BE4ECD" w14:paraId="53C6DF8A" w14:textId="77777777" w:rsidTr="00E564C0">
        <w:trPr>
          <w:trHeight w:val="48"/>
        </w:trPr>
        <w:tc>
          <w:tcPr>
            <w:tcW w:w="1668" w:type="dxa"/>
            <w:tcBorders>
              <w:top w:val="single" w:sz="5" w:space="0" w:color="000000"/>
              <w:left w:val="single" w:sz="5" w:space="0" w:color="000000"/>
              <w:bottom w:val="single" w:sz="5" w:space="0" w:color="000000"/>
              <w:right w:val="single" w:sz="5" w:space="0" w:color="000000"/>
            </w:tcBorders>
          </w:tcPr>
          <w:p w14:paraId="7CE45CB2"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5FC50648"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26</w:t>
            </w:r>
          </w:p>
        </w:tc>
        <w:tc>
          <w:tcPr>
            <w:tcW w:w="11745" w:type="dxa"/>
            <w:tcBorders>
              <w:top w:val="single" w:sz="5" w:space="0" w:color="000000"/>
              <w:left w:val="single" w:sz="5" w:space="0" w:color="000000"/>
              <w:bottom w:val="single" w:sz="5" w:space="0" w:color="000000"/>
              <w:right w:val="single" w:sz="5" w:space="0" w:color="000000"/>
            </w:tcBorders>
          </w:tcPr>
          <w:p w14:paraId="248EEE78"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1A5F442B"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n/a</w:t>
            </w:r>
          </w:p>
        </w:tc>
      </w:tr>
      <w:tr w:rsidR="00BE4ECD" w:rsidRPr="00BE4ECD" w14:paraId="2E39C71B" w14:textId="77777777" w:rsidTr="00E564C0">
        <w:trPr>
          <w:trHeight w:val="219"/>
        </w:trPr>
        <w:tc>
          <w:tcPr>
            <w:tcW w:w="1668" w:type="dxa"/>
            <w:tcBorders>
              <w:top w:val="single" w:sz="5" w:space="0" w:color="000000"/>
              <w:left w:val="single" w:sz="5" w:space="0" w:color="000000"/>
              <w:bottom w:val="double" w:sz="5" w:space="0" w:color="000000"/>
              <w:right w:val="single" w:sz="5" w:space="0" w:color="000000"/>
            </w:tcBorders>
          </w:tcPr>
          <w:p w14:paraId="0F7A9AA3"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D8B0919" w14:textId="77777777" w:rsidR="00BE4ECD" w:rsidRPr="00BE4ECD" w:rsidRDefault="00BE4ECD" w:rsidP="00E564C0">
            <w:pPr>
              <w:pStyle w:val="Default"/>
              <w:spacing w:before="40" w:after="40"/>
              <w:jc w:val="right"/>
              <w:rPr>
                <w:rFonts w:ascii="Times New Roman" w:hAnsi="Times New Roman" w:cs="Times New Roman"/>
                <w:sz w:val="20"/>
                <w:szCs w:val="20"/>
              </w:rPr>
            </w:pPr>
            <w:r w:rsidRPr="00BE4ECD">
              <w:rPr>
                <w:rFonts w:ascii="Times New Roman" w:hAnsi="Times New Roman" w:cs="Times New Roman"/>
                <w:sz w:val="20"/>
                <w:szCs w:val="20"/>
              </w:rPr>
              <w:t>27</w:t>
            </w:r>
          </w:p>
        </w:tc>
        <w:tc>
          <w:tcPr>
            <w:tcW w:w="11745" w:type="dxa"/>
            <w:tcBorders>
              <w:top w:val="single" w:sz="5" w:space="0" w:color="000000"/>
              <w:left w:val="single" w:sz="5" w:space="0" w:color="000000"/>
              <w:bottom w:val="double" w:sz="5" w:space="0" w:color="000000"/>
              <w:right w:val="single" w:sz="5" w:space="0" w:color="000000"/>
            </w:tcBorders>
          </w:tcPr>
          <w:p w14:paraId="09E8F288" w14:textId="77777777" w:rsidR="00BE4ECD" w:rsidRPr="00BE4ECD" w:rsidRDefault="00BE4ECD" w:rsidP="00E564C0">
            <w:pPr>
              <w:pStyle w:val="Default"/>
              <w:spacing w:before="40" w:after="40"/>
              <w:rPr>
                <w:rFonts w:ascii="Times New Roman" w:hAnsi="Times New Roman" w:cs="Times New Roman"/>
                <w:sz w:val="20"/>
                <w:szCs w:val="20"/>
              </w:rPr>
            </w:pPr>
            <w:r w:rsidRPr="00BE4ECD">
              <w:rPr>
                <w:rFonts w:ascii="Times New Roman" w:hAnsi="Times New Roman" w:cs="Times New Roman"/>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8ACF4D7" w14:textId="77777777" w:rsidR="00BE4ECD" w:rsidRPr="00BE4ECD" w:rsidRDefault="00BE4ECD" w:rsidP="00E564C0">
            <w:pPr>
              <w:pStyle w:val="Default"/>
              <w:spacing w:before="40" w:after="40"/>
              <w:rPr>
                <w:rFonts w:ascii="Times New Roman" w:hAnsi="Times New Roman" w:cs="Times New Roman"/>
                <w:color w:val="auto"/>
                <w:sz w:val="20"/>
                <w:szCs w:val="20"/>
              </w:rPr>
            </w:pPr>
            <w:r w:rsidRPr="00BE4ECD">
              <w:rPr>
                <w:rFonts w:ascii="Times New Roman" w:hAnsi="Times New Roman" w:cs="Times New Roman"/>
                <w:color w:val="auto"/>
                <w:sz w:val="20"/>
                <w:szCs w:val="20"/>
              </w:rPr>
              <w:t>n/a</w:t>
            </w:r>
          </w:p>
        </w:tc>
      </w:tr>
    </w:tbl>
    <w:p w14:paraId="799818F8" w14:textId="77777777" w:rsidR="00BE4ECD" w:rsidRPr="00BE4ECD" w:rsidRDefault="00BE4ECD" w:rsidP="00BE4ECD">
      <w:pPr>
        <w:rPr>
          <w:rFonts w:ascii="Times New Roman" w:hAnsi="Times New Roman" w:cs="Times New Roman"/>
        </w:rPr>
        <w:sectPr w:rsidR="00BE4ECD" w:rsidRPr="00BE4ECD" w:rsidSect="00157B39">
          <w:pgSz w:w="16838" w:h="11906" w:orient="landscape"/>
          <w:pgMar w:top="1440" w:right="1440" w:bottom="1440" w:left="851" w:header="708" w:footer="708" w:gutter="0"/>
          <w:cols w:space="708"/>
          <w:docGrid w:linePitch="360"/>
        </w:sectPr>
      </w:pPr>
    </w:p>
    <w:p w14:paraId="5B02CAD8" w14:textId="77777777" w:rsidR="00BE4ECD" w:rsidRPr="00BE4ECD" w:rsidRDefault="00BE4ECD" w:rsidP="00BE4ECD">
      <w:pPr>
        <w:rPr>
          <w:rFonts w:ascii="Times New Roman" w:hAnsi="Times New Roman" w:cs="Times New Roman"/>
        </w:rPr>
      </w:pPr>
    </w:p>
    <w:p w14:paraId="40CD6504" w14:textId="77777777" w:rsidR="00BE4ECD" w:rsidRPr="00BE4ECD" w:rsidRDefault="00BE4ECD">
      <w:pPr>
        <w:rPr>
          <w:rFonts w:ascii="Times New Roman" w:hAnsi="Times New Roman" w:cs="Times New Roman"/>
          <w:lang w:val="en-US"/>
        </w:rPr>
      </w:pPr>
    </w:p>
    <w:sectPr w:rsidR="00BE4ECD" w:rsidRPr="00BE4ECD" w:rsidSect="00157B3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ECD"/>
    <w:rsid w:val="000538EE"/>
    <w:rsid w:val="00157B39"/>
    <w:rsid w:val="00264C13"/>
    <w:rsid w:val="00650150"/>
    <w:rsid w:val="006A7CDF"/>
    <w:rsid w:val="008E17BA"/>
    <w:rsid w:val="00991673"/>
    <w:rsid w:val="009F169A"/>
    <w:rsid w:val="00A45059"/>
    <w:rsid w:val="00A50930"/>
    <w:rsid w:val="00B17199"/>
    <w:rsid w:val="00B74BD6"/>
    <w:rsid w:val="00BE4ECD"/>
    <w:rsid w:val="00CE7B23"/>
    <w:rsid w:val="00E502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0AA4A7E"/>
  <w15:chartTrackingRefBased/>
  <w15:docId w15:val="{D35A655D-CCE7-F24E-971D-42120E8B8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BE4ECD"/>
    <w:rPr>
      <w:color w:val="0563C1"/>
      <w:u w:val="single"/>
    </w:rPr>
  </w:style>
  <w:style w:type="character" w:styleId="Collegamentovisitato">
    <w:name w:val="FollowedHyperlink"/>
    <w:basedOn w:val="Carpredefinitoparagrafo"/>
    <w:uiPriority w:val="99"/>
    <w:semiHidden/>
    <w:unhideWhenUsed/>
    <w:rsid w:val="00BE4ECD"/>
    <w:rPr>
      <w:color w:val="954F72"/>
      <w:u w:val="single"/>
    </w:rPr>
  </w:style>
  <w:style w:type="paragraph" w:customStyle="1" w:styleId="msonormal0">
    <w:name w:val="msonormal"/>
    <w:basedOn w:val="Normale"/>
    <w:rsid w:val="00BE4ECD"/>
    <w:pPr>
      <w:spacing w:before="100" w:beforeAutospacing="1" w:after="100" w:afterAutospacing="1"/>
    </w:pPr>
    <w:rPr>
      <w:rFonts w:ascii="Times New Roman" w:eastAsia="Times New Roman" w:hAnsi="Times New Roman" w:cs="Times New Roman"/>
      <w:kern w:val="0"/>
      <w:lang w:eastAsia="it-IT"/>
      <w14:ligatures w14:val="none"/>
    </w:rPr>
  </w:style>
  <w:style w:type="paragraph" w:customStyle="1" w:styleId="font5">
    <w:name w:val="font5"/>
    <w:basedOn w:val="Normale"/>
    <w:rsid w:val="00BE4ECD"/>
    <w:pPr>
      <w:spacing w:before="100" w:beforeAutospacing="1" w:after="100" w:afterAutospacing="1"/>
    </w:pPr>
    <w:rPr>
      <w:rFonts w:ascii="Times New Roman" w:eastAsia="Times New Roman" w:hAnsi="Times New Roman" w:cs="Times New Roman"/>
      <w:i/>
      <w:iCs/>
      <w:color w:val="000000"/>
      <w:kern w:val="0"/>
      <w:sz w:val="18"/>
      <w:szCs w:val="18"/>
      <w:lang w:eastAsia="it-IT"/>
      <w14:ligatures w14:val="none"/>
    </w:rPr>
  </w:style>
  <w:style w:type="paragraph" w:customStyle="1" w:styleId="font6">
    <w:name w:val="font6"/>
    <w:basedOn w:val="Normale"/>
    <w:rsid w:val="00BE4ECD"/>
    <w:pPr>
      <w:spacing w:before="100" w:beforeAutospacing="1" w:after="100" w:afterAutospacing="1"/>
    </w:pPr>
    <w:rPr>
      <w:rFonts w:ascii="Symbol" w:eastAsia="Times New Roman" w:hAnsi="Symbol" w:cs="Times New Roman"/>
      <w:i/>
      <w:iCs/>
      <w:color w:val="70AD47"/>
      <w:kern w:val="0"/>
      <w:lang w:eastAsia="it-IT"/>
      <w14:ligatures w14:val="none"/>
    </w:rPr>
  </w:style>
  <w:style w:type="paragraph" w:customStyle="1" w:styleId="font7">
    <w:name w:val="font7"/>
    <w:basedOn w:val="Normale"/>
    <w:rsid w:val="00BE4ECD"/>
    <w:pPr>
      <w:spacing w:before="100" w:beforeAutospacing="1" w:after="100" w:afterAutospacing="1"/>
    </w:pPr>
    <w:rPr>
      <w:rFonts w:ascii="Times New Roman" w:eastAsia="Times New Roman" w:hAnsi="Times New Roman" w:cs="Times New Roman"/>
      <w:i/>
      <w:iCs/>
      <w:color w:val="000000"/>
      <w:kern w:val="0"/>
      <w:sz w:val="18"/>
      <w:szCs w:val="18"/>
      <w:lang w:eastAsia="it-IT"/>
      <w14:ligatures w14:val="none"/>
    </w:rPr>
  </w:style>
  <w:style w:type="paragraph" w:customStyle="1" w:styleId="font8">
    <w:name w:val="font8"/>
    <w:basedOn w:val="Normale"/>
    <w:rsid w:val="00BE4ECD"/>
    <w:pPr>
      <w:spacing w:before="100" w:beforeAutospacing="1" w:after="100" w:afterAutospacing="1"/>
    </w:pPr>
    <w:rPr>
      <w:rFonts w:ascii="Symbol" w:eastAsia="Times New Roman" w:hAnsi="Symbol" w:cs="Times New Roman"/>
      <w:i/>
      <w:iCs/>
      <w:color w:val="FF0000"/>
      <w:kern w:val="0"/>
      <w:lang w:eastAsia="it-IT"/>
      <w14:ligatures w14:val="none"/>
    </w:rPr>
  </w:style>
  <w:style w:type="paragraph" w:customStyle="1" w:styleId="font9">
    <w:name w:val="font9"/>
    <w:basedOn w:val="Normale"/>
    <w:rsid w:val="00BE4ECD"/>
    <w:pPr>
      <w:spacing w:before="100" w:beforeAutospacing="1" w:after="100" w:afterAutospacing="1"/>
    </w:pPr>
    <w:rPr>
      <w:rFonts w:ascii="Times New Roman" w:eastAsia="Times New Roman" w:hAnsi="Times New Roman" w:cs="Times New Roman"/>
      <w:i/>
      <w:iCs/>
      <w:color w:val="FF0000"/>
      <w:kern w:val="0"/>
      <w:sz w:val="18"/>
      <w:szCs w:val="18"/>
      <w:lang w:eastAsia="it-IT"/>
      <w14:ligatures w14:val="none"/>
    </w:rPr>
  </w:style>
  <w:style w:type="paragraph" w:customStyle="1" w:styleId="font10">
    <w:name w:val="font10"/>
    <w:basedOn w:val="Normale"/>
    <w:rsid w:val="00BE4ECD"/>
    <w:pPr>
      <w:spacing w:before="100" w:beforeAutospacing="1" w:after="100" w:afterAutospacing="1"/>
    </w:pPr>
    <w:rPr>
      <w:rFonts w:ascii="Symbol" w:eastAsia="Times New Roman" w:hAnsi="Symbol" w:cs="Times New Roman"/>
      <w:i/>
      <w:iCs/>
      <w:color w:val="FFC000"/>
      <w:kern w:val="0"/>
      <w:lang w:eastAsia="it-IT"/>
      <w14:ligatures w14:val="none"/>
    </w:rPr>
  </w:style>
  <w:style w:type="paragraph" w:customStyle="1" w:styleId="font11">
    <w:name w:val="font11"/>
    <w:basedOn w:val="Normale"/>
    <w:rsid w:val="00BE4ECD"/>
    <w:pPr>
      <w:spacing w:before="100" w:beforeAutospacing="1" w:after="100" w:afterAutospacing="1"/>
    </w:pPr>
    <w:rPr>
      <w:rFonts w:ascii="Symbol" w:eastAsia="Times New Roman" w:hAnsi="Symbol" w:cs="Times New Roman"/>
      <w:i/>
      <w:iCs/>
      <w:color w:val="000000"/>
      <w:kern w:val="0"/>
      <w:lang w:eastAsia="it-IT"/>
      <w14:ligatures w14:val="none"/>
    </w:rPr>
  </w:style>
  <w:style w:type="paragraph" w:customStyle="1" w:styleId="xl63">
    <w:name w:val="xl63"/>
    <w:basedOn w:val="Normale"/>
    <w:rsid w:val="00BE4ECD"/>
    <w:pPr>
      <w:spacing w:before="100" w:beforeAutospacing="1" w:after="100" w:afterAutospacing="1"/>
      <w:textAlignment w:val="center"/>
    </w:pPr>
    <w:rPr>
      <w:rFonts w:ascii="Times New Roman" w:eastAsia="Times New Roman" w:hAnsi="Times New Roman" w:cs="Times New Roman"/>
      <w:kern w:val="0"/>
      <w:lang w:eastAsia="it-IT"/>
      <w14:ligatures w14:val="none"/>
    </w:rPr>
  </w:style>
  <w:style w:type="paragraph" w:customStyle="1" w:styleId="xl64">
    <w:name w:val="xl64"/>
    <w:basedOn w:val="Normale"/>
    <w:rsid w:val="00BE4ECD"/>
    <w:pPr>
      <w:spacing w:before="100" w:beforeAutospacing="1" w:after="100" w:afterAutospacing="1"/>
      <w:textAlignment w:val="top"/>
    </w:pPr>
    <w:rPr>
      <w:rFonts w:ascii="Times New Roman" w:eastAsia="Times New Roman" w:hAnsi="Times New Roman" w:cs="Times New Roman"/>
      <w:kern w:val="0"/>
      <w:lang w:eastAsia="it-IT"/>
      <w14:ligatures w14:val="none"/>
    </w:rPr>
  </w:style>
  <w:style w:type="paragraph" w:customStyle="1" w:styleId="xl65">
    <w:name w:val="xl65"/>
    <w:basedOn w:val="Normale"/>
    <w:rsid w:val="00BE4ECD"/>
    <w:pPr>
      <w:spacing w:before="100" w:beforeAutospacing="1" w:after="100" w:afterAutospacing="1"/>
      <w:textAlignment w:val="center"/>
    </w:pPr>
    <w:rPr>
      <w:rFonts w:ascii="Times New Roman" w:eastAsia="Times New Roman" w:hAnsi="Times New Roman" w:cs="Times New Roman"/>
      <w:i/>
      <w:iCs/>
      <w:color w:val="000000"/>
      <w:kern w:val="0"/>
      <w:sz w:val="18"/>
      <w:szCs w:val="18"/>
      <w:lang w:eastAsia="it-IT"/>
      <w14:ligatures w14:val="none"/>
    </w:rPr>
  </w:style>
  <w:style w:type="paragraph" w:customStyle="1" w:styleId="xl66">
    <w:name w:val="xl66"/>
    <w:basedOn w:val="Normale"/>
    <w:rsid w:val="00BE4ECD"/>
    <w:pPr>
      <w:spacing w:before="100" w:beforeAutospacing="1" w:after="100" w:afterAutospacing="1"/>
      <w:textAlignment w:val="center"/>
    </w:pPr>
    <w:rPr>
      <w:rFonts w:ascii="Times New Roman" w:eastAsia="Times New Roman" w:hAnsi="Times New Roman" w:cs="Times New Roman"/>
      <w:color w:val="000000"/>
      <w:kern w:val="0"/>
      <w:sz w:val="18"/>
      <w:szCs w:val="18"/>
      <w:lang w:eastAsia="it-IT"/>
      <w14:ligatures w14:val="none"/>
    </w:rPr>
  </w:style>
  <w:style w:type="paragraph" w:customStyle="1" w:styleId="xl67">
    <w:name w:val="xl67"/>
    <w:basedOn w:val="Normale"/>
    <w:rsid w:val="00BE4ECD"/>
    <w:pPr>
      <w:spacing w:before="100" w:beforeAutospacing="1" w:after="100" w:afterAutospacing="1"/>
    </w:pPr>
    <w:rPr>
      <w:rFonts w:ascii="Times New Roman" w:eastAsia="Times New Roman" w:hAnsi="Times New Roman" w:cs="Times New Roman"/>
      <w:kern w:val="0"/>
      <w:lang w:eastAsia="it-IT"/>
      <w14:ligatures w14:val="none"/>
    </w:rPr>
  </w:style>
  <w:style w:type="paragraph" w:customStyle="1" w:styleId="xl68">
    <w:name w:val="xl68"/>
    <w:basedOn w:val="Normale"/>
    <w:rsid w:val="00BE4ECD"/>
    <w:pPr>
      <w:pBdr>
        <w:bottom w:val="single" w:sz="8" w:space="0" w:color="auto"/>
      </w:pBdr>
      <w:spacing w:before="100" w:beforeAutospacing="1" w:after="100" w:afterAutospacing="1"/>
      <w:textAlignment w:val="center"/>
    </w:pPr>
    <w:rPr>
      <w:rFonts w:ascii="Times New Roman" w:eastAsia="Times New Roman" w:hAnsi="Times New Roman" w:cs="Times New Roman"/>
      <w:color w:val="000000"/>
      <w:kern w:val="0"/>
      <w:sz w:val="18"/>
      <w:szCs w:val="18"/>
      <w:lang w:eastAsia="it-IT"/>
      <w14:ligatures w14:val="none"/>
    </w:rPr>
  </w:style>
  <w:style w:type="paragraph" w:customStyle="1" w:styleId="xl69">
    <w:name w:val="xl69"/>
    <w:basedOn w:val="Normale"/>
    <w:rsid w:val="00BE4ECD"/>
    <w:pPr>
      <w:pBdr>
        <w:bottom w:val="single" w:sz="8" w:space="0" w:color="auto"/>
      </w:pBdr>
      <w:spacing w:before="100" w:beforeAutospacing="1" w:after="100" w:afterAutospacing="1"/>
    </w:pPr>
    <w:rPr>
      <w:rFonts w:ascii="Times New Roman" w:eastAsia="Times New Roman" w:hAnsi="Times New Roman" w:cs="Times New Roman"/>
      <w:kern w:val="0"/>
      <w:lang w:eastAsia="it-IT"/>
      <w14:ligatures w14:val="none"/>
    </w:rPr>
  </w:style>
  <w:style w:type="paragraph" w:customStyle="1" w:styleId="xl70">
    <w:name w:val="xl70"/>
    <w:basedOn w:val="Normale"/>
    <w:rsid w:val="00BE4ECD"/>
    <w:pPr>
      <w:pBdr>
        <w:top w:val="single" w:sz="8" w:space="0" w:color="auto"/>
      </w:pBdr>
      <w:spacing w:before="100" w:beforeAutospacing="1" w:after="100" w:afterAutospacing="1"/>
      <w:textAlignment w:val="center"/>
    </w:pPr>
    <w:rPr>
      <w:rFonts w:ascii="Times New Roman" w:eastAsia="Times New Roman" w:hAnsi="Times New Roman" w:cs="Times New Roman"/>
      <w:b/>
      <w:bCs/>
      <w:color w:val="000000"/>
      <w:kern w:val="0"/>
      <w:sz w:val="16"/>
      <w:szCs w:val="16"/>
      <w:lang w:eastAsia="it-IT"/>
      <w14:ligatures w14:val="none"/>
    </w:rPr>
  </w:style>
  <w:style w:type="paragraph" w:customStyle="1" w:styleId="xl71">
    <w:name w:val="xl71"/>
    <w:basedOn w:val="Normale"/>
    <w:rsid w:val="00BE4ECD"/>
    <w:pPr>
      <w:pBdr>
        <w:top w:val="single" w:sz="8" w:space="0" w:color="auto"/>
      </w:pBdr>
      <w:spacing w:before="100" w:beforeAutospacing="1" w:after="100" w:afterAutospacing="1"/>
      <w:textAlignment w:val="center"/>
    </w:pPr>
    <w:rPr>
      <w:rFonts w:ascii="Times New Roman" w:eastAsia="Times New Roman" w:hAnsi="Times New Roman" w:cs="Times New Roman"/>
      <w:b/>
      <w:bCs/>
      <w:color w:val="000000"/>
      <w:kern w:val="0"/>
      <w:sz w:val="18"/>
      <w:szCs w:val="18"/>
      <w:lang w:eastAsia="it-IT"/>
      <w14:ligatures w14:val="none"/>
    </w:rPr>
  </w:style>
  <w:style w:type="paragraph" w:customStyle="1" w:styleId="xl72">
    <w:name w:val="xl72"/>
    <w:basedOn w:val="Normale"/>
    <w:rsid w:val="00BE4ECD"/>
    <w:pPr>
      <w:pBdr>
        <w:top w:val="single" w:sz="8" w:space="0" w:color="auto"/>
      </w:pBdr>
      <w:spacing w:before="100" w:beforeAutospacing="1" w:after="100" w:afterAutospacing="1"/>
      <w:textAlignment w:val="center"/>
    </w:pPr>
    <w:rPr>
      <w:rFonts w:ascii="Times New Roman" w:eastAsia="Times New Roman" w:hAnsi="Times New Roman" w:cs="Times New Roman"/>
      <w:b/>
      <w:bCs/>
      <w:color w:val="000000"/>
      <w:kern w:val="0"/>
      <w:sz w:val="16"/>
      <w:szCs w:val="16"/>
      <w:lang w:eastAsia="it-IT"/>
      <w14:ligatures w14:val="none"/>
    </w:rPr>
  </w:style>
  <w:style w:type="paragraph" w:customStyle="1" w:styleId="xl73">
    <w:name w:val="xl73"/>
    <w:basedOn w:val="Normale"/>
    <w:rsid w:val="00BE4E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kern w:val="0"/>
      <w:sz w:val="16"/>
      <w:szCs w:val="16"/>
      <w:lang w:eastAsia="it-IT"/>
      <w14:ligatures w14:val="none"/>
    </w:rPr>
  </w:style>
  <w:style w:type="paragraph" w:customStyle="1" w:styleId="xl74">
    <w:name w:val="xl74"/>
    <w:basedOn w:val="Normale"/>
    <w:rsid w:val="00BE4E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mbol" w:eastAsia="Times New Roman" w:hAnsi="Symbol" w:cs="Times New Roman"/>
      <w:color w:val="FFC000"/>
      <w:kern w:val="0"/>
      <w:sz w:val="44"/>
      <w:szCs w:val="44"/>
      <w:lang w:eastAsia="it-IT"/>
      <w14:ligatures w14:val="none"/>
    </w:rPr>
  </w:style>
  <w:style w:type="paragraph" w:customStyle="1" w:styleId="xl75">
    <w:name w:val="xl75"/>
    <w:basedOn w:val="Normale"/>
    <w:rsid w:val="00BE4E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mbol" w:eastAsia="Times New Roman" w:hAnsi="Symbol" w:cs="Times New Roman"/>
      <w:color w:val="70AD47"/>
      <w:kern w:val="0"/>
      <w:sz w:val="44"/>
      <w:szCs w:val="44"/>
      <w:lang w:eastAsia="it-IT"/>
      <w14:ligatures w14:val="none"/>
    </w:rPr>
  </w:style>
  <w:style w:type="paragraph" w:customStyle="1" w:styleId="xl76">
    <w:name w:val="xl76"/>
    <w:basedOn w:val="Normale"/>
    <w:rsid w:val="00BE4E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mbol" w:eastAsia="Times New Roman" w:hAnsi="Symbol" w:cs="Times New Roman"/>
      <w:kern w:val="0"/>
      <w:sz w:val="44"/>
      <w:szCs w:val="44"/>
      <w:lang w:eastAsia="it-IT"/>
      <w14:ligatures w14:val="none"/>
    </w:rPr>
  </w:style>
  <w:style w:type="paragraph" w:customStyle="1" w:styleId="xl77">
    <w:name w:val="xl77"/>
    <w:basedOn w:val="Normale"/>
    <w:rsid w:val="00BE4E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mbol" w:eastAsia="Times New Roman" w:hAnsi="Symbol" w:cs="Times New Roman"/>
      <w:color w:val="FF0000"/>
      <w:kern w:val="0"/>
      <w:sz w:val="44"/>
      <w:szCs w:val="44"/>
      <w:lang w:eastAsia="it-IT"/>
      <w14:ligatures w14:val="none"/>
    </w:rPr>
  </w:style>
  <w:style w:type="paragraph" w:customStyle="1" w:styleId="xl78">
    <w:name w:val="xl78"/>
    <w:basedOn w:val="Normale"/>
    <w:rsid w:val="00BE4ECD"/>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textAlignment w:val="center"/>
    </w:pPr>
    <w:rPr>
      <w:rFonts w:ascii="Times New Roman" w:eastAsia="Times New Roman" w:hAnsi="Times New Roman" w:cs="Times New Roman"/>
      <w:color w:val="000000"/>
      <w:kern w:val="0"/>
      <w:sz w:val="16"/>
      <w:szCs w:val="16"/>
      <w:lang w:eastAsia="it-IT"/>
      <w14:ligatures w14:val="none"/>
    </w:rPr>
  </w:style>
  <w:style w:type="paragraph" w:customStyle="1" w:styleId="xl79">
    <w:name w:val="xl79"/>
    <w:basedOn w:val="Normale"/>
    <w:rsid w:val="00BE4EC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eastAsia="it-IT"/>
      <w14:ligatures w14:val="none"/>
    </w:rPr>
  </w:style>
  <w:style w:type="paragraph" w:customStyle="1" w:styleId="xl80">
    <w:name w:val="xl80"/>
    <w:basedOn w:val="Normale"/>
    <w:rsid w:val="00BE4ECD"/>
    <w:pPr>
      <w:pBdr>
        <w:top w:val="single" w:sz="8" w:space="0" w:color="auto"/>
      </w:pBdr>
      <w:spacing w:before="100" w:beforeAutospacing="1" w:after="100" w:afterAutospacing="1"/>
      <w:textAlignment w:val="center"/>
    </w:pPr>
    <w:rPr>
      <w:rFonts w:ascii="Garamond" w:eastAsia="Times New Roman" w:hAnsi="Garamond" w:cs="Times New Roman"/>
      <w:b/>
      <w:bCs/>
      <w:color w:val="000000"/>
      <w:kern w:val="0"/>
      <w:sz w:val="16"/>
      <w:szCs w:val="16"/>
      <w:lang w:eastAsia="it-IT"/>
      <w14:ligatures w14:val="none"/>
    </w:rPr>
  </w:style>
  <w:style w:type="paragraph" w:customStyle="1" w:styleId="xl81">
    <w:name w:val="xl81"/>
    <w:basedOn w:val="Normale"/>
    <w:rsid w:val="00BE4E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kern w:val="0"/>
      <w:sz w:val="18"/>
      <w:szCs w:val="18"/>
      <w:lang w:eastAsia="it-IT"/>
      <w14:ligatures w14:val="none"/>
    </w:rPr>
  </w:style>
  <w:style w:type="paragraph" w:customStyle="1" w:styleId="xl82">
    <w:name w:val="xl82"/>
    <w:basedOn w:val="Normale"/>
    <w:rsid w:val="00BE4E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eastAsia="Times New Roman" w:hAnsi="Garamond" w:cs="Times New Roman"/>
      <w:color w:val="000000"/>
      <w:kern w:val="0"/>
      <w:sz w:val="16"/>
      <w:szCs w:val="16"/>
      <w:lang w:eastAsia="it-IT"/>
      <w14:ligatures w14:val="none"/>
    </w:rPr>
  </w:style>
  <w:style w:type="paragraph" w:customStyle="1" w:styleId="xl83">
    <w:name w:val="xl83"/>
    <w:basedOn w:val="Normale"/>
    <w:rsid w:val="00BE4ECD"/>
    <w:pPr>
      <w:spacing w:before="100" w:beforeAutospacing="1" w:after="100" w:afterAutospacing="1"/>
      <w:textAlignment w:val="center"/>
    </w:pPr>
    <w:rPr>
      <w:rFonts w:ascii="Times New Roman" w:eastAsia="Times New Roman" w:hAnsi="Times New Roman" w:cs="Times New Roman"/>
      <w:i/>
      <w:iCs/>
      <w:kern w:val="0"/>
      <w:sz w:val="18"/>
      <w:szCs w:val="18"/>
      <w:lang w:eastAsia="it-IT"/>
      <w14:ligatures w14:val="none"/>
    </w:rPr>
  </w:style>
  <w:style w:type="paragraph" w:customStyle="1" w:styleId="xl84">
    <w:name w:val="xl84"/>
    <w:basedOn w:val="Normale"/>
    <w:rsid w:val="00BE4EC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18"/>
      <w:szCs w:val="18"/>
      <w:lang w:eastAsia="it-IT"/>
      <w14:ligatures w14:val="none"/>
    </w:rPr>
  </w:style>
  <w:style w:type="paragraph" w:customStyle="1" w:styleId="xl85">
    <w:name w:val="xl85"/>
    <w:basedOn w:val="Normale"/>
    <w:rsid w:val="00BE4EC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kern w:val="0"/>
      <w:sz w:val="18"/>
      <w:szCs w:val="18"/>
      <w:lang w:eastAsia="it-IT"/>
      <w14:ligatures w14:val="none"/>
    </w:rPr>
  </w:style>
  <w:style w:type="paragraph" w:customStyle="1" w:styleId="xl86">
    <w:name w:val="xl86"/>
    <w:basedOn w:val="Normale"/>
    <w:rsid w:val="00BE4ECD"/>
    <w:pPr>
      <w:spacing w:before="100" w:beforeAutospacing="1" w:after="100" w:afterAutospacing="1"/>
    </w:pPr>
    <w:rPr>
      <w:rFonts w:ascii="Times New Roman" w:eastAsia="Times New Roman" w:hAnsi="Times New Roman" w:cs="Times New Roman"/>
      <w:kern w:val="0"/>
      <w:sz w:val="18"/>
      <w:szCs w:val="18"/>
      <w:lang w:eastAsia="it-IT"/>
      <w14:ligatures w14:val="none"/>
    </w:rPr>
  </w:style>
  <w:style w:type="paragraph" w:customStyle="1" w:styleId="xl87">
    <w:name w:val="xl87"/>
    <w:basedOn w:val="Normale"/>
    <w:rsid w:val="00BE4ECD"/>
    <w:pPr>
      <w:pBdr>
        <w:bottom w:val="single" w:sz="8" w:space="0" w:color="auto"/>
      </w:pBdr>
      <w:spacing w:before="100" w:beforeAutospacing="1" w:after="100" w:afterAutospacing="1"/>
      <w:textAlignment w:val="center"/>
    </w:pPr>
    <w:rPr>
      <w:rFonts w:ascii="Times New Roman" w:eastAsia="Times New Roman" w:hAnsi="Times New Roman" w:cs="Times New Roman"/>
      <w:kern w:val="0"/>
      <w:sz w:val="18"/>
      <w:szCs w:val="18"/>
      <w:lang w:eastAsia="it-IT"/>
      <w14:ligatures w14:val="none"/>
    </w:rPr>
  </w:style>
  <w:style w:type="paragraph" w:customStyle="1" w:styleId="xl88">
    <w:name w:val="xl88"/>
    <w:basedOn w:val="Normale"/>
    <w:rsid w:val="00BE4ECD"/>
    <w:pPr>
      <w:pBdr>
        <w:bottom w:val="single" w:sz="8" w:space="0" w:color="auto"/>
      </w:pBdr>
      <w:spacing w:before="100" w:beforeAutospacing="1" w:after="100" w:afterAutospacing="1"/>
      <w:textAlignment w:val="top"/>
    </w:pPr>
    <w:rPr>
      <w:rFonts w:ascii="Times New Roman" w:eastAsia="Times New Roman" w:hAnsi="Times New Roman" w:cs="Times New Roman"/>
      <w:kern w:val="0"/>
      <w:lang w:eastAsia="it-IT"/>
      <w14:ligatures w14:val="none"/>
    </w:rPr>
  </w:style>
  <w:style w:type="paragraph" w:customStyle="1" w:styleId="Default">
    <w:name w:val="Default"/>
    <w:rsid w:val="00BE4ECD"/>
    <w:pPr>
      <w:widowControl w:val="0"/>
      <w:autoSpaceDE w:val="0"/>
      <w:autoSpaceDN w:val="0"/>
      <w:adjustRightInd w:val="0"/>
    </w:pPr>
    <w:rPr>
      <w:rFonts w:ascii="Calibri" w:eastAsia="Times New Roman" w:hAnsi="Calibri" w:cs="Calibri"/>
      <w:color w:val="000000"/>
      <w:kern w:val="0"/>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38</Pages>
  <Words>8637</Words>
  <Characters>49233</Characters>
  <Application>Microsoft Office Word</Application>
  <DocSecurity>0</DocSecurity>
  <Lines>410</Lines>
  <Paragraphs>115</Paragraphs>
  <ScaleCrop>false</ScaleCrop>
  <Company/>
  <LinksUpToDate>false</LinksUpToDate>
  <CharactersWithSpaces>57755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Sauta</dc:creator>
  <cp:keywords/>
  <dc:description/>
  <cp:lastModifiedBy>Maria Sauta</cp:lastModifiedBy>
  <cp:revision>7</cp:revision>
  <dcterms:created xsi:type="dcterms:W3CDTF">2023-12-19T09:12:00Z</dcterms:created>
  <dcterms:modified xsi:type="dcterms:W3CDTF">2024-04-03T13:27:00Z</dcterms:modified>
</cp:coreProperties>
</file>