
<file path=[Content_Types].xml><?xml version="1.0" encoding="utf-8"?>
<Types xmlns="http://schemas.openxmlformats.org/package/2006/content-types">
  <Default Extension="rels" ContentType="application/vnd.openxmlformats-package.relationships+xml"/>
  <Default Extension="tif" ContentType="image/tiff"/>
  <Default Extension="tiff" ContentType="image/tif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0E1A8E" w14:textId="1A764A5A" w:rsidR="00CA4A55" w:rsidRPr="00CF3D63" w:rsidRDefault="00CA4A55" w:rsidP="00CA4A55">
      <w:pPr>
        <w:shd w:val="clear" w:color="auto" w:fill="FFFFFF"/>
        <w:snapToGrid w:val="0"/>
        <w:spacing w:after="0" w:line="276" w:lineRule="auto"/>
        <w:jc w:val="both"/>
        <w:rPr>
          <w:rFonts w:ascii="Times New Roman" w:eastAsia="Times New Roman" w:hAnsi="Times New Roman" w:cs="Times New Roman"/>
          <w:b/>
          <w:bCs/>
          <w:i/>
          <w:iCs/>
          <w:kern w:val="0"/>
          <w:sz w:val="20"/>
          <w:szCs w:val="20"/>
          <w:lang w:val="en-US" w:eastAsia="pt-BR"/>
          <w14:ligatures w14:val="none"/>
        </w:rPr>
      </w:pPr>
      <w:r w:rsidRPr="00CF3D63">
        <w:rPr>
          <w:rFonts w:ascii="Times New Roman" w:hAnsi="Times New Roman" w:cs="Times New Roman"/>
          <w:b/>
          <w:bCs/>
          <w:sz w:val="20"/>
          <w:szCs w:val="20"/>
          <w:lang w:val="en-US"/>
        </w:rPr>
        <w:t>Supplementary</w:t>
      </w:r>
      <w:r w:rsidRPr="00CF3D63">
        <w:rPr>
          <w:rFonts w:ascii="Times New Roman" w:eastAsia="Times New Roman" w:hAnsi="Times New Roman" w:cs="Times New Roman"/>
          <w:b/>
          <w:bCs/>
          <w:i/>
          <w:iCs/>
          <w:kern w:val="0"/>
          <w:sz w:val="20"/>
          <w:szCs w:val="20"/>
          <w:lang w:val="en-US" w:eastAsia="pt-BR"/>
          <w14:ligatures w14:val="none"/>
        </w:rPr>
        <w:t xml:space="preserve"> </w:t>
      </w:r>
    </w:p>
    <w:p w14:paraId="21420431" w14:textId="00469A15" w:rsidR="00CA4A55" w:rsidRPr="00CF3D63" w:rsidRDefault="00176ED2" w:rsidP="00CA4A55">
      <w:pPr>
        <w:shd w:val="clear" w:color="auto" w:fill="FFFFFF"/>
        <w:snapToGrid w:val="0"/>
        <w:spacing w:after="0" w:line="276" w:lineRule="auto"/>
        <w:jc w:val="both"/>
        <w:rPr>
          <w:rFonts w:ascii="Times New Roman" w:eastAsia="Times New Roman" w:hAnsi="Times New Roman" w:cs="Times New Roman"/>
          <w:b/>
          <w:bCs/>
          <w:i/>
          <w:iCs/>
          <w:kern w:val="0"/>
          <w:sz w:val="20"/>
          <w:szCs w:val="20"/>
          <w:lang w:val="en-US" w:eastAsia="pt-BR"/>
          <w14:ligatures w14:val="none"/>
        </w:rPr>
      </w:pPr>
      <w:r w:rsidRPr="00CF3D63">
        <w:rPr>
          <w:rFonts w:ascii="Times New Roman" w:hAnsi="Times New Roman" w:cs="Times New Roman"/>
          <w:b/>
          <w:bCs/>
          <w:noProof/>
          <w:sz w:val="20"/>
          <w:szCs w:val="20"/>
          <w:lang w:val="en-US"/>
        </w:rPr>
        <mc:AlternateContent>
          <mc:Choice Requires="wps">
            <w:drawing>
              <wp:anchor distT="45720" distB="45720" distL="114300" distR="114300" simplePos="0" relativeHeight="251661312" behindDoc="0" locked="0" layoutInCell="1" allowOverlap="1" wp14:anchorId="740BCEE9" wp14:editId="27CEE7F4">
                <wp:simplePos x="0" y="0"/>
                <wp:positionH relativeFrom="column">
                  <wp:posOffset>2783510</wp:posOffset>
                </wp:positionH>
                <wp:positionV relativeFrom="paragraph">
                  <wp:posOffset>179070</wp:posOffset>
                </wp:positionV>
                <wp:extent cx="314553" cy="1404620"/>
                <wp:effectExtent l="0" t="0" r="0" b="0"/>
                <wp:wrapNone/>
                <wp:docPr id="1776811775"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4553" cy="1404620"/>
                        </a:xfrm>
                        <a:prstGeom prst="rect">
                          <a:avLst/>
                        </a:prstGeom>
                        <a:noFill/>
                        <a:ln w="9525">
                          <a:noFill/>
                          <a:miter lim="800000"/>
                          <a:headEnd/>
                          <a:tailEnd/>
                        </a:ln>
                      </wps:spPr>
                      <wps:txbx>
                        <w:txbxContent>
                          <w:p w14:paraId="6E66A8D1" w14:textId="47F1B255" w:rsidR="00176ED2" w:rsidRPr="00176ED2" w:rsidRDefault="00176ED2" w:rsidP="00176ED2">
                            <w:pPr>
                              <w:rPr>
                                <w:rFonts w:ascii="Calibri" w:hAnsi="Calibri" w:cs="Calibri"/>
                                <w:b/>
                                <w:bCs/>
                                <w:sz w:val="20"/>
                                <w:szCs w:val="20"/>
                              </w:rPr>
                            </w:pPr>
                            <w:r>
                              <w:rPr>
                                <w:rFonts w:ascii="Calibri" w:hAnsi="Calibri" w:cs="Calibri"/>
                                <w:b/>
                                <w:bCs/>
                                <w:sz w:val="20"/>
                                <w:szCs w:val="20"/>
                              </w:rPr>
                              <w:t>B</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40BCEE9" id="_x0000_t202" coordsize="21600,21600" o:spt="202" path="m,l,21600r21600,l21600,xe">
                <v:stroke joinstyle="miter"/>
                <v:path gradientshapeok="t" o:connecttype="rect"/>
              </v:shapetype>
              <v:shape id="Caixa de Texto 2" o:spid="_x0000_s1026" type="#_x0000_t202" style="position:absolute;left:0;text-align:left;margin-left:219.15pt;margin-top:14.1pt;width:24.75pt;height:110.6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" filled="f" stroked="f">
                <v:textbox style="mso-fit-shape-to-text:t">
                  <w:txbxContent>
                    <w:p w14:paraId="6E66A8D1" w14:textId="47F1B255" w:rsidR="00176ED2" w:rsidRPr="00176ED2" w:rsidRDefault="00176ED2" w:rsidP="00176ED2">
                      <w:pPr>
                        <w:rPr>
                          <w:rFonts w:ascii="Calibri" w:hAnsi="Calibri" w:cs="Calibri"/>
                          <w:b/>
                          <w:bCs/>
                          <w:sz w:val="20"/>
                          <w:szCs w:val="20"/>
                        </w:rPr>
                      </w:pPr>
                      <w:r>
                        <w:rPr>
                          <w:rFonts w:ascii="Calibri" w:hAnsi="Calibri" w:cs="Calibri"/>
                          <w:b/>
                          <w:bCs/>
                          <w:sz w:val="20"/>
                          <w:szCs w:val="20"/>
                        </w:rPr>
                        <w:t>B</w:t>
                      </w:r>
                    </w:p>
                  </w:txbxContent>
                </v:textbox>
              </v:shape>
            </w:pict>
          </mc:Fallback>
        </mc:AlternateContent>
      </w:r>
      <w:r w:rsidRPr="00CF3D63">
        <w:rPr>
          <w:rFonts w:ascii="Times New Roman" w:hAnsi="Times New Roman" w:cs="Times New Roman"/>
          <w:b/>
          <w:bCs/>
          <w:noProof/>
          <w:sz w:val="20"/>
          <w:szCs w:val="20"/>
          <w:lang w:val="en-US"/>
        </w:rPr>
        <mc:AlternateContent>
          <mc:Choice Requires="wps">
            <w:drawing>
              <wp:anchor distT="45720" distB="45720" distL="114300" distR="114300" simplePos="0" relativeHeight="251659264" behindDoc="0" locked="0" layoutInCell="1" allowOverlap="1" wp14:anchorId="4EF6B3EE" wp14:editId="7914CE5B">
                <wp:simplePos x="0" y="0"/>
                <wp:positionH relativeFrom="column">
                  <wp:posOffset>-660</wp:posOffset>
                </wp:positionH>
                <wp:positionV relativeFrom="paragraph">
                  <wp:posOffset>179349</wp:posOffset>
                </wp:positionV>
                <wp:extent cx="314553" cy="1404620"/>
                <wp:effectExtent l="0" t="0" r="0" b="0"/>
                <wp:wrapNone/>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4553" cy="1404620"/>
                        </a:xfrm>
                        <a:prstGeom prst="rect">
                          <a:avLst/>
                        </a:prstGeom>
                        <a:noFill/>
                        <a:ln w="9525">
                          <a:noFill/>
                          <a:miter lim="800000"/>
                          <a:headEnd/>
                          <a:tailEnd/>
                        </a:ln>
                      </wps:spPr>
                      <wps:txbx>
                        <w:txbxContent>
                          <w:p w14:paraId="2BC83D5A" w14:textId="0BD8A3AF" w:rsidR="00176ED2" w:rsidRPr="00176ED2" w:rsidRDefault="00176ED2">
                            <w:pPr>
                              <w:rPr>
                                <w:rFonts w:ascii="Calibri" w:hAnsi="Calibri" w:cs="Calibri"/>
                                <w:b/>
                                <w:bCs/>
                                <w:sz w:val="20"/>
                                <w:szCs w:val="20"/>
                              </w:rPr>
                            </w:pPr>
                            <w:r w:rsidRPr="00176ED2">
                              <w:rPr>
                                <w:rFonts w:ascii="Calibri" w:hAnsi="Calibri" w:cs="Calibri"/>
                                <w:b/>
                                <w:bCs/>
                                <w:sz w:val="20"/>
                                <w:szCs w:val="20"/>
                              </w:rPr>
                              <w:t>A</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EF6B3EE" id="_x0000_s1027" type="#_x0000_t202" style="position:absolute;left:0;text-align:left;margin-left:-.05pt;margin-top:14.1pt;width:24.75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" filled="f" stroked="f">
                <v:textbox style="mso-fit-shape-to-text:t">
                  <w:txbxContent>
                    <w:p w14:paraId="2BC83D5A" w14:textId="0BD8A3AF" w:rsidR="00176ED2" w:rsidRPr="00176ED2" w:rsidRDefault="00176ED2">
                      <w:pPr>
                        <w:rPr>
                          <w:rFonts w:ascii="Calibri" w:hAnsi="Calibri" w:cs="Calibri"/>
                          <w:b/>
                          <w:bCs/>
                          <w:sz w:val="20"/>
                          <w:szCs w:val="20"/>
                        </w:rPr>
                      </w:pPr>
                      <w:r w:rsidRPr="00176ED2">
                        <w:rPr>
                          <w:rFonts w:ascii="Calibri" w:hAnsi="Calibri" w:cs="Calibri"/>
                          <w:b/>
                          <w:bCs/>
                          <w:sz w:val="20"/>
                          <w:szCs w:val="20"/>
                        </w:rPr>
                        <w:t>A</w:t>
                      </w:r>
                    </w:p>
                  </w:txbxContent>
                </v:textbox>
              </v:shape>
            </w:pict>
          </mc:Fallback>
        </mc:AlternateContent>
      </w:r>
    </w:p>
    <w:p w14:paraId="05EA912F" w14:textId="43ADDEBC" w:rsidR="00CA4A55" w:rsidRPr="00CF3D63" w:rsidRDefault="00CA4A55" w:rsidP="00CA4A55">
      <w:pPr>
        <w:shd w:val="clear" w:color="auto" w:fill="FFFFFF"/>
        <w:snapToGrid w:val="0"/>
        <w:spacing w:after="0" w:line="276" w:lineRule="auto"/>
        <w:jc w:val="both"/>
        <w:rPr>
          <w:rFonts w:ascii="Times New Roman" w:eastAsia="Times New Roman" w:hAnsi="Times New Roman" w:cs="Times New Roman"/>
          <w:b/>
          <w:bCs/>
          <w:i/>
          <w:iCs/>
          <w:kern w:val="0"/>
          <w:sz w:val="20"/>
          <w:szCs w:val="20"/>
          <w:lang w:val="en-US" w:eastAsia="pt-BR"/>
          <w14:ligatures w14:val="none"/>
        </w:rPr>
      </w:pPr>
      <w:r w:rsidRPr="00CF3D63">
        <w:rPr>
          <w:rFonts w:ascii="Times New Roman" w:eastAsia="Times New Roman" w:hAnsi="Times New Roman" w:cs="Times New Roman"/>
          <w:b/>
          <w:bCs/>
          <w:i/>
          <w:iCs/>
          <w:noProof/>
          <w:kern w:val="0"/>
          <w:sz w:val="20"/>
          <w:szCs w:val="20"/>
          <w:lang w:val="en-US" w:eastAsia="pt-BR"/>
        </w:rPr>
        <w:drawing>
          <wp:inline distT="0" distB="0" distL="0" distR="0" wp14:anchorId="083D1FC8" wp14:editId="60D18126">
            <wp:extent cx="5761990" cy="2182495"/>
            <wp:effectExtent l="0" t="0" r="0" b="8255"/>
            <wp:docPr id="1726032316" name="Imagem 1" descr="Gráfico, Gráfico de dispersã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6032316" name="Imagem 1" descr="Gráfico, Gráfico de dispersão&#10;&#10;Descrição gerada automaticamente"/>
                    <pic:cNvPicPr/>
                  </pic:nvPicPr>
                  <pic:blipFill>
                    <a:blip r:embed="rId4" cstate="print">
                      <a:extLst>
                        <a:ext uri="{28A0092B-C50C-407E-A947-70E740481C1C}">
                          <a14:useLocalDpi xmlns:a14="http://schemas.microsoft.com/office/drawing/2010/main" val="0"/>
                        </a:ext>
                      </a:extLst>
                    </a:blip>
                    <a:stretch>
                      <a:fillRect/>
                    </a:stretch>
                  </pic:blipFill>
                  <pic:spPr>
                    <a:xfrm>
                      <a:off x="0" y="0"/>
                      <a:ext cx="5761990" cy="2182495"/>
                    </a:xfrm>
                    <a:prstGeom prst="rect">
                      <a:avLst/>
                    </a:prstGeom>
                  </pic:spPr>
                </pic:pic>
              </a:graphicData>
            </a:graphic>
          </wp:inline>
        </w:drawing>
      </w:r>
    </w:p>
    <w:p w14:paraId="4CED64BD" w14:textId="7DF37B62" w:rsidR="00CA4A55" w:rsidRPr="00CF3D63" w:rsidRDefault="00CA4A55" w:rsidP="00CA4A55">
      <w:pPr>
        <w:shd w:val="clear" w:color="auto" w:fill="FFFFFF"/>
        <w:snapToGrid w:val="0"/>
        <w:spacing w:after="0" w:line="276" w:lineRule="auto"/>
        <w:jc w:val="both"/>
        <w:rPr>
          <w:rFonts w:ascii="Times New Roman" w:eastAsia="Arial" w:hAnsi="Times New Roman" w:cs="Times New Roman"/>
          <w:bCs/>
          <w:sz w:val="20"/>
          <w:szCs w:val="20"/>
          <w:lang w:val="en-US"/>
        </w:rPr>
      </w:pPr>
      <w:r w:rsidRPr="00CF3D63">
        <w:rPr>
          <w:rFonts w:ascii="Times New Roman" w:hAnsi="Times New Roman" w:cs="Times New Roman"/>
          <w:b/>
          <w:bCs/>
          <w:i/>
          <w:iCs/>
          <w:sz w:val="20"/>
          <w:szCs w:val="20"/>
          <w:lang w:val="en-US"/>
        </w:rPr>
        <w:t>Fig</w:t>
      </w:r>
      <w:r w:rsidR="00176ED2" w:rsidRPr="00CF3D63">
        <w:rPr>
          <w:rFonts w:ascii="Times New Roman" w:hAnsi="Times New Roman" w:cs="Times New Roman"/>
          <w:b/>
          <w:bCs/>
          <w:i/>
          <w:iCs/>
          <w:sz w:val="20"/>
          <w:szCs w:val="20"/>
          <w:lang w:val="en-US"/>
        </w:rPr>
        <w:t>.</w:t>
      </w:r>
      <w:r w:rsidRPr="00CF3D63">
        <w:rPr>
          <w:rFonts w:ascii="Times New Roman" w:hAnsi="Times New Roman" w:cs="Times New Roman"/>
          <w:b/>
          <w:bCs/>
          <w:i/>
          <w:iCs/>
          <w:sz w:val="20"/>
          <w:szCs w:val="20"/>
          <w:lang w:val="en-US"/>
        </w:rPr>
        <w:t xml:space="preserve"> 1</w:t>
      </w:r>
      <w:r w:rsidRPr="00CF3D63">
        <w:rPr>
          <w:rFonts w:ascii="Times New Roman" w:hAnsi="Times New Roman" w:cs="Times New Roman"/>
          <w:b/>
          <w:bCs/>
          <w:sz w:val="20"/>
          <w:szCs w:val="20"/>
          <w:lang w:val="en-US"/>
        </w:rPr>
        <w:t>.</w:t>
      </w:r>
      <w:r w:rsidRPr="00CF3D63">
        <w:rPr>
          <w:rFonts w:ascii="Times New Roman" w:hAnsi="Times New Roman" w:cs="Times New Roman"/>
          <w:sz w:val="20"/>
          <w:szCs w:val="20"/>
          <w:lang w:val="en-US"/>
        </w:rPr>
        <w:t xml:space="preserve"> </w:t>
      </w:r>
      <w:r w:rsidRPr="00CF3D63">
        <w:rPr>
          <w:rFonts w:ascii="Times New Roman" w:eastAsia="Arial" w:hAnsi="Times New Roman" w:cs="Times New Roman"/>
          <w:bCs/>
          <w:sz w:val="20"/>
          <w:szCs w:val="20"/>
          <w:lang w:val="en-US"/>
        </w:rPr>
        <w:t xml:space="preserve">Cell viability assays were performed on human gingival fibroblasts </w:t>
      </w:r>
      <w:r w:rsidR="00176ED2" w:rsidRPr="00CF3D63">
        <w:rPr>
          <w:rFonts w:ascii="Times New Roman" w:eastAsia="Arial" w:hAnsi="Times New Roman" w:cs="Times New Roman"/>
          <w:bCs/>
          <w:sz w:val="20"/>
          <w:szCs w:val="20"/>
          <w:lang w:val="en-US"/>
        </w:rPr>
        <w:t xml:space="preserve">(A) </w:t>
      </w:r>
      <w:r w:rsidRPr="00CF3D63">
        <w:rPr>
          <w:rFonts w:ascii="Times New Roman" w:eastAsia="Arial" w:hAnsi="Times New Roman" w:cs="Times New Roman"/>
          <w:bCs/>
          <w:sz w:val="20"/>
          <w:szCs w:val="20"/>
          <w:lang w:val="en-US"/>
        </w:rPr>
        <w:t xml:space="preserve">and </w:t>
      </w:r>
      <w:r w:rsidRPr="00CF3D63">
        <w:rPr>
          <w:rFonts w:ascii="Times New Roman" w:hAnsi="Times New Roman" w:cs="Times New Roman"/>
          <w:sz w:val="20"/>
          <w:szCs w:val="20"/>
          <w:lang w:val="en-US"/>
        </w:rPr>
        <w:t>HSC2 cells</w:t>
      </w:r>
      <w:r w:rsidR="00176ED2" w:rsidRPr="00CF3D63">
        <w:rPr>
          <w:rFonts w:ascii="Times New Roman" w:hAnsi="Times New Roman" w:cs="Times New Roman"/>
          <w:sz w:val="20"/>
          <w:szCs w:val="20"/>
          <w:lang w:val="en-US"/>
        </w:rPr>
        <w:t xml:space="preserve"> (B)</w:t>
      </w:r>
      <w:r w:rsidRPr="00CF3D63">
        <w:rPr>
          <w:rFonts w:ascii="Times New Roman" w:eastAsia="Arial" w:hAnsi="Times New Roman" w:cs="Times New Roman"/>
          <w:bCs/>
          <w:sz w:val="20"/>
          <w:szCs w:val="20"/>
          <w:lang w:val="en-US"/>
        </w:rPr>
        <w:t xml:space="preserve"> stimulated with the supernatants </w:t>
      </w:r>
      <w:r w:rsidR="001179D6" w:rsidRPr="00CF3D63">
        <w:rPr>
          <w:rFonts w:ascii="Times New Roman" w:eastAsia="Arial" w:hAnsi="Times New Roman" w:cs="Times New Roman"/>
          <w:bCs/>
          <w:sz w:val="20"/>
          <w:szCs w:val="20"/>
          <w:lang w:val="en-US"/>
        </w:rPr>
        <w:t xml:space="preserve">and discs </w:t>
      </w:r>
      <w:r w:rsidRPr="00CF3D63">
        <w:rPr>
          <w:rFonts w:ascii="Times New Roman" w:eastAsia="Arial" w:hAnsi="Times New Roman" w:cs="Times New Roman"/>
          <w:bCs/>
          <w:sz w:val="20"/>
          <w:szCs w:val="20"/>
          <w:lang w:val="en-US"/>
        </w:rPr>
        <w:t>from each group</w:t>
      </w:r>
      <w:r w:rsidRPr="00CF3D63">
        <w:rPr>
          <w:rFonts w:ascii="Times New Roman" w:hAnsi="Times New Roman" w:cs="Times New Roman"/>
          <w:sz w:val="20"/>
          <w:szCs w:val="20"/>
          <w:lang w:val="en-US"/>
        </w:rPr>
        <w:t xml:space="preserve">—SLA, SBF, and SBF+ODN </w:t>
      </w:r>
      <w:r w:rsidRPr="00CF3D63">
        <w:rPr>
          <w:rFonts w:ascii="Times New Roman" w:eastAsia="Arial" w:hAnsi="Times New Roman" w:cs="Times New Roman"/>
          <w:bCs/>
          <w:sz w:val="20"/>
          <w:szCs w:val="20"/>
          <w:lang w:val="en-US"/>
        </w:rPr>
        <w:t xml:space="preserve">overnight. </w:t>
      </w:r>
      <w:r w:rsidR="001B4B1E" w:rsidRPr="00CF3D63">
        <w:rPr>
          <w:rFonts w:ascii="Times New Roman" w:eastAsia="Arial" w:hAnsi="Times New Roman" w:cs="Times New Roman"/>
          <w:bCs/>
          <w:sz w:val="20"/>
          <w:szCs w:val="20"/>
          <w:lang w:val="en-US"/>
        </w:rPr>
        <w:t>Cell viability was determined by measuring formazan production, with results presented as a percentage compared to the unstimulated controls</w:t>
      </w:r>
      <w:r w:rsidR="001179D6" w:rsidRPr="00CF3D63">
        <w:rPr>
          <w:rFonts w:ascii="Times New Roman" w:eastAsia="Arial" w:hAnsi="Times New Roman" w:cs="Times New Roman"/>
          <w:bCs/>
          <w:sz w:val="20"/>
          <w:szCs w:val="20"/>
          <w:lang w:val="en-US"/>
        </w:rPr>
        <w:t>,</w:t>
      </w:r>
      <w:r w:rsidR="001179D6" w:rsidRPr="00CF3D63">
        <w:rPr>
          <w:rFonts w:ascii="Times New Roman" w:hAnsi="Times New Roman" w:cs="Times New Roman"/>
        </w:rPr>
        <w:t xml:space="preserve"> </w:t>
      </w:r>
      <w:r w:rsidR="001179D6" w:rsidRPr="00CF3D63">
        <w:rPr>
          <w:rFonts w:ascii="Times New Roman" w:eastAsia="Arial" w:hAnsi="Times New Roman" w:cs="Times New Roman"/>
          <w:bCs/>
          <w:sz w:val="20"/>
          <w:szCs w:val="20"/>
          <w:lang w:val="en-US"/>
        </w:rPr>
        <w:t>which are considered as 100% viability</w:t>
      </w:r>
      <w:r w:rsidR="001B4B1E" w:rsidRPr="00CF3D63">
        <w:rPr>
          <w:rFonts w:ascii="Times New Roman" w:eastAsia="Arial" w:hAnsi="Times New Roman" w:cs="Times New Roman"/>
          <w:bCs/>
          <w:sz w:val="20"/>
          <w:szCs w:val="20"/>
          <w:lang w:val="en-US"/>
        </w:rPr>
        <w:t>. The findings revealed a notable decline in viability for gingival fibroblasts and HSC2 cells in direct contact with the titanium discs. Conversely, exposure to the supernatants resulted</w:t>
      </w:r>
      <w:r w:rsidRPr="00CF3D63">
        <w:rPr>
          <w:rFonts w:ascii="Times New Roman" w:eastAsia="Arial" w:hAnsi="Times New Roman" w:cs="Times New Roman"/>
          <w:bCs/>
          <w:sz w:val="20"/>
          <w:szCs w:val="20"/>
          <w:lang w:val="en-US"/>
        </w:rPr>
        <w:t xml:space="preserve"> led to only a slight decrease.</w:t>
      </w:r>
    </w:p>
    <w:p w14:paraId="3EBA34D9" w14:textId="77777777" w:rsidR="00CA4A55" w:rsidRPr="00CF3D63" w:rsidRDefault="00CA4A55" w:rsidP="00CA4A55">
      <w:pPr>
        <w:shd w:val="clear" w:color="auto" w:fill="FFFFFF"/>
        <w:snapToGrid w:val="0"/>
        <w:spacing w:after="0" w:line="276" w:lineRule="auto"/>
        <w:jc w:val="both"/>
        <w:rPr>
          <w:rFonts w:ascii="Times New Roman" w:eastAsia="Times New Roman" w:hAnsi="Times New Roman" w:cs="Times New Roman"/>
          <w:b/>
          <w:bCs/>
          <w:i/>
          <w:iCs/>
          <w:kern w:val="0"/>
          <w:sz w:val="20"/>
          <w:szCs w:val="20"/>
          <w:lang w:val="en-US" w:eastAsia="pt-BR"/>
          <w14:ligatures w14:val="none"/>
        </w:rPr>
      </w:pPr>
    </w:p>
    <w:p w14:paraId="051D94ED" w14:textId="77777777" w:rsidR="00CA4A55" w:rsidRPr="00CF3D63" w:rsidRDefault="00CA4A55" w:rsidP="00CA4A55">
      <w:pPr>
        <w:shd w:val="clear" w:color="auto" w:fill="FFFFFF"/>
        <w:snapToGrid w:val="0"/>
        <w:spacing w:after="0" w:line="276" w:lineRule="auto"/>
        <w:jc w:val="both"/>
        <w:rPr>
          <w:rFonts w:ascii="Times New Roman" w:eastAsia="Times New Roman" w:hAnsi="Times New Roman" w:cs="Times New Roman"/>
          <w:i/>
          <w:iCs/>
          <w:kern w:val="0"/>
          <w:sz w:val="20"/>
          <w:szCs w:val="20"/>
          <w:lang w:val="en-US" w:eastAsia="pt-BR"/>
          <w14:ligatures w14:val="none"/>
        </w:rPr>
      </w:pPr>
      <w:r w:rsidRPr="00CF3D63">
        <w:rPr>
          <w:rFonts w:ascii="Times New Roman" w:eastAsia="Times New Roman" w:hAnsi="Times New Roman" w:cs="Times New Roman"/>
          <w:i/>
          <w:iCs/>
          <w:kern w:val="0"/>
          <w:sz w:val="20"/>
          <w:szCs w:val="20"/>
          <w:lang w:val="en-US" w:eastAsia="pt-BR"/>
          <w14:ligatures w14:val="none"/>
        </w:rPr>
        <w:t xml:space="preserve">Odanacatib enhanced wound closure in </w:t>
      </w:r>
      <w:bookmarkStart w:id="0" w:name="_Hlk175481815"/>
      <w:r w:rsidRPr="00CF3D63">
        <w:rPr>
          <w:rFonts w:ascii="Times New Roman" w:eastAsia="Times New Roman" w:hAnsi="Times New Roman" w:cs="Times New Roman"/>
          <w:i/>
          <w:iCs/>
          <w:kern w:val="0"/>
          <w:sz w:val="20"/>
          <w:szCs w:val="20"/>
          <w:lang w:val="en-US" w:eastAsia="pt-BR"/>
          <w14:ligatures w14:val="none"/>
        </w:rPr>
        <w:t>oral squamous cell carcinoma</w:t>
      </w:r>
      <w:bookmarkEnd w:id="0"/>
    </w:p>
    <w:p w14:paraId="5AE70BAF" w14:textId="77777777" w:rsidR="00CA4A55" w:rsidRPr="00CF3D63" w:rsidRDefault="00CA4A55" w:rsidP="00CA4A55">
      <w:pPr>
        <w:shd w:val="clear" w:color="auto" w:fill="FFFFFF"/>
        <w:snapToGrid w:val="0"/>
        <w:spacing w:after="0" w:line="276" w:lineRule="auto"/>
        <w:jc w:val="both"/>
        <w:rPr>
          <w:rFonts w:ascii="Times New Roman" w:hAnsi="Times New Roman" w:cs="Times New Roman"/>
          <w:sz w:val="20"/>
          <w:szCs w:val="20"/>
          <w:lang w:val="en-US"/>
        </w:rPr>
      </w:pPr>
      <w:r w:rsidRPr="00CF3D63">
        <w:rPr>
          <w:rFonts w:ascii="Times New Roman" w:hAnsi="Times New Roman" w:cs="Times New Roman"/>
          <w:sz w:val="20"/>
          <w:szCs w:val="20"/>
          <w:lang w:val="en-US"/>
        </w:rPr>
        <w:t>We performed a classic scratch test to simulate a wound-like scenario that requires proliferation and migration in gingival fibroblasts and oral squamous cell carcinoma. Overall, the wound closure response was significantly more pronounced in squamous cell carcinoma cells than in gingival fibroblasts. Specifically, in gingival fibroblasts, wound closure remained unaffected by exposure to the supernatants and titanium discs with SLA, SBF, and SBF+ODN coating. However, squamous cell carcinoma showed significantly enhanced wound closure when exposed to the supernatants and SBF+ODN-coated discs compared to the other</w:t>
      </w:r>
      <w:r w:rsidRPr="00CF3D63">
        <w:rPr>
          <w:rFonts w:ascii="Times New Roman" w:hAnsi="Times New Roman" w:cs="Times New Roman"/>
          <w:lang w:val="en-US"/>
        </w:rPr>
        <w:t xml:space="preserve"> </w:t>
      </w:r>
      <w:r w:rsidRPr="00CF3D63">
        <w:rPr>
          <w:rFonts w:ascii="Times New Roman" w:hAnsi="Times New Roman" w:cs="Times New Roman"/>
          <w:sz w:val="20"/>
          <w:szCs w:val="20"/>
          <w:lang w:val="en-US"/>
        </w:rPr>
        <w:t>treatments and the serum-free medium (Figure 1). Furthermore, the SBF alone had a less pronounced impact on wound closure. Our findings suggest that the addition of ODN to the titanium surface coating supports wound closure in oral squamous cell lines.</w:t>
      </w:r>
    </w:p>
    <w:p w14:paraId="6CB80C44" w14:textId="77777777" w:rsidR="00CA4A55" w:rsidRPr="00CF3D63" w:rsidRDefault="00CA4A55" w:rsidP="00CA4A55">
      <w:pPr>
        <w:shd w:val="clear" w:color="auto" w:fill="FFFFFF"/>
        <w:snapToGrid w:val="0"/>
        <w:spacing w:after="0" w:line="276" w:lineRule="auto"/>
        <w:jc w:val="center"/>
        <w:rPr>
          <w:rFonts w:ascii="Times New Roman" w:hAnsi="Times New Roman" w:cs="Times New Roman"/>
          <w:i/>
          <w:iCs/>
          <w:sz w:val="20"/>
          <w:szCs w:val="20"/>
          <w:lang w:val="en-US"/>
        </w:rPr>
      </w:pPr>
      <w:r w:rsidRPr="00CF3D63">
        <w:rPr>
          <w:rFonts w:ascii="Times New Roman" w:hAnsi="Times New Roman" w:cs="Times New Roman"/>
          <w:i/>
          <w:iCs/>
          <w:noProof/>
          <w:sz w:val="20"/>
          <w:szCs w:val="20"/>
          <w:lang w:val="en-US"/>
        </w:rPr>
        <w:drawing>
          <wp:inline distT="0" distB="0" distL="0" distR="0" wp14:anchorId="787BB822" wp14:editId="26862296">
            <wp:extent cx="4453246" cy="3224530"/>
            <wp:effectExtent l="0" t="0" r="5080" b="0"/>
            <wp:docPr id="10" name="Grafik 10" descr="Calendári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Grafik 10" descr="Calendário&#10;&#10;Descrição gerada automaticamente"/>
                    <pic:cNvPicPr/>
                  </pic:nvPicPr>
                  <pic:blipFill rotWithShape="1">
                    <a:blip r:embed="rId5">
                      <a:extLst>
                        <a:ext uri="{28A0092B-C50C-407E-A947-70E740481C1C}">
                          <a14:useLocalDpi xmlns:a14="http://schemas.microsoft.com/office/drawing/2010/main" val="0"/>
                        </a:ext>
                      </a:extLst>
                    </a:blip>
                    <a:srcRect r="22799"/>
                    <a:stretch/>
                  </pic:blipFill>
                  <pic:spPr bwMode="auto">
                    <a:xfrm>
                      <a:off x="0" y="0"/>
                      <a:ext cx="4453246" cy="3224530"/>
                    </a:xfrm>
                    <a:prstGeom prst="rect">
                      <a:avLst/>
                    </a:prstGeom>
                    <a:ln>
                      <a:noFill/>
                    </a:ln>
                    <a:extLst>
                      <a:ext uri="{53640926-AAD7-44D8-BBD7-CCE9431645EC}">
                        <a14:shadowObscured xmlns:a14="http://schemas.microsoft.com/office/drawing/2010/main"/>
                      </a:ext>
                    </a:extLst>
                  </pic:spPr>
                </pic:pic>
              </a:graphicData>
            </a:graphic>
          </wp:inline>
        </w:drawing>
      </w:r>
    </w:p>
    <w:p w14:paraId="6BBB88C8" w14:textId="15370F27" w:rsidR="00CA4A55" w:rsidRPr="00CF3D63" w:rsidRDefault="00CA4A55" w:rsidP="00CA4A55">
      <w:pPr>
        <w:shd w:val="clear" w:color="auto" w:fill="FFFFFF"/>
        <w:snapToGrid w:val="0"/>
        <w:spacing w:after="0" w:line="276" w:lineRule="auto"/>
        <w:jc w:val="both"/>
        <w:rPr>
          <w:rFonts w:ascii="Times New Roman" w:hAnsi="Times New Roman" w:cs="Times New Roman"/>
          <w:sz w:val="20"/>
          <w:szCs w:val="20"/>
          <w:lang w:val="en-US"/>
        </w:rPr>
      </w:pPr>
      <w:r w:rsidRPr="00CF3D63">
        <w:rPr>
          <w:rFonts w:ascii="Times New Roman" w:hAnsi="Times New Roman" w:cs="Times New Roman"/>
          <w:b/>
          <w:bCs/>
          <w:i/>
          <w:iCs/>
          <w:sz w:val="20"/>
          <w:szCs w:val="20"/>
          <w:lang w:val="en-US"/>
        </w:rPr>
        <w:t>Fig</w:t>
      </w:r>
      <w:r w:rsidR="00176ED2" w:rsidRPr="00CF3D63">
        <w:rPr>
          <w:rFonts w:ascii="Times New Roman" w:hAnsi="Times New Roman" w:cs="Times New Roman"/>
          <w:b/>
          <w:bCs/>
          <w:i/>
          <w:iCs/>
          <w:sz w:val="20"/>
          <w:szCs w:val="20"/>
          <w:lang w:val="en-US"/>
        </w:rPr>
        <w:t>.</w:t>
      </w:r>
      <w:r w:rsidRPr="00CF3D63">
        <w:rPr>
          <w:rFonts w:ascii="Times New Roman" w:hAnsi="Times New Roman" w:cs="Times New Roman"/>
          <w:b/>
          <w:bCs/>
          <w:i/>
          <w:iCs/>
          <w:sz w:val="20"/>
          <w:szCs w:val="20"/>
          <w:lang w:val="en-US"/>
        </w:rPr>
        <w:t xml:space="preserve"> 2</w:t>
      </w:r>
      <w:r w:rsidRPr="00CF3D63">
        <w:rPr>
          <w:rFonts w:ascii="Times New Roman" w:hAnsi="Times New Roman" w:cs="Times New Roman"/>
          <w:b/>
          <w:bCs/>
          <w:sz w:val="20"/>
          <w:szCs w:val="20"/>
          <w:lang w:val="en-US"/>
        </w:rPr>
        <w:t>.</w:t>
      </w:r>
      <w:r w:rsidRPr="00CF3D63">
        <w:rPr>
          <w:rFonts w:ascii="Times New Roman" w:hAnsi="Times New Roman" w:cs="Times New Roman"/>
          <w:sz w:val="20"/>
          <w:szCs w:val="20"/>
          <w:lang w:val="en-US"/>
        </w:rPr>
        <w:t xml:space="preserve"> Gingival fibroblasts and oral squamous cell carcinoma were grown to confluence and then subjected to a scratch assay. After removing debris, the cells were treated with supernatants and titanium discs from each group—</w:t>
      </w:r>
      <w:r w:rsidRPr="00CF3D63">
        <w:rPr>
          <w:rFonts w:ascii="Times New Roman" w:hAnsi="Times New Roman" w:cs="Times New Roman"/>
          <w:sz w:val="20"/>
          <w:szCs w:val="20"/>
          <w:lang w:val="en-US"/>
        </w:rPr>
        <w:lastRenderedPageBreak/>
        <w:t xml:space="preserve">SLA, SBF, and SBF+ODN. Images were captured immediately after the scratch, 0 hours, and after 12 hours of incubation. The results support that the supernatant and the SBF+ODN-coated disc enhanced wound closure, showing a smaller gap in oral squamous cell carcinoma cells. The scale bar represents 890 </w:t>
      </w:r>
      <w:proofErr w:type="spellStart"/>
      <w:r w:rsidRPr="00CF3D63">
        <w:rPr>
          <w:rFonts w:ascii="Times New Roman" w:hAnsi="Times New Roman" w:cs="Times New Roman"/>
          <w:sz w:val="20"/>
          <w:szCs w:val="20"/>
          <w:lang w:val="en-US"/>
        </w:rPr>
        <w:t>μm</w:t>
      </w:r>
      <w:proofErr w:type="spellEnd"/>
      <w:r w:rsidRPr="00CF3D63">
        <w:rPr>
          <w:rFonts w:ascii="Times New Roman" w:hAnsi="Times New Roman" w:cs="Times New Roman"/>
          <w:sz w:val="20"/>
          <w:szCs w:val="20"/>
          <w:lang w:val="en-US"/>
        </w:rPr>
        <w:t>.</w:t>
      </w:r>
    </w:p>
    <w:p w14:paraId="147B5912" w14:textId="77777777" w:rsidR="00CA4A55" w:rsidRPr="00CF3D63" w:rsidRDefault="00CA4A55" w:rsidP="00CA4A55">
      <w:pPr>
        <w:spacing w:after="0" w:line="276" w:lineRule="auto"/>
        <w:jc w:val="both"/>
        <w:rPr>
          <w:rFonts w:ascii="Times New Roman" w:hAnsi="Times New Roman" w:cs="Times New Roman"/>
          <w:i/>
          <w:iCs/>
          <w:sz w:val="20"/>
          <w:szCs w:val="20"/>
          <w:lang w:val="en-US"/>
        </w:rPr>
      </w:pPr>
    </w:p>
    <w:p w14:paraId="5B14B71E" w14:textId="1975DE3E" w:rsidR="00CA4A55" w:rsidRPr="00CF3D63" w:rsidRDefault="00CA4A55" w:rsidP="00CA4A55">
      <w:pPr>
        <w:spacing w:after="0" w:line="276" w:lineRule="auto"/>
        <w:jc w:val="both"/>
        <w:rPr>
          <w:rFonts w:ascii="Times New Roman" w:hAnsi="Times New Roman" w:cs="Times New Roman"/>
          <w:sz w:val="20"/>
          <w:szCs w:val="20"/>
          <w:lang w:val="en-US"/>
        </w:rPr>
      </w:pPr>
      <w:r w:rsidRPr="00CF3D63">
        <w:rPr>
          <w:rFonts w:ascii="Times New Roman" w:hAnsi="Times New Roman" w:cs="Times New Roman"/>
          <w:i/>
          <w:iCs/>
          <w:noProof/>
          <w:sz w:val="20"/>
          <w:szCs w:val="20"/>
          <w:lang w:val="en-US"/>
        </w:rPr>
        <w:drawing>
          <wp:inline distT="0" distB="0" distL="0" distR="0" wp14:anchorId="54D670A6" wp14:editId="646F5446">
            <wp:extent cx="5768340" cy="2795270"/>
            <wp:effectExtent l="0" t="0" r="0" b="0"/>
            <wp:docPr id="11" name="Grafik 11" descr="Tela de celular com texto preto sobre fundo branc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fik 11" descr="Tela de celular com texto preto sobre fundo branco&#10;&#10;Descrição gerada automaticamente com confiança média"/>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68340" cy="2795270"/>
                    </a:xfrm>
                    <a:prstGeom prst="rect">
                      <a:avLst/>
                    </a:prstGeom>
                  </pic:spPr>
                </pic:pic>
              </a:graphicData>
            </a:graphic>
          </wp:inline>
        </w:drawing>
      </w:r>
      <w:r w:rsidRPr="00CF3D63">
        <w:rPr>
          <w:rFonts w:ascii="Times New Roman" w:hAnsi="Times New Roman" w:cs="Times New Roman"/>
          <w:b/>
          <w:bCs/>
          <w:i/>
          <w:iCs/>
          <w:sz w:val="20"/>
          <w:szCs w:val="20"/>
          <w:lang w:val="en-US"/>
        </w:rPr>
        <w:t>Fig</w:t>
      </w:r>
      <w:r w:rsidR="00176ED2" w:rsidRPr="00CF3D63">
        <w:rPr>
          <w:rFonts w:ascii="Times New Roman" w:hAnsi="Times New Roman" w:cs="Times New Roman"/>
          <w:b/>
          <w:bCs/>
          <w:i/>
          <w:iCs/>
          <w:sz w:val="20"/>
          <w:szCs w:val="20"/>
          <w:lang w:val="en-US"/>
        </w:rPr>
        <w:t>.</w:t>
      </w:r>
      <w:r w:rsidRPr="00CF3D63">
        <w:rPr>
          <w:rFonts w:ascii="Times New Roman" w:hAnsi="Times New Roman" w:cs="Times New Roman"/>
          <w:b/>
          <w:bCs/>
          <w:i/>
          <w:iCs/>
          <w:sz w:val="20"/>
          <w:szCs w:val="20"/>
          <w:lang w:val="en-US"/>
        </w:rPr>
        <w:t xml:space="preserve"> </w:t>
      </w:r>
      <w:r w:rsidR="00A4683D" w:rsidRPr="00CF3D63">
        <w:rPr>
          <w:rFonts w:ascii="Times New Roman" w:hAnsi="Times New Roman" w:cs="Times New Roman"/>
          <w:b/>
          <w:bCs/>
          <w:i/>
          <w:iCs/>
          <w:sz w:val="20"/>
          <w:szCs w:val="20"/>
          <w:lang w:val="en-US"/>
        </w:rPr>
        <w:t>3</w:t>
      </w:r>
      <w:r w:rsidRPr="00CF3D63">
        <w:rPr>
          <w:rFonts w:ascii="Times New Roman" w:hAnsi="Times New Roman" w:cs="Times New Roman"/>
          <w:b/>
          <w:bCs/>
          <w:sz w:val="20"/>
          <w:szCs w:val="20"/>
          <w:lang w:val="en-US"/>
        </w:rPr>
        <w:t>.</w:t>
      </w:r>
      <w:r w:rsidRPr="00CF3D63">
        <w:rPr>
          <w:rFonts w:ascii="Times New Roman" w:hAnsi="Times New Roman" w:cs="Times New Roman"/>
          <w:sz w:val="20"/>
          <w:szCs w:val="20"/>
          <w:lang w:val="en-US"/>
        </w:rPr>
        <w:t xml:space="preserve"> Gingival fibroblasts were expos</w:t>
      </w:r>
      <w:r w:rsidR="00A4683D" w:rsidRPr="00CF3D63">
        <w:rPr>
          <w:rFonts w:ascii="Times New Roman" w:hAnsi="Times New Roman" w:cs="Times New Roman"/>
          <w:sz w:val="20"/>
          <w:szCs w:val="20"/>
          <w:lang w:val="en-US"/>
        </w:rPr>
        <w:t>ed</w:t>
      </w:r>
      <w:r w:rsidRPr="00CF3D63">
        <w:rPr>
          <w:rFonts w:ascii="Times New Roman" w:hAnsi="Times New Roman" w:cs="Times New Roman"/>
          <w:sz w:val="20"/>
          <w:szCs w:val="20"/>
          <w:lang w:val="en-US"/>
        </w:rPr>
        <w:t xml:space="preserve"> to the supernatants or grown in the presence of titanium discs of each group and IL1β+TNFα as positive controls. Results were normalized for expression changes for untreated cells. Different symbol shapes represent independent experiments. Statistical analysis was performed using ratio-paired t-tests compared to untreated controls, and p-values are shown. </w:t>
      </w:r>
    </w:p>
    <w:p w14:paraId="44C1E0DA" w14:textId="77777777" w:rsidR="00CA4A55" w:rsidRPr="00CF3D63" w:rsidRDefault="00CA4A55" w:rsidP="00CA4A55">
      <w:pPr>
        <w:spacing w:after="0" w:line="276" w:lineRule="auto"/>
        <w:jc w:val="both"/>
        <w:rPr>
          <w:rFonts w:ascii="Times New Roman" w:hAnsi="Times New Roman" w:cs="Times New Roman"/>
          <w:sz w:val="20"/>
          <w:szCs w:val="20"/>
          <w:lang w:val="en-US"/>
        </w:rPr>
      </w:pPr>
    </w:p>
    <w:p w14:paraId="5CDBD4B3" w14:textId="42755DCB" w:rsidR="00CA4A55" w:rsidRPr="00CF3D63" w:rsidRDefault="00CA4A55" w:rsidP="00CA4A55">
      <w:pPr>
        <w:spacing w:after="0" w:line="276" w:lineRule="auto"/>
        <w:jc w:val="both"/>
        <w:rPr>
          <w:rFonts w:ascii="Times New Roman" w:hAnsi="Times New Roman" w:cs="Times New Roman"/>
          <w:sz w:val="20"/>
          <w:szCs w:val="20"/>
          <w:lang w:val="en-US"/>
        </w:rPr>
      </w:pPr>
      <w:r w:rsidRPr="00CF3D63">
        <w:rPr>
          <w:rFonts w:ascii="Times New Roman" w:hAnsi="Times New Roman" w:cs="Times New Roman"/>
          <w:i/>
          <w:iCs/>
          <w:noProof/>
          <w:sz w:val="20"/>
          <w:szCs w:val="20"/>
          <w:lang w:val="en-US"/>
        </w:rPr>
        <w:drawing>
          <wp:inline distT="0" distB="0" distL="0" distR="0" wp14:anchorId="0D710AA0" wp14:editId="1E00FA11">
            <wp:extent cx="5768340" cy="2774950"/>
            <wp:effectExtent l="0" t="0" r="0" b="6350"/>
            <wp:docPr id="12" name="Grafik 12" descr="Diagrama, Esquemátic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Grafik 12" descr="Diagrama, Esquemático&#10;&#10;Descrição gerada automaticamente"/>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68340" cy="2774950"/>
                    </a:xfrm>
                    <a:prstGeom prst="rect">
                      <a:avLst/>
                    </a:prstGeom>
                  </pic:spPr>
                </pic:pic>
              </a:graphicData>
            </a:graphic>
          </wp:inline>
        </w:drawing>
      </w:r>
      <w:r w:rsidRPr="00CF3D63">
        <w:rPr>
          <w:rFonts w:ascii="Times New Roman" w:hAnsi="Times New Roman" w:cs="Times New Roman"/>
          <w:b/>
          <w:bCs/>
          <w:i/>
          <w:iCs/>
          <w:sz w:val="20"/>
          <w:szCs w:val="20"/>
          <w:lang w:val="en-US"/>
        </w:rPr>
        <w:t>Fig</w:t>
      </w:r>
      <w:r w:rsidR="00176ED2" w:rsidRPr="00CF3D63">
        <w:rPr>
          <w:rFonts w:ascii="Times New Roman" w:hAnsi="Times New Roman" w:cs="Times New Roman"/>
          <w:b/>
          <w:bCs/>
          <w:i/>
          <w:iCs/>
          <w:sz w:val="20"/>
          <w:szCs w:val="20"/>
          <w:lang w:val="en-US"/>
        </w:rPr>
        <w:t>.</w:t>
      </w:r>
      <w:r w:rsidRPr="00CF3D63">
        <w:rPr>
          <w:rFonts w:ascii="Times New Roman" w:hAnsi="Times New Roman" w:cs="Times New Roman"/>
          <w:b/>
          <w:bCs/>
          <w:i/>
          <w:iCs/>
          <w:sz w:val="20"/>
          <w:szCs w:val="20"/>
          <w:lang w:val="en-US"/>
        </w:rPr>
        <w:t xml:space="preserve"> </w:t>
      </w:r>
      <w:r w:rsidR="00A4683D" w:rsidRPr="00CF3D63">
        <w:rPr>
          <w:rFonts w:ascii="Times New Roman" w:hAnsi="Times New Roman" w:cs="Times New Roman"/>
          <w:b/>
          <w:bCs/>
          <w:i/>
          <w:iCs/>
          <w:sz w:val="20"/>
          <w:szCs w:val="20"/>
          <w:lang w:val="en-US"/>
        </w:rPr>
        <w:t>4</w:t>
      </w:r>
      <w:r w:rsidRPr="00CF3D63">
        <w:rPr>
          <w:rFonts w:ascii="Times New Roman" w:hAnsi="Times New Roman" w:cs="Times New Roman"/>
          <w:i/>
          <w:iCs/>
          <w:sz w:val="20"/>
          <w:szCs w:val="20"/>
          <w:lang w:val="en-US"/>
        </w:rPr>
        <w:t>.</w:t>
      </w:r>
      <w:r w:rsidRPr="00CF3D63">
        <w:rPr>
          <w:rFonts w:ascii="Times New Roman" w:hAnsi="Times New Roman" w:cs="Times New Roman"/>
          <w:sz w:val="20"/>
          <w:szCs w:val="20"/>
          <w:shd w:val="clear" w:color="auto" w:fill="FFFFFF"/>
          <w:lang w:val="en-US"/>
        </w:rPr>
        <w:t xml:space="preserve"> </w:t>
      </w:r>
      <w:r w:rsidRPr="00CF3D63">
        <w:rPr>
          <w:rFonts w:ascii="Times New Roman" w:hAnsi="Times New Roman" w:cs="Times New Roman"/>
          <w:sz w:val="20"/>
          <w:szCs w:val="20"/>
          <w:lang w:val="en-US"/>
        </w:rPr>
        <w:t>HSC2 cells were exposed to the supernatants or grown in the presence of titanium discs of each group and IL1β+TNFα as positive controls. Results were normalized for expression changes for untreated cells. Different symbol shapes represent independent experiments. Statistical analysis was performed using ratio-paired t-tests compared to untreated controls, and p-values are shown.</w:t>
      </w:r>
    </w:p>
    <w:p w14:paraId="643BF102" w14:textId="77777777" w:rsidR="00CD2DB9" w:rsidRPr="00CF3D63" w:rsidRDefault="00CD2DB9">
      <w:pPr>
        <w:rPr>
          <w:rFonts w:ascii="Times New Roman" w:hAnsi="Times New Roman" w:cs="Times New Roman"/>
        </w:rPr>
      </w:pPr>
    </w:p>
    <w:p w14:paraId="001FBF55" w14:textId="77777777" w:rsidR="002057C4" w:rsidRPr="00CF3D63" w:rsidRDefault="002057C4">
      <w:pPr>
        <w:rPr>
          <w:rFonts w:ascii="Times New Roman" w:hAnsi="Times New Roman" w:cs="Times New Roman"/>
        </w:rPr>
      </w:pPr>
      <w:r w:rsidRPr="00CF3D63">
        <w:rPr>
          <w:rFonts w:ascii="Times New Roman" w:hAnsi="Times New Roman" w:cs="Times New Roman"/>
          <w:noProof/>
          <w:sz w:val="20"/>
          <w:szCs w:val="20"/>
          <w:lang w:val="en-US"/>
        </w:rPr>
        <w:lastRenderedPageBreak/>
        <w:drawing>
          <wp:inline distT="0" distB="0" distL="0" distR="0" wp14:anchorId="54BC03ED" wp14:editId="667FE181">
            <wp:extent cx="5759450" cy="1727835"/>
            <wp:effectExtent l="0" t="0" r="0" b="5715"/>
            <wp:docPr id="213259191" name="Imagem 3" descr="Tela de computador com fundo verde&#10;&#10;Descrição gerada automaticamente com confianç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259191" name="Imagem 3" descr="Tela de computador com fundo verde&#10;&#10;Descrição gerada automaticamente com confiança baix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59450" cy="1727835"/>
                    </a:xfrm>
                    <a:prstGeom prst="rect">
                      <a:avLst/>
                    </a:prstGeom>
                    <a:noFill/>
                    <a:ln>
                      <a:noFill/>
                    </a:ln>
                  </pic:spPr>
                </pic:pic>
              </a:graphicData>
            </a:graphic>
          </wp:inline>
        </w:drawing>
      </w:r>
    </w:p>
    <w:p w14:paraId="445276F2" w14:textId="06D9EA07" w:rsidR="002057C4" w:rsidRPr="00CF3D63" w:rsidRDefault="00AE0292" w:rsidP="00AE0292">
      <w:pPr>
        <w:jc w:val="both"/>
        <w:rPr>
          <w:rFonts w:ascii="Times New Roman" w:hAnsi="Times New Roman" w:cs="Times New Roman"/>
          <w:sz w:val="20"/>
          <w:szCs w:val="20"/>
          <w:lang w:val="en-US"/>
        </w:rPr>
      </w:pPr>
      <w:r w:rsidRPr="00CF3D63">
        <w:rPr>
          <w:rFonts w:ascii="Times New Roman" w:hAnsi="Times New Roman" w:cs="Times New Roman"/>
          <w:b/>
          <w:bCs/>
          <w:i/>
          <w:iCs/>
          <w:sz w:val="20"/>
          <w:szCs w:val="20"/>
          <w:lang w:val="en-US"/>
        </w:rPr>
        <w:t>Fig</w:t>
      </w:r>
      <w:r w:rsidR="00176ED2" w:rsidRPr="00CF3D63">
        <w:rPr>
          <w:rFonts w:ascii="Times New Roman" w:hAnsi="Times New Roman" w:cs="Times New Roman"/>
          <w:b/>
          <w:bCs/>
          <w:i/>
          <w:iCs/>
          <w:sz w:val="20"/>
          <w:szCs w:val="20"/>
          <w:lang w:val="en-US"/>
        </w:rPr>
        <w:t>.</w:t>
      </w:r>
      <w:r w:rsidRPr="00CF3D63">
        <w:rPr>
          <w:rFonts w:ascii="Times New Roman" w:hAnsi="Times New Roman" w:cs="Times New Roman"/>
          <w:b/>
          <w:bCs/>
          <w:i/>
          <w:iCs/>
          <w:sz w:val="20"/>
          <w:szCs w:val="20"/>
          <w:lang w:val="en-US"/>
        </w:rPr>
        <w:t xml:space="preserve"> 5.</w:t>
      </w:r>
      <w:r w:rsidRPr="00CF3D63">
        <w:rPr>
          <w:rFonts w:ascii="Times New Roman" w:hAnsi="Times New Roman" w:cs="Times New Roman"/>
          <w:i/>
          <w:iCs/>
          <w:sz w:val="20"/>
          <w:szCs w:val="20"/>
          <w:lang w:val="en-US"/>
        </w:rPr>
        <w:t xml:space="preserve"> </w:t>
      </w:r>
      <w:r w:rsidRPr="00CF3D63">
        <w:rPr>
          <w:rFonts w:ascii="Times New Roman" w:hAnsi="Times New Roman" w:cs="Times New Roman"/>
          <w:sz w:val="20"/>
          <w:szCs w:val="20"/>
          <w:lang w:val="en-US"/>
        </w:rPr>
        <w:t>Immunofluorescence staining for nuclear translocation of p65 in gingival fibroblast and HSC2 cells. Cells were exposed to supernatants of titanium discs of each disc from each group—SLA, SBF, SBF+ODN, and IL1β+TNFα as positive control.  Without (wo) is the serum-free medium alone. The supernatants did not induce a positive signal of nucleus translocation in gingival fibroblast and HSC2 cells. The scale represents 170 μm.</w:t>
      </w:r>
    </w:p>
    <w:p w14:paraId="273F5BEC" w14:textId="5CD9E554" w:rsidR="00A4683D" w:rsidRPr="00CF3D63" w:rsidRDefault="00176ED2" w:rsidP="00176ED2">
      <w:pPr>
        <w:jc w:val="center"/>
        <w:rPr>
          <w:rFonts w:ascii="Times New Roman" w:hAnsi="Times New Roman" w:cs="Times New Roman"/>
        </w:rPr>
      </w:pPr>
      <w:r w:rsidRPr="00CF3D63">
        <w:rPr>
          <w:rFonts w:ascii="Times New Roman" w:hAnsi="Times New Roman" w:cs="Times New Roman"/>
          <w:noProof/>
        </w:rPr>
        <w:drawing>
          <wp:inline distT="0" distB="0" distL="0" distR="0" wp14:anchorId="5A1BA754" wp14:editId="3A35D13A">
            <wp:extent cx="4242816" cy="1507476"/>
            <wp:effectExtent l="0" t="0" r="5715" b="0"/>
            <wp:docPr id="1746665559" name="Imagem 1" descr="Tela de celular com texto preto sobre fundo branc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6665559" name="Imagem 1" descr="Tela de celular com texto preto sobre fundo branco&#10;&#10;Descrição gerada automaticamente com confiança média"/>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72127" cy="1517890"/>
                    </a:xfrm>
                    <a:prstGeom prst="rect">
                      <a:avLst/>
                    </a:prstGeom>
                    <a:noFill/>
                    <a:ln>
                      <a:noFill/>
                    </a:ln>
                  </pic:spPr>
                </pic:pic>
              </a:graphicData>
            </a:graphic>
          </wp:inline>
        </w:drawing>
      </w:r>
    </w:p>
    <w:p w14:paraId="0ECF0BAE" w14:textId="31F8AEAF" w:rsidR="00EE073F" w:rsidRPr="00CF3D63" w:rsidRDefault="00EE073F" w:rsidP="00EE073F">
      <w:pPr>
        <w:jc w:val="both"/>
        <w:rPr>
          <w:rFonts w:ascii="Times New Roman" w:hAnsi="Times New Roman" w:cs="Times New Roman"/>
          <w:sz w:val="20"/>
          <w:szCs w:val="20"/>
          <w:lang w:val="en-US"/>
        </w:rPr>
      </w:pPr>
      <w:r w:rsidRPr="00CF3D63">
        <w:rPr>
          <w:rFonts w:ascii="Times New Roman" w:hAnsi="Times New Roman" w:cs="Times New Roman"/>
          <w:b/>
          <w:bCs/>
          <w:i/>
          <w:iCs/>
          <w:sz w:val="20"/>
          <w:szCs w:val="20"/>
          <w:lang w:val="en-US"/>
        </w:rPr>
        <w:t>Fig</w:t>
      </w:r>
      <w:r w:rsidR="00176ED2" w:rsidRPr="00CF3D63">
        <w:rPr>
          <w:rFonts w:ascii="Times New Roman" w:hAnsi="Times New Roman" w:cs="Times New Roman"/>
          <w:b/>
          <w:bCs/>
          <w:i/>
          <w:iCs/>
          <w:sz w:val="20"/>
          <w:szCs w:val="20"/>
          <w:lang w:val="en-US"/>
        </w:rPr>
        <w:t>.</w:t>
      </w:r>
      <w:r w:rsidRPr="00CF3D63">
        <w:rPr>
          <w:rFonts w:ascii="Times New Roman" w:hAnsi="Times New Roman" w:cs="Times New Roman"/>
          <w:b/>
          <w:bCs/>
          <w:i/>
          <w:iCs/>
          <w:sz w:val="20"/>
          <w:szCs w:val="20"/>
          <w:lang w:val="en-US"/>
        </w:rPr>
        <w:t xml:space="preserve"> 6.</w:t>
      </w:r>
      <w:r w:rsidRPr="00CF3D63">
        <w:rPr>
          <w:rFonts w:ascii="Times New Roman" w:hAnsi="Times New Roman" w:cs="Times New Roman"/>
          <w:sz w:val="20"/>
          <w:szCs w:val="20"/>
          <w:lang w:val="en-US"/>
        </w:rPr>
        <w:t xml:space="preserve"> SLA supernatant increased phosphorylation of p38 in gingival fibroblasts. Western blot analysis was performed on gingival fibroblasts and HSC2 cells for phospho-p38 and total p38. Cells were treated with supernatant from the SLA and IL1β+TNFα as positive controls. "wo" means without and represents unstimulated cells.</w:t>
      </w:r>
    </w:p>
    <w:p w14:paraId="6F8B85E3" w14:textId="1E68422D" w:rsidR="002057C4" w:rsidRPr="00CF3D63" w:rsidRDefault="002057C4" w:rsidP="00EE073F">
      <w:pPr>
        <w:jc w:val="both"/>
        <w:rPr>
          <w:rFonts w:ascii="Times New Roman" w:hAnsi="Times New Roman" w:cs="Times New Roman"/>
          <w:sz w:val="20"/>
          <w:szCs w:val="20"/>
          <w:lang w:val="en-US"/>
        </w:rPr>
      </w:pPr>
    </w:p>
    <w:p w14:paraId="0098D9D2" w14:textId="77777777" w:rsidR="002057C4" w:rsidRPr="00CF3D63" w:rsidRDefault="002057C4" w:rsidP="00EE073F">
      <w:pPr>
        <w:jc w:val="both"/>
        <w:rPr>
          <w:rFonts w:ascii="Times New Roman" w:hAnsi="Times New Roman" w:cs="Times New Roman"/>
          <w:sz w:val="20"/>
          <w:szCs w:val="20"/>
          <w:lang w:val="en-US"/>
        </w:rPr>
      </w:pPr>
    </w:p>
    <w:sectPr w:rsidR="002057C4" w:rsidRPr="00CF3D63" w:rsidSect="00CA4A55">
      <w:pgSz w:w="11910" w:h="16840"/>
      <w:pgMar w:top="1418" w:right="1418" w:bottom="1134" w:left="1418" w:header="760" w:footer="0" w:gutter="0"/>
      <w:cols w:space="708"/>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08"/>
  <w:hyphenationZone w:val="425"/>
  <w:drawingGridHorizontalSpacing w:val="110"/>
  <w:drawingGridVerticalSpacing w:val="299"/>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4A55"/>
    <w:rsid w:val="001179D6"/>
    <w:rsid w:val="00176ED2"/>
    <w:rsid w:val="001B4B1E"/>
    <w:rsid w:val="002057C4"/>
    <w:rsid w:val="00584EBC"/>
    <w:rsid w:val="008E1200"/>
    <w:rsid w:val="00A4683D"/>
    <w:rsid w:val="00AA21DF"/>
    <w:rsid w:val="00AE0292"/>
    <w:rsid w:val="00CA4A55"/>
    <w:rsid w:val="00CA4AA6"/>
    <w:rsid w:val="00CD2DB9"/>
    <w:rsid w:val="00CF3D63"/>
    <w:rsid w:val="00E346FF"/>
    <w:rsid w:val="00E464B1"/>
    <w:rsid w:val="00EE073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08A245"/>
  <w15:chartTrackingRefBased/>
  <w15:docId w15:val="{7A316461-CD98-4FE1-B356-B36C5913FF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4A55"/>
  </w:style>
  <w:style w:type="paragraph" w:styleId="Ttulo1">
    <w:name w:val="heading 1"/>
    <w:basedOn w:val="Normal"/>
    <w:next w:val="Normal"/>
    <w:link w:val="Ttulo1Char"/>
    <w:uiPriority w:val="9"/>
    <w:qFormat/>
    <w:rsid w:val="00CA4A5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CA4A5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CA4A55"/>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CA4A55"/>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CA4A55"/>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CA4A55"/>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CA4A55"/>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CA4A55"/>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CA4A55"/>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CA4A55"/>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CA4A55"/>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CA4A55"/>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CA4A55"/>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CA4A55"/>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CA4A55"/>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CA4A55"/>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CA4A55"/>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CA4A55"/>
    <w:rPr>
      <w:rFonts w:eastAsiaTheme="majorEastAsia" w:cstheme="majorBidi"/>
      <w:color w:val="272727" w:themeColor="text1" w:themeTint="D8"/>
    </w:rPr>
  </w:style>
  <w:style w:type="paragraph" w:styleId="Ttulo">
    <w:name w:val="Title"/>
    <w:basedOn w:val="Normal"/>
    <w:next w:val="Normal"/>
    <w:link w:val="TtuloChar"/>
    <w:uiPriority w:val="10"/>
    <w:qFormat/>
    <w:rsid w:val="00CA4A5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CA4A5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CA4A55"/>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CA4A55"/>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CA4A55"/>
    <w:pPr>
      <w:spacing w:before="160"/>
      <w:jc w:val="center"/>
    </w:pPr>
    <w:rPr>
      <w:i/>
      <w:iCs/>
      <w:color w:val="404040" w:themeColor="text1" w:themeTint="BF"/>
    </w:rPr>
  </w:style>
  <w:style w:type="character" w:customStyle="1" w:styleId="CitaoChar">
    <w:name w:val="Citação Char"/>
    <w:basedOn w:val="Fontepargpadro"/>
    <w:link w:val="Citao"/>
    <w:uiPriority w:val="29"/>
    <w:rsid w:val="00CA4A55"/>
    <w:rPr>
      <w:i/>
      <w:iCs/>
      <w:color w:val="404040" w:themeColor="text1" w:themeTint="BF"/>
    </w:rPr>
  </w:style>
  <w:style w:type="paragraph" w:styleId="PargrafodaLista">
    <w:name w:val="List Paragraph"/>
    <w:basedOn w:val="Normal"/>
    <w:uiPriority w:val="34"/>
    <w:qFormat/>
    <w:rsid w:val="00CA4A55"/>
    <w:pPr>
      <w:ind w:left="720"/>
      <w:contextualSpacing/>
    </w:pPr>
  </w:style>
  <w:style w:type="character" w:styleId="nfaseIntensa">
    <w:name w:val="Intense Emphasis"/>
    <w:basedOn w:val="Fontepargpadro"/>
    <w:uiPriority w:val="21"/>
    <w:qFormat/>
    <w:rsid w:val="00CA4A55"/>
    <w:rPr>
      <w:i/>
      <w:iCs/>
      <w:color w:val="0F4761" w:themeColor="accent1" w:themeShade="BF"/>
    </w:rPr>
  </w:style>
  <w:style w:type="paragraph" w:styleId="CitaoIntensa">
    <w:name w:val="Intense Quote"/>
    <w:basedOn w:val="Normal"/>
    <w:next w:val="Normal"/>
    <w:link w:val="CitaoIntensaChar"/>
    <w:uiPriority w:val="30"/>
    <w:qFormat/>
    <w:rsid w:val="00CA4A5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CA4A55"/>
    <w:rPr>
      <w:i/>
      <w:iCs/>
      <w:color w:val="0F4761" w:themeColor="accent1" w:themeShade="BF"/>
    </w:rPr>
  </w:style>
  <w:style w:type="character" w:styleId="RefernciaIntensa">
    <w:name w:val="Intense Reference"/>
    <w:basedOn w:val="Fontepargpadro"/>
    <w:uiPriority w:val="32"/>
    <w:qFormat/>
    <w:rsid w:val="00CA4A5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tiff"/><Relationship Id="rId3" Type="http://schemas.openxmlformats.org/officeDocument/2006/relationships/webSettings" Target="webSettings.xml"/><Relationship Id="rId7" Type="http://schemas.openxmlformats.org/officeDocument/2006/relationships/image" Target="media/image4.tiff"/><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tiff"/><Relationship Id="rId11" Type="http://schemas.openxmlformats.org/officeDocument/2006/relationships/theme" Target="theme/theme1.xml"/><Relationship Id="rId5" Type="http://schemas.openxmlformats.org/officeDocument/2006/relationships/image" Target="media/image2.tif"/><Relationship Id="rId10" Type="http://schemas.openxmlformats.org/officeDocument/2006/relationships/fontTable" Target="fontTable.xml"/><Relationship Id="rId4" Type="http://schemas.openxmlformats.org/officeDocument/2006/relationships/image" Target="media/image1.tiff"/><Relationship Id="rId9" Type="http://schemas.openxmlformats.org/officeDocument/2006/relationships/image" Target="media/image6.tif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569</Words>
  <Characters>3074</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Natália Sanches</dc:creator>
  <cp:keywords/>
  <dc:description/>
  <cp:lastModifiedBy>Natália Sanches</cp:lastModifiedBy>
  <cp:revision>3</cp:revision>
  <dcterms:created xsi:type="dcterms:W3CDTF">2024-11-01T06:12:00Z</dcterms:created>
  <dcterms:modified xsi:type="dcterms:W3CDTF">2024-11-11T13:40:00Z</dcterms:modified>
</cp:coreProperties>
</file>