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16C9B" w14:textId="77777777" w:rsidR="00AF5D55" w:rsidRPr="00D14764" w:rsidRDefault="00AF5D55" w:rsidP="00AF5D55">
      <w:pPr>
        <w:jc w:val="center"/>
        <w:rPr>
          <w:rFonts w:cstheme="minorHAnsi"/>
          <w:b/>
          <w:bCs/>
          <w:sz w:val="28"/>
          <w:szCs w:val="28"/>
        </w:rPr>
      </w:pPr>
      <w:bookmarkStart w:id="0" w:name="_Hlk159190327"/>
      <w:bookmarkEnd w:id="0"/>
      <w:r w:rsidRPr="00D14764">
        <w:rPr>
          <w:rFonts w:cstheme="minorHAnsi"/>
          <w:b/>
          <w:bCs/>
          <w:sz w:val="28"/>
          <w:szCs w:val="28"/>
        </w:rPr>
        <w:t>SUPPLEMENTAL APPENDIX</w:t>
      </w:r>
    </w:p>
    <w:p w14:paraId="7A6C23AC" w14:textId="77777777" w:rsidR="00AF5D55" w:rsidRPr="00D14764" w:rsidRDefault="00AF5D55" w:rsidP="00AF5D55">
      <w:pPr>
        <w:spacing w:line="480" w:lineRule="auto"/>
        <w:jc w:val="center"/>
        <w:rPr>
          <w:rFonts w:cstheme="minorHAnsi"/>
          <w:b/>
          <w:bCs/>
          <w:sz w:val="20"/>
          <w:szCs w:val="20"/>
          <w:lang w:val="en-GB"/>
        </w:rPr>
      </w:pPr>
    </w:p>
    <w:p w14:paraId="683B8778" w14:textId="0EFECA7C" w:rsidR="00333AAD" w:rsidRDefault="00333AAD" w:rsidP="00F74872">
      <w:pPr>
        <w:spacing w:line="480" w:lineRule="auto"/>
        <w:jc w:val="center"/>
        <w:rPr>
          <w:rFonts w:eastAsia="Times New Roman" w:cstheme="minorHAnsi"/>
          <w:b/>
          <w:bCs/>
          <w:sz w:val="24"/>
          <w:szCs w:val="24"/>
          <w:lang w:val="en-GB"/>
        </w:rPr>
      </w:pPr>
      <w:bookmarkStart w:id="1" w:name="_Hlk159353033"/>
      <w:r w:rsidRPr="00D14764">
        <w:rPr>
          <w:rFonts w:eastAsia="Times New Roman" w:cstheme="minorHAnsi"/>
          <w:b/>
          <w:bCs/>
          <w:sz w:val="24"/>
          <w:szCs w:val="24"/>
          <w:lang w:val="en-GB"/>
        </w:rPr>
        <w:t>Mapping dental biofilms: from plaque index through planimetr</w:t>
      </w:r>
      <w:r w:rsidR="00ED3C0A">
        <w:rPr>
          <w:rFonts w:eastAsia="Times New Roman" w:cstheme="minorHAnsi"/>
          <w:b/>
          <w:bCs/>
          <w:sz w:val="24"/>
          <w:szCs w:val="24"/>
          <w:lang w:val="en-GB"/>
        </w:rPr>
        <w:t xml:space="preserve">y </w:t>
      </w:r>
      <w:r w:rsidRPr="00D14764">
        <w:rPr>
          <w:rFonts w:eastAsia="Times New Roman" w:cstheme="minorHAnsi"/>
          <w:b/>
          <w:bCs/>
          <w:sz w:val="24"/>
          <w:szCs w:val="24"/>
          <w:lang w:val="en-GB"/>
        </w:rPr>
        <w:t>to volumetric analysis</w:t>
      </w:r>
    </w:p>
    <w:p w14:paraId="599B6DC4" w14:textId="77777777" w:rsidR="00D14764" w:rsidRPr="00D14764" w:rsidRDefault="00D14764" w:rsidP="00F74872">
      <w:pPr>
        <w:spacing w:line="480" w:lineRule="auto"/>
        <w:jc w:val="center"/>
        <w:rPr>
          <w:rFonts w:eastAsia="Times New Roman" w:cstheme="minorHAnsi"/>
          <w:b/>
          <w:bCs/>
          <w:sz w:val="24"/>
          <w:szCs w:val="24"/>
          <w:lang w:val="en-GB"/>
        </w:rPr>
      </w:pPr>
    </w:p>
    <w:p w14:paraId="27339409" w14:textId="77777777" w:rsidR="00D7265E" w:rsidRDefault="00D7265E" w:rsidP="00D7265E">
      <w:pPr>
        <w:spacing w:after="0" w:line="480" w:lineRule="auto"/>
        <w:rPr>
          <w:rFonts w:ascii="Calibri" w:hAnsi="Calibri" w:cs="Calibri"/>
          <w:vertAlign w:val="superscript"/>
          <w:lang w:val="en-GB"/>
        </w:rPr>
      </w:pPr>
      <w:bookmarkStart w:id="2" w:name="_Hlk211594165"/>
      <w:bookmarkEnd w:id="1"/>
      <w:r w:rsidRPr="00A872BA">
        <w:rPr>
          <w:rFonts w:ascii="Calibri" w:hAnsi="Calibri" w:cs="Calibri"/>
          <w:u w:val="single"/>
          <w:lang w:val="en-GB"/>
        </w:rPr>
        <w:t>Katja Povšič</w:t>
      </w:r>
      <w:r>
        <w:rPr>
          <w:rFonts w:ascii="Calibri" w:hAnsi="Calibri" w:cs="Calibri"/>
          <w:vertAlign w:val="superscript"/>
          <w:lang w:val="en-GB"/>
        </w:rPr>
        <w:t>1,2</w:t>
      </w:r>
      <w:r w:rsidRPr="00A872BA">
        <w:rPr>
          <w:rFonts w:ascii="Calibri" w:hAnsi="Calibri" w:cs="Calibri"/>
          <w:lang w:val="en-GB"/>
        </w:rPr>
        <w:t xml:space="preserve">, </w:t>
      </w:r>
      <w:r w:rsidRPr="00A872BA">
        <w:rPr>
          <w:rFonts w:ascii="Calibri" w:hAnsi="Calibri" w:cs="Calibri"/>
          <w:u w:val="single"/>
          <w:lang w:val="en-GB"/>
        </w:rPr>
        <w:t>Luka Fijavž</w:t>
      </w:r>
      <w:r>
        <w:rPr>
          <w:rFonts w:ascii="Calibri" w:hAnsi="Calibri" w:cs="Calibri"/>
          <w:vertAlign w:val="superscript"/>
          <w:lang w:val="en-GB"/>
        </w:rPr>
        <w:t>2</w:t>
      </w:r>
      <w:r w:rsidRPr="00A872BA">
        <w:rPr>
          <w:rFonts w:ascii="Calibri" w:hAnsi="Calibri" w:cs="Calibri"/>
          <w:lang w:val="en-GB"/>
        </w:rPr>
        <w:t>, Haris Munjaković</w:t>
      </w:r>
      <w:r>
        <w:rPr>
          <w:rFonts w:ascii="Calibri" w:hAnsi="Calibri" w:cs="Calibri"/>
          <w:vertAlign w:val="superscript"/>
          <w:lang w:val="en-GB"/>
        </w:rPr>
        <w:t>1,2</w:t>
      </w:r>
      <w:r w:rsidRPr="00A872BA">
        <w:rPr>
          <w:rFonts w:ascii="Calibri" w:hAnsi="Calibri" w:cs="Calibri"/>
          <w:lang w:val="en-GB"/>
        </w:rPr>
        <w:t>, Adrian Kašaj</w:t>
      </w:r>
      <w:r>
        <w:rPr>
          <w:rFonts w:ascii="Calibri" w:hAnsi="Calibri" w:cs="Calibri"/>
          <w:vertAlign w:val="superscript"/>
          <w:lang w:val="en-GB"/>
        </w:rPr>
        <w:t>3</w:t>
      </w:r>
      <w:r w:rsidRPr="00A872BA">
        <w:rPr>
          <w:rFonts w:ascii="Calibri" w:hAnsi="Calibri" w:cs="Calibri"/>
          <w:lang w:val="en-GB"/>
        </w:rPr>
        <w:t>, Rok Gašperšič</w:t>
      </w:r>
      <w:r>
        <w:rPr>
          <w:rFonts w:ascii="Calibri" w:hAnsi="Calibri" w:cs="Calibri"/>
          <w:vertAlign w:val="superscript"/>
          <w:lang w:val="en-GB"/>
        </w:rPr>
        <w:t>1,2</w:t>
      </w:r>
    </w:p>
    <w:p w14:paraId="00C2F577" w14:textId="77777777" w:rsidR="00D7265E" w:rsidRPr="00A872BA" w:rsidRDefault="00D7265E" w:rsidP="00D7265E">
      <w:pPr>
        <w:spacing w:after="0" w:line="480" w:lineRule="auto"/>
        <w:rPr>
          <w:rFonts w:ascii="Calibri" w:hAnsi="Calibri" w:cs="Calibri"/>
          <w:vertAlign w:val="superscript"/>
          <w:lang w:val="en-GB"/>
        </w:rPr>
      </w:pPr>
    </w:p>
    <w:bookmarkEnd w:id="2"/>
    <w:p w14:paraId="524F81B0" w14:textId="77777777" w:rsidR="00D7265E" w:rsidRPr="00A872BA" w:rsidRDefault="00D7265E" w:rsidP="00D7265E">
      <w:pPr>
        <w:spacing w:after="0" w:line="480" w:lineRule="auto"/>
        <w:rPr>
          <w:rFonts w:ascii="Calibri" w:hAnsi="Calibri" w:cs="Calibri"/>
          <w:lang w:val="en-GB"/>
        </w:rPr>
      </w:pPr>
      <w:r>
        <w:rPr>
          <w:rFonts w:ascii="Calibri" w:hAnsi="Calibri" w:cs="Calibri"/>
          <w:vertAlign w:val="superscript"/>
          <w:lang w:val="en-GB"/>
        </w:rPr>
        <w:t>1</w:t>
      </w:r>
      <w:r w:rsidRPr="00A872BA">
        <w:rPr>
          <w:rFonts w:ascii="Calibri" w:hAnsi="Calibri" w:cs="Calibri"/>
          <w:vertAlign w:val="superscript"/>
          <w:lang w:val="en-GB"/>
        </w:rPr>
        <w:t xml:space="preserve"> </w:t>
      </w:r>
      <w:r w:rsidRPr="00A872BA">
        <w:rPr>
          <w:rFonts w:ascii="Calibri" w:hAnsi="Calibri" w:cs="Calibri"/>
          <w:lang w:val="en-GB"/>
        </w:rPr>
        <w:t xml:space="preserve">Department of Oral Medicine and Periodontology, University Medical Centre Ljubljana, Ljubljana, Slovenia </w:t>
      </w:r>
    </w:p>
    <w:p w14:paraId="4F2F2444" w14:textId="77777777" w:rsidR="00D7265E" w:rsidRPr="00A872BA" w:rsidRDefault="00D7265E" w:rsidP="00D7265E">
      <w:pPr>
        <w:spacing w:after="0" w:line="480" w:lineRule="auto"/>
        <w:rPr>
          <w:rFonts w:ascii="Calibri" w:hAnsi="Calibri" w:cs="Calibri"/>
          <w:lang w:val="en-GB"/>
        </w:rPr>
      </w:pPr>
      <w:r>
        <w:rPr>
          <w:rFonts w:ascii="Calibri" w:hAnsi="Calibri" w:cs="Calibri"/>
          <w:vertAlign w:val="superscript"/>
          <w:lang w:val="en-GB"/>
        </w:rPr>
        <w:t>2</w:t>
      </w:r>
      <w:r w:rsidRPr="00A872BA">
        <w:rPr>
          <w:rFonts w:ascii="Calibri" w:hAnsi="Calibri" w:cs="Calibri"/>
          <w:vertAlign w:val="superscript"/>
          <w:lang w:val="en-GB"/>
        </w:rPr>
        <w:t xml:space="preserve"> </w:t>
      </w:r>
      <w:r w:rsidRPr="00A872BA">
        <w:rPr>
          <w:rFonts w:ascii="Calibri" w:hAnsi="Calibri" w:cs="Calibri"/>
          <w:lang w:val="en-GB"/>
        </w:rPr>
        <w:t>Department of Oral medicine and Periodontology, Faculty of Medicine, University of Ljubljana, Ljubljana, Slovenia</w:t>
      </w:r>
    </w:p>
    <w:p w14:paraId="5E8F1626" w14:textId="77777777" w:rsidR="00D7265E" w:rsidRPr="00A872BA" w:rsidRDefault="00D7265E" w:rsidP="00D7265E">
      <w:pPr>
        <w:spacing w:after="0" w:line="480" w:lineRule="auto"/>
        <w:rPr>
          <w:rFonts w:ascii="Calibri" w:hAnsi="Calibri" w:cs="Calibri"/>
          <w:lang w:val="en-GB"/>
        </w:rPr>
      </w:pPr>
      <w:r>
        <w:rPr>
          <w:rFonts w:ascii="Calibri" w:hAnsi="Calibri" w:cs="Calibri"/>
          <w:vertAlign w:val="superscript"/>
          <w:lang w:val="en-GB"/>
        </w:rPr>
        <w:t>3</w:t>
      </w:r>
      <w:r w:rsidRPr="00A872BA">
        <w:rPr>
          <w:rFonts w:ascii="Calibri" w:hAnsi="Calibri" w:cs="Calibri"/>
          <w:vertAlign w:val="superscript"/>
          <w:lang w:val="en-GB"/>
        </w:rPr>
        <w:t xml:space="preserve"> </w:t>
      </w:r>
      <w:r w:rsidRPr="00A872BA">
        <w:rPr>
          <w:rFonts w:ascii="Calibri" w:hAnsi="Calibri" w:cs="Calibri"/>
          <w:lang w:val="en-GB"/>
        </w:rPr>
        <w:t>Department of Periodontology and Operative Dentistry, University Medical Centre Mainz, Mainz, Germany</w:t>
      </w:r>
    </w:p>
    <w:p w14:paraId="30834E20" w14:textId="77777777" w:rsidR="00AF5D55" w:rsidRPr="00D14764" w:rsidRDefault="00AF5D55" w:rsidP="00AF5D55">
      <w:pPr>
        <w:spacing w:line="480" w:lineRule="auto"/>
        <w:rPr>
          <w:rFonts w:cstheme="minorHAnsi"/>
        </w:rPr>
      </w:pPr>
      <w:r w:rsidRPr="00D14764">
        <w:rPr>
          <w:rFonts w:cstheme="minorHAnsi"/>
        </w:rPr>
        <w:t xml:space="preserve"> </w:t>
      </w:r>
    </w:p>
    <w:p w14:paraId="3858F9AB" w14:textId="6E77DE58" w:rsidR="00AF5D55" w:rsidRPr="00D14764" w:rsidRDefault="00AF5D55" w:rsidP="00AF5D55">
      <w:pPr>
        <w:spacing w:line="480" w:lineRule="auto"/>
        <w:rPr>
          <w:rFonts w:cstheme="minorHAnsi"/>
        </w:rPr>
      </w:pPr>
      <w:r w:rsidRPr="00D14764">
        <w:rPr>
          <w:rFonts w:cstheme="minorHAnsi"/>
          <w:b/>
          <w:bCs/>
        </w:rPr>
        <w:t>Corresponding author:</w:t>
      </w:r>
      <w:r w:rsidRPr="00D14764">
        <w:rPr>
          <w:rFonts w:cstheme="minorHAnsi"/>
        </w:rPr>
        <w:t xml:space="preserve"> </w:t>
      </w:r>
      <w:r w:rsidR="00441A17" w:rsidRPr="00D14764">
        <w:rPr>
          <w:rFonts w:cstheme="minorHAnsi"/>
          <w:lang w:val="en-GB"/>
        </w:rPr>
        <w:t>Katja Povšič</w:t>
      </w:r>
      <w:r w:rsidRPr="00D14764">
        <w:rPr>
          <w:rFonts w:cstheme="minorHAnsi"/>
        </w:rPr>
        <w:t>, Department of Oral Medicine and Periodontology, Faculty of Medicine, University of Ljubljana, Hrvatski trg 6, 1000 Ljubljana, Slovenia</w:t>
      </w:r>
      <w:r w:rsidRPr="00D14764">
        <w:rPr>
          <w:rFonts w:cstheme="minorHAnsi"/>
          <w:lang w:val="en-GB"/>
        </w:rPr>
        <w:t>; tele</w:t>
      </w:r>
      <w:r w:rsidRPr="00D14764">
        <w:rPr>
          <w:rFonts w:cstheme="minorHAnsi"/>
        </w:rPr>
        <w:t>phone</w:t>
      </w:r>
      <w:r w:rsidRPr="00D14764">
        <w:rPr>
          <w:rFonts w:cstheme="minorHAnsi"/>
          <w:lang w:val="en-GB"/>
        </w:rPr>
        <w:t>:</w:t>
      </w:r>
      <w:r w:rsidRPr="00D14764">
        <w:rPr>
          <w:rFonts w:cstheme="minorHAnsi"/>
        </w:rPr>
        <w:t xml:space="preserve"> 0038615224889 (</w:t>
      </w:r>
      <w:bookmarkStart w:id="3" w:name="_Hlk159353062"/>
      <w:r w:rsidR="00441A17" w:rsidRPr="00D14764">
        <w:rPr>
          <w:rFonts w:cstheme="minorHAnsi"/>
          <w:lang w:val="en-GB"/>
        </w:rPr>
        <w:t>katja.povsic</w:t>
      </w:r>
      <w:r w:rsidRPr="00D14764">
        <w:rPr>
          <w:rFonts w:cstheme="minorHAnsi"/>
        </w:rPr>
        <w:t>@</w:t>
      </w:r>
      <w:r w:rsidR="00441A17" w:rsidRPr="00D14764">
        <w:rPr>
          <w:rFonts w:cstheme="minorHAnsi"/>
          <w:lang w:val="en-GB"/>
        </w:rPr>
        <w:t>kc</w:t>
      </w:r>
      <w:r w:rsidRPr="00D14764">
        <w:rPr>
          <w:rFonts w:cstheme="minorHAnsi"/>
          <w:lang w:val="en-GB"/>
        </w:rPr>
        <w:t>lj</w:t>
      </w:r>
      <w:r w:rsidRPr="00D14764">
        <w:rPr>
          <w:rFonts w:cstheme="minorHAnsi"/>
        </w:rPr>
        <w:t>.si</w:t>
      </w:r>
      <w:bookmarkEnd w:id="3"/>
      <w:r w:rsidRPr="00D14764">
        <w:rPr>
          <w:rFonts w:cstheme="minorHAnsi"/>
        </w:rPr>
        <w:t>).</w:t>
      </w:r>
    </w:p>
    <w:p w14:paraId="6296532A" w14:textId="780908CD" w:rsidR="00AF5D55" w:rsidRPr="00D14764" w:rsidRDefault="00AF5D55" w:rsidP="00AF5D55">
      <w:pPr>
        <w:spacing w:after="240"/>
        <w:rPr>
          <w:rFonts w:cstheme="minorHAnsi"/>
          <w:b/>
          <w:bCs/>
          <w:sz w:val="20"/>
          <w:szCs w:val="20"/>
        </w:rPr>
      </w:pPr>
    </w:p>
    <w:p w14:paraId="42D472AA" w14:textId="77777777" w:rsidR="00AF5D55" w:rsidRPr="00D14764" w:rsidRDefault="00AF5D55" w:rsidP="00630A82">
      <w:pPr>
        <w:spacing w:line="480" w:lineRule="auto"/>
        <w:jc w:val="both"/>
        <w:rPr>
          <w:rFonts w:eastAsia="Times New Roman" w:cstheme="minorHAnsi"/>
          <w:sz w:val="20"/>
          <w:szCs w:val="20"/>
          <w:lang w:val="en-GB"/>
        </w:rPr>
      </w:pPr>
    </w:p>
    <w:p w14:paraId="331BC45B" w14:textId="77777777" w:rsidR="00322C77" w:rsidRPr="00D14764" w:rsidRDefault="00322C77">
      <w:pPr>
        <w:rPr>
          <w:rFonts w:eastAsia="Times New Roman" w:cstheme="minorHAnsi"/>
          <w:b/>
          <w:bCs/>
          <w:sz w:val="20"/>
          <w:szCs w:val="20"/>
          <w:lang w:val="en-GB"/>
        </w:rPr>
      </w:pPr>
      <w:r w:rsidRPr="00D14764">
        <w:rPr>
          <w:rFonts w:eastAsia="Times New Roman" w:cstheme="minorHAnsi"/>
          <w:b/>
          <w:bCs/>
          <w:sz w:val="20"/>
          <w:szCs w:val="20"/>
          <w:lang w:val="en-GB"/>
        </w:rPr>
        <w:br w:type="page"/>
      </w:r>
    </w:p>
    <w:p w14:paraId="505E26F7" w14:textId="14E624D6" w:rsidR="00CA3CC8" w:rsidRPr="00CA3CC8" w:rsidRDefault="00CA3CC8" w:rsidP="00CA3CC8">
      <w:pPr>
        <w:spacing w:line="480" w:lineRule="auto"/>
        <w:rPr>
          <w:rFonts w:cstheme="minorHAnsi"/>
          <w:lang w:val="en-GB"/>
        </w:rPr>
      </w:pPr>
      <w:r w:rsidRPr="00CA3CC8">
        <w:rPr>
          <w:rFonts w:cstheme="minorHAnsi"/>
          <w:b/>
          <w:bCs/>
          <w:lang w:val="en-GB"/>
        </w:rPr>
        <w:lastRenderedPageBreak/>
        <w:t>Supplementary table 1.</w:t>
      </w:r>
      <w:r w:rsidRPr="00CA3CC8">
        <w:rPr>
          <w:rFonts w:cstheme="minorHAnsi"/>
          <w:lang w:val="en-GB"/>
        </w:rPr>
        <w:t xml:space="preserve"> </w:t>
      </w:r>
      <w:r w:rsidRPr="00CA3CC8">
        <w:rPr>
          <w:rFonts w:eastAsia="Times New Roman" w:cstheme="minorHAnsi"/>
          <w:lang w:val="en-GB"/>
        </w:rPr>
        <w:t>Inclusion and exclusion criteria.</w:t>
      </w:r>
    </w:p>
    <w:tbl>
      <w:tblPr>
        <w:tblW w:w="9070"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4535"/>
        <w:gridCol w:w="4535"/>
      </w:tblGrid>
      <w:tr w:rsidR="00CA3CC8" w:rsidRPr="00CA3CC8" w14:paraId="06105C35" w14:textId="77777777" w:rsidTr="00FD37F0">
        <w:trPr>
          <w:trHeight w:val="510"/>
        </w:trPr>
        <w:tc>
          <w:tcPr>
            <w:tcW w:w="4535" w:type="dxa"/>
            <w:tcBorders>
              <w:top w:val="single" w:sz="4" w:space="0" w:color="auto"/>
              <w:left w:val="nil"/>
              <w:bottom w:val="single" w:sz="4" w:space="0" w:color="auto"/>
              <w:right w:val="nil"/>
            </w:tcBorders>
            <w:noWrap/>
            <w:vAlign w:val="center"/>
            <w:hideMark/>
          </w:tcPr>
          <w:p w14:paraId="4709AD4B" w14:textId="77777777" w:rsidR="00CA3CC8" w:rsidRPr="00CA3CC8" w:rsidRDefault="00CA3CC8" w:rsidP="00FD37F0">
            <w:pPr>
              <w:spacing w:after="0" w:line="240" w:lineRule="auto"/>
              <w:jc w:val="center"/>
              <w:rPr>
                <w:rFonts w:eastAsia="Times New Roman" w:cstheme="minorHAnsi"/>
                <w:b/>
                <w:bCs/>
                <w:color w:val="000000"/>
                <w:lang w:val="en-GB" w:eastAsia="sl-SI"/>
              </w:rPr>
            </w:pPr>
            <w:r w:rsidRPr="00CA3CC8">
              <w:rPr>
                <w:rFonts w:eastAsia="Times New Roman" w:cstheme="minorHAnsi"/>
                <w:b/>
                <w:bCs/>
                <w:color w:val="000000"/>
                <w:lang w:val="en-GB" w:eastAsia="sl-SI"/>
              </w:rPr>
              <w:t>Inclusion criteria</w:t>
            </w:r>
          </w:p>
        </w:tc>
        <w:tc>
          <w:tcPr>
            <w:tcW w:w="4535" w:type="dxa"/>
            <w:tcBorders>
              <w:top w:val="single" w:sz="4" w:space="0" w:color="auto"/>
              <w:left w:val="nil"/>
              <w:bottom w:val="single" w:sz="4" w:space="0" w:color="auto"/>
              <w:right w:val="nil"/>
            </w:tcBorders>
            <w:shd w:val="clear" w:color="auto" w:fill="F2F2F2" w:themeFill="background1" w:themeFillShade="F2"/>
            <w:vAlign w:val="center"/>
          </w:tcPr>
          <w:p w14:paraId="5949FA33" w14:textId="77777777" w:rsidR="00CA3CC8" w:rsidRPr="00CA3CC8" w:rsidRDefault="00CA3CC8" w:rsidP="00FD37F0">
            <w:pPr>
              <w:spacing w:after="0" w:line="240" w:lineRule="auto"/>
              <w:jc w:val="center"/>
              <w:rPr>
                <w:rFonts w:eastAsia="Times New Roman" w:cstheme="minorHAnsi"/>
                <w:b/>
                <w:bCs/>
                <w:color w:val="000000"/>
                <w:lang w:val="en-GB" w:eastAsia="sl-SI"/>
              </w:rPr>
            </w:pPr>
            <w:r w:rsidRPr="00CA3CC8">
              <w:rPr>
                <w:rFonts w:eastAsia="Times New Roman" w:cstheme="minorHAnsi"/>
                <w:b/>
                <w:bCs/>
                <w:color w:val="000000"/>
                <w:lang w:val="en-GB" w:eastAsia="sl-SI"/>
              </w:rPr>
              <w:t>Exclusion criteria</w:t>
            </w:r>
          </w:p>
        </w:tc>
      </w:tr>
      <w:tr w:rsidR="00CA3CC8" w:rsidRPr="00CA3CC8" w14:paraId="49E3C65D" w14:textId="77777777" w:rsidTr="00FD37F0">
        <w:trPr>
          <w:trHeight w:val="510"/>
        </w:trPr>
        <w:tc>
          <w:tcPr>
            <w:tcW w:w="4535" w:type="dxa"/>
            <w:tcBorders>
              <w:top w:val="nil"/>
              <w:left w:val="nil"/>
              <w:bottom w:val="nil"/>
              <w:right w:val="nil"/>
            </w:tcBorders>
            <w:noWrap/>
            <w:hideMark/>
          </w:tcPr>
          <w:p w14:paraId="3CAE2363" w14:textId="77777777" w:rsidR="00CA3CC8" w:rsidRPr="00CA3CC8" w:rsidRDefault="00CA3CC8" w:rsidP="00CA3CC8">
            <w:pPr>
              <w:pStyle w:val="ListParagraph"/>
              <w:numPr>
                <w:ilvl w:val="0"/>
                <w:numId w:val="2"/>
              </w:numPr>
              <w:spacing w:before="120" w:after="0" w:line="360" w:lineRule="auto"/>
              <w:ind w:left="497" w:hanging="357"/>
              <w:rPr>
                <w:rFonts w:eastAsia="Times New Roman" w:cstheme="minorHAnsi"/>
                <w:b/>
                <w:bCs/>
                <w:color w:val="000000"/>
                <w:lang w:val="en-GB" w:eastAsia="sl-SI"/>
              </w:rPr>
            </w:pPr>
            <w:r w:rsidRPr="00CA3CC8">
              <w:rPr>
                <w:rFonts w:eastAsia="Times New Roman" w:cstheme="minorHAnsi"/>
                <w:lang w:val="en-GB"/>
              </w:rPr>
              <w:t>Age 20-30 years</w:t>
            </w:r>
          </w:p>
          <w:p w14:paraId="7F906766" w14:textId="77777777" w:rsidR="00CA3CC8" w:rsidRPr="00CA3CC8" w:rsidRDefault="00CA3CC8" w:rsidP="00CA3CC8">
            <w:pPr>
              <w:pStyle w:val="ListParagraph"/>
              <w:numPr>
                <w:ilvl w:val="0"/>
                <w:numId w:val="2"/>
              </w:numPr>
              <w:spacing w:before="120" w:after="0" w:line="360" w:lineRule="auto"/>
              <w:ind w:left="497" w:hanging="357"/>
              <w:rPr>
                <w:rFonts w:eastAsia="Times New Roman" w:cstheme="minorHAnsi"/>
                <w:b/>
                <w:bCs/>
                <w:color w:val="000000"/>
                <w:lang w:val="en-GB" w:eastAsia="sl-SI"/>
              </w:rPr>
            </w:pPr>
            <w:r w:rsidRPr="00CA3CC8">
              <w:rPr>
                <w:rFonts w:eastAsia="Times New Roman" w:cstheme="minorHAnsi"/>
                <w:lang w:val="en-GB"/>
              </w:rPr>
              <w:t>Non-smokers</w:t>
            </w:r>
          </w:p>
          <w:p w14:paraId="61DBBD79" w14:textId="77777777" w:rsidR="00CA3CC8" w:rsidRPr="00CA3CC8" w:rsidRDefault="00CA3CC8" w:rsidP="00CA3CC8">
            <w:pPr>
              <w:pStyle w:val="ListParagraph"/>
              <w:numPr>
                <w:ilvl w:val="0"/>
                <w:numId w:val="2"/>
              </w:numPr>
              <w:spacing w:before="120" w:after="0" w:line="360" w:lineRule="auto"/>
              <w:ind w:left="497" w:hanging="357"/>
              <w:rPr>
                <w:rFonts w:eastAsia="Times New Roman" w:cstheme="minorHAnsi"/>
                <w:b/>
                <w:bCs/>
                <w:color w:val="000000"/>
                <w:lang w:val="en-GB" w:eastAsia="sl-SI"/>
              </w:rPr>
            </w:pPr>
            <w:r w:rsidRPr="00CA3CC8">
              <w:rPr>
                <w:rFonts w:eastAsia="Times New Roman" w:cstheme="minorHAnsi"/>
                <w:lang w:val="en-GB"/>
              </w:rPr>
              <w:t>Systemically healthy</w:t>
            </w:r>
          </w:p>
          <w:p w14:paraId="4600A9E4" w14:textId="77777777" w:rsidR="00CA3CC8" w:rsidRPr="00CA3CC8" w:rsidRDefault="00CA3CC8" w:rsidP="00CA3CC8">
            <w:pPr>
              <w:pStyle w:val="ListParagraph"/>
              <w:numPr>
                <w:ilvl w:val="0"/>
                <w:numId w:val="2"/>
              </w:numPr>
              <w:spacing w:before="120" w:after="0" w:line="360" w:lineRule="auto"/>
              <w:ind w:left="497" w:hanging="357"/>
              <w:rPr>
                <w:rFonts w:eastAsia="Times New Roman" w:cstheme="minorHAnsi"/>
                <w:b/>
                <w:bCs/>
                <w:color w:val="000000"/>
                <w:lang w:val="en-GB" w:eastAsia="sl-SI"/>
              </w:rPr>
            </w:pPr>
            <w:r w:rsidRPr="00CA3CC8">
              <w:rPr>
                <w:rFonts w:eastAsia="Times New Roman" w:cstheme="minorHAnsi"/>
                <w:lang w:val="en-GB"/>
              </w:rPr>
              <w:t>No regular systemic medication</w:t>
            </w:r>
          </w:p>
          <w:p w14:paraId="22826EFD" w14:textId="77777777" w:rsidR="00CA3CC8" w:rsidRPr="00CA3CC8" w:rsidRDefault="00CA3CC8" w:rsidP="00CA3CC8">
            <w:pPr>
              <w:pStyle w:val="ListParagraph"/>
              <w:numPr>
                <w:ilvl w:val="0"/>
                <w:numId w:val="2"/>
              </w:numPr>
              <w:spacing w:before="120" w:after="0" w:line="360" w:lineRule="auto"/>
              <w:ind w:left="497" w:hanging="357"/>
              <w:rPr>
                <w:rFonts w:eastAsia="Times New Roman" w:cstheme="minorHAnsi"/>
                <w:b/>
                <w:bCs/>
                <w:color w:val="000000"/>
                <w:lang w:val="en-GB" w:eastAsia="sl-SI"/>
              </w:rPr>
            </w:pPr>
            <w:r w:rsidRPr="00CA3CC8">
              <w:rPr>
                <w:rFonts w:eastAsia="Times New Roman" w:cstheme="minorHAnsi"/>
                <w:lang w:val="en-GB"/>
              </w:rPr>
              <w:t>Presence of at least 6 teeth in each jaw quadrant</w:t>
            </w:r>
          </w:p>
          <w:p w14:paraId="00E8AD9D" w14:textId="77777777" w:rsidR="00CA3CC8" w:rsidRPr="00CA3CC8" w:rsidRDefault="00CA3CC8" w:rsidP="00CA3CC8">
            <w:pPr>
              <w:pStyle w:val="ListParagraph"/>
              <w:numPr>
                <w:ilvl w:val="0"/>
                <w:numId w:val="2"/>
              </w:numPr>
              <w:spacing w:before="120" w:after="0" w:line="360" w:lineRule="auto"/>
              <w:ind w:left="497" w:hanging="357"/>
              <w:rPr>
                <w:rFonts w:eastAsia="Times New Roman" w:cstheme="minorHAnsi"/>
                <w:b/>
                <w:bCs/>
                <w:color w:val="000000"/>
                <w:lang w:val="en-GB" w:eastAsia="sl-SI"/>
              </w:rPr>
            </w:pPr>
            <w:r w:rsidRPr="00CA3CC8">
              <w:rPr>
                <w:rFonts w:eastAsia="Times New Roman" w:cstheme="minorHAnsi"/>
                <w:lang w:val="en-GB"/>
              </w:rPr>
              <w:t>Plaque index &lt; 10 % at baseline</w:t>
            </w:r>
          </w:p>
          <w:p w14:paraId="7959215F" w14:textId="77777777" w:rsidR="00CA3CC8" w:rsidRPr="00CA3CC8" w:rsidRDefault="00CA3CC8" w:rsidP="00CA3CC8">
            <w:pPr>
              <w:pStyle w:val="ListParagraph"/>
              <w:numPr>
                <w:ilvl w:val="0"/>
                <w:numId w:val="2"/>
              </w:numPr>
              <w:spacing w:before="120" w:after="0" w:line="360" w:lineRule="auto"/>
              <w:ind w:left="497" w:hanging="357"/>
              <w:rPr>
                <w:rFonts w:eastAsia="Times New Roman" w:cstheme="minorHAnsi"/>
                <w:b/>
                <w:bCs/>
                <w:color w:val="000000"/>
                <w:lang w:val="en-GB" w:eastAsia="sl-SI"/>
              </w:rPr>
            </w:pPr>
            <w:r w:rsidRPr="00CA3CC8">
              <w:rPr>
                <w:rFonts w:eastAsia="Times New Roman" w:cstheme="minorHAnsi"/>
                <w:lang w:val="en-GB"/>
              </w:rPr>
              <w:t>No periodontal pockets measuring &gt; 4 mm</w:t>
            </w:r>
          </w:p>
        </w:tc>
        <w:tc>
          <w:tcPr>
            <w:tcW w:w="4535" w:type="dxa"/>
            <w:tcBorders>
              <w:top w:val="nil"/>
              <w:left w:val="nil"/>
              <w:bottom w:val="nil"/>
              <w:right w:val="nil"/>
            </w:tcBorders>
            <w:shd w:val="clear" w:color="auto" w:fill="F2F2F2" w:themeFill="background1" w:themeFillShade="F2"/>
          </w:tcPr>
          <w:p w14:paraId="6B622256" w14:textId="77777777" w:rsidR="00CA3CC8" w:rsidRPr="00CA3CC8" w:rsidRDefault="00CA3CC8" w:rsidP="00CA3CC8">
            <w:pPr>
              <w:pStyle w:val="ListParagraph"/>
              <w:numPr>
                <w:ilvl w:val="0"/>
                <w:numId w:val="2"/>
              </w:numPr>
              <w:spacing w:before="120" w:after="0" w:line="360" w:lineRule="auto"/>
              <w:ind w:left="493" w:hanging="357"/>
              <w:contextualSpacing w:val="0"/>
              <w:rPr>
                <w:rFonts w:eastAsia="Times New Roman" w:cstheme="minorHAnsi"/>
                <w:b/>
                <w:bCs/>
                <w:color w:val="000000"/>
                <w:lang w:val="en-GB" w:eastAsia="sl-SI"/>
              </w:rPr>
            </w:pPr>
            <w:r w:rsidRPr="00CA3CC8">
              <w:rPr>
                <w:rFonts w:eastAsia="Times New Roman" w:cstheme="minorHAnsi"/>
                <w:lang w:val="en-GB"/>
              </w:rPr>
              <w:t>Gingivitis</w:t>
            </w:r>
          </w:p>
          <w:p w14:paraId="2ECC271E" w14:textId="77777777" w:rsidR="00CA3CC8" w:rsidRPr="00CA3CC8" w:rsidRDefault="00CA3CC8" w:rsidP="00CA3CC8">
            <w:pPr>
              <w:pStyle w:val="ListParagraph"/>
              <w:numPr>
                <w:ilvl w:val="0"/>
                <w:numId w:val="2"/>
              </w:numPr>
              <w:spacing w:before="120" w:after="0" w:line="360" w:lineRule="auto"/>
              <w:ind w:left="493" w:hanging="357"/>
              <w:rPr>
                <w:rFonts w:eastAsia="Times New Roman" w:cstheme="minorHAnsi"/>
                <w:b/>
                <w:bCs/>
                <w:color w:val="000000"/>
                <w:lang w:val="en-GB" w:eastAsia="sl-SI"/>
              </w:rPr>
            </w:pPr>
            <w:bookmarkStart w:id="4" w:name="_Hlk191979980"/>
            <w:r w:rsidRPr="00CA3CC8">
              <w:rPr>
                <w:rFonts w:eastAsia="Times New Roman" w:cstheme="minorHAnsi"/>
                <w:lang w:val="en-GB"/>
              </w:rPr>
              <w:t>Regular use of a mouthwash as part of oral hygiene routine</w:t>
            </w:r>
          </w:p>
          <w:bookmarkEnd w:id="4"/>
          <w:p w14:paraId="690576B3" w14:textId="77777777" w:rsidR="00CA3CC8" w:rsidRPr="00CA3CC8" w:rsidRDefault="00CA3CC8" w:rsidP="00CA3CC8">
            <w:pPr>
              <w:pStyle w:val="ListParagraph"/>
              <w:numPr>
                <w:ilvl w:val="0"/>
                <w:numId w:val="2"/>
              </w:numPr>
              <w:spacing w:before="120" w:after="0" w:line="360" w:lineRule="auto"/>
              <w:ind w:left="493" w:hanging="357"/>
              <w:rPr>
                <w:rFonts w:eastAsia="Times New Roman" w:cstheme="minorHAnsi"/>
                <w:b/>
                <w:bCs/>
                <w:color w:val="000000"/>
                <w:lang w:val="en-GB" w:eastAsia="sl-SI"/>
              </w:rPr>
            </w:pPr>
            <w:r w:rsidRPr="00CA3CC8">
              <w:rPr>
                <w:rFonts w:eastAsia="Times New Roman" w:cstheme="minorHAnsi"/>
                <w:lang w:val="en-GB"/>
              </w:rPr>
              <w:t xml:space="preserve">Antibiotic treatment in the last 6 months </w:t>
            </w:r>
          </w:p>
          <w:p w14:paraId="11A791D6" w14:textId="77777777" w:rsidR="00CA3CC8" w:rsidRPr="00CA3CC8" w:rsidRDefault="00CA3CC8" w:rsidP="00CA3CC8">
            <w:pPr>
              <w:pStyle w:val="ListParagraph"/>
              <w:numPr>
                <w:ilvl w:val="0"/>
                <w:numId w:val="2"/>
              </w:numPr>
              <w:spacing w:before="120" w:after="0" w:line="360" w:lineRule="auto"/>
              <w:ind w:left="493" w:hanging="357"/>
              <w:rPr>
                <w:rFonts w:eastAsia="Times New Roman" w:cstheme="minorHAnsi"/>
                <w:b/>
                <w:bCs/>
                <w:color w:val="000000"/>
                <w:lang w:val="en-GB" w:eastAsia="sl-SI"/>
              </w:rPr>
            </w:pPr>
            <w:r w:rsidRPr="00CA3CC8">
              <w:rPr>
                <w:rFonts w:eastAsia="Times New Roman" w:cstheme="minorHAnsi"/>
                <w:lang w:val="en-GB"/>
              </w:rPr>
              <w:t>Pregnancy</w:t>
            </w:r>
          </w:p>
          <w:p w14:paraId="64928C4B" w14:textId="77777777" w:rsidR="00CA3CC8" w:rsidRPr="00CA3CC8" w:rsidRDefault="00CA3CC8" w:rsidP="00CA3CC8">
            <w:pPr>
              <w:pStyle w:val="ListParagraph"/>
              <w:numPr>
                <w:ilvl w:val="0"/>
                <w:numId w:val="2"/>
              </w:numPr>
              <w:spacing w:before="120" w:after="0" w:line="360" w:lineRule="auto"/>
              <w:ind w:left="493" w:hanging="357"/>
              <w:rPr>
                <w:rFonts w:eastAsia="Times New Roman" w:cstheme="minorHAnsi"/>
                <w:b/>
                <w:bCs/>
                <w:color w:val="000000"/>
                <w:lang w:val="en-GB" w:eastAsia="sl-SI"/>
              </w:rPr>
            </w:pPr>
            <w:r w:rsidRPr="00CA3CC8">
              <w:rPr>
                <w:rFonts w:eastAsia="Times New Roman" w:cstheme="minorHAnsi"/>
                <w:lang w:val="en-GB"/>
              </w:rPr>
              <w:t>Lactation</w:t>
            </w:r>
          </w:p>
          <w:p w14:paraId="651CF302" w14:textId="77777777" w:rsidR="00CA3CC8" w:rsidRPr="00CA3CC8" w:rsidRDefault="00CA3CC8" w:rsidP="00CA3CC8">
            <w:pPr>
              <w:pStyle w:val="ListParagraph"/>
              <w:numPr>
                <w:ilvl w:val="0"/>
                <w:numId w:val="2"/>
              </w:numPr>
              <w:spacing w:before="120" w:after="0" w:line="360" w:lineRule="auto"/>
              <w:ind w:left="493" w:hanging="357"/>
              <w:rPr>
                <w:rFonts w:eastAsia="Times New Roman" w:cstheme="minorHAnsi"/>
                <w:b/>
                <w:bCs/>
                <w:color w:val="000000"/>
                <w:lang w:val="en-GB" w:eastAsia="sl-SI"/>
              </w:rPr>
            </w:pPr>
            <w:r w:rsidRPr="00CA3CC8">
              <w:rPr>
                <w:rFonts w:eastAsia="Times New Roman" w:cstheme="minorHAnsi"/>
                <w:lang w:val="en-GB"/>
              </w:rPr>
              <w:t>Fixed/removable prosthetic devices</w:t>
            </w:r>
          </w:p>
          <w:p w14:paraId="22A384CC" w14:textId="77777777" w:rsidR="00CA3CC8" w:rsidRPr="00CA3CC8" w:rsidRDefault="00CA3CC8" w:rsidP="00CA3CC8">
            <w:pPr>
              <w:pStyle w:val="ListParagraph"/>
              <w:numPr>
                <w:ilvl w:val="0"/>
                <w:numId w:val="2"/>
              </w:numPr>
              <w:spacing w:before="120" w:after="0" w:line="360" w:lineRule="auto"/>
              <w:ind w:left="493" w:hanging="357"/>
              <w:rPr>
                <w:rFonts w:eastAsia="Times New Roman" w:cstheme="minorHAnsi"/>
                <w:b/>
                <w:bCs/>
                <w:color w:val="000000"/>
                <w:lang w:val="en-GB" w:eastAsia="sl-SI"/>
              </w:rPr>
            </w:pPr>
            <w:r w:rsidRPr="00CA3CC8">
              <w:rPr>
                <w:rFonts w:eastAsia="Times New Roman" w:cstheme="minorHAnsi"/>
                <w:lang w:val="en-GB"/>
              </w:rPr>
              <w:t>Dental implants</w:t>
            </w:r>
          </w:p>
          <w:p w14:paraId="762A3D41" w14:textId="77777777" w:rsidR="00CA3CC8" w:rsidRPr="00CA3CC8" w:rsidRDefault="00CA3CC8" w:rsidP="00CA3CC8">
            <w:pPr>
              <w:pStyle w:val="ListParagraph"/>
              <w:numPr>
                <w:ilvl w:val="0"/>
                <w:numId w:val="2"/>
              </w:numPr>
              <w:spacing w:before="120" w:after="0" w:line="360" w:lineRule="auto"/>
              <w:ind w:left="493" w:hanging="357"/>
              <w:rPr>
                <w:rFonts w:eastAsia="Times New Roman" w:cstheme="minorHAnsi"/>
                <w:b/>
                <w:bCs/>
                <w:color w:val="000000"/>
                <w:lang w:val="en-GB" w:eastAsia="sl-SI"/>
              </w:rPr>
            </w:pPr>
            <w:r w:rsidRPr="00CA3CC8">
              <w:rPr>
                <w:rFonts w:eastAsia="Times New Roman" w:cstheme="minorHAnsi"/>
                <w:lang w:val="en-GB"/>
              </w:rPr>
              <w:t>Systemic illness (i.e. HIV/AIDS, diabetes mellitus, cancer, bone metabolism diseases, diseases affecting wound healing)</w:t>
            </w:r>
          </w:p>
          <w:p w14:paraId="4D7CDAD4" w14:textId="77777777" w:rsidR="00CA3CC8" w:rsidRPr="00CA3CC8" w:rsidRDefault="00CA3CC8" w:rsidP="00CA3CC8">
            <w:pPr>
              <w:pStyle w:val="ListParagraph"/>
              <w:numPr>
                <w:ilvl w:val="0"/>
                <w:numId w:val="2"/>
              </w:numPr>
              <w:spacing w:before="120" w:after="0" w:line="360" w:lineRule="auto"/>
              <w:ind w:left="493" w:hanging="357"/>
              <w:rPr>
                <w:rFonts w:eastAsia="Times New Roman" w:cstheme="minorHAnsi"/>
                <w:b/>
                <w:bCs/>
                <w:color w:val="000000"/>
                <w:lang w:val="en-GB" w:eastAsia="sl-SI"/>
              </w:rPr>
            </w:pPr>
            <w:r w:rsidRPr="00CA3CC8">
              <w:rPr>
                <w:rFonts w:eastAsia="Times New Roman" w:cstheme="minorHAnsi"/>
                <w:lang w:val="en-GB"/>
              </w:rPr>
              <w:t>Treatment with immunosuppressive therapy, chemotherapy, radiation therapy, calcium antagonists, antiepileptics, non-steroidal anti-inflammatory drugs</w:t>
            </w:r>
          </w:p>
        </w:tc>
      </w:tr>
    </w:tbl>
    <w:p w14:paraId="57CDA140" w14:textId="423DC556" w:rsidR="00CA3CC8" w:rsidRPr="00CA3CC8" w:rsidRDefault="00CA3CC8" w:rsidP="00AC33F9">
      <w:pPr>
        <w:rPr>
          <w:rFonts w:cstheme="minorHAnsi"/>
          <w:b/>
          <w:bCs/>
          <w:lang w:val="en-GB"/>
        </w:rPr>
      </w:pPr>
    </w:p>
    <w:p w14:paraId="046B1AC3" w14:textId="77777777" w:rsidR="00CA3CC8" w:rsidRPr="00CA3CC8" w:rsidRDefault="00CA3CC8">
      <w:pPr>
        <w:rPr>
          <w:rFonts w:cstheme="minorHAnsi"/>
          <w:b/>
          <w:bCs/>
          <w:lang w:val="en-GB"/>
        </w:rPr>
      </w:pPr>
      <w:r w:rsidRPr="00CA3CC8">
        <w:rPr>
          <w:rFonts w:cstheme="minorHAnsi"/>
          <w:b/>
          <w:bCs/>
          <w:lang w:val="en-GB"/>
        </w:rPr>
        <w:br w:type="page"/>
      </w:r>
    </w:p>
    <w:p w14:paraId="0A1B5AAD" w14:textId="79AF3966" w:rsidR="00821FF9" w:rsidRPr="00821FF9" w:rsidRDefault="00CA3CC8" w:rsidP="00AC33F9">
      <w:pPr>
        <w:rPr>
          <w:rFonts w:cstheme="minorHAnsi"/>
          <w:lang w:val="en-GB"/>
        </w:rPr>
      </w:pPr>
      <w:r>
        <w:rPr>
          <w:rFonts w:cstheme="minorHAnsi"/>
          <w:b/>
          <w:bCs/>
          <w:lang w:val="en-GB"/>
        </w:rPr>
        <w:lastRenderedPageBreak/>
        <w:t>S</w:t>
      </w:r>
      <w:r w:rsidR="00AC33F9" w:rsidRPr="00D14764">
        <w:rPr>
          <w:rFonts w:cstheme="minorHAnsi"/>
          <w:b/>
          <w:bCs/>
          <w:lang w:val="en-GB"/>
        </w:rPr>
        <w:t>upplementary figure</w:t>
      </w:r>
      <w:r w:rsidR="00821FF9">
        <w:rPr>
          <w:rFonts w:cstheme="minorHAnsi"/>
          <w:b/>
          <w:bCs/>
          <w:lang w:val="en-GB"/>
        </w:rPr>
        <w:t xml:space="preserve"> 1. </w:t>
      </w:r>
      <w:r w:rsidR="001706E1">
        <w:rPr>
          <w:rFonts w:cstheme="minorHAnsi"/>
          <w:lang w:val="en-GB"/>
        </w:rPr>
        <w:t>Workflow of volumetric plaque evaluation</w:t>
      </w:r>
      <w:r w:rsidR="00821FF9">
        <w:rPr>
          <w:rFonts w:cstheme="minorHAnsi"/>
          <w:lang w:val="en-GB"/>
        </w:rPr>
        <w:t>.</w:t>
      </w:r>
    </w:p>
    <w:p w14:paraId="7CDB1427" w14:textId="23268B3D" w:rsidR="00821FF9" w:rsidRDefault="00821FF9">
      <w:pPr>
        <w:rPr>
          <w:rFonts w:cstheme="minorHAnsi"/>
          <w:b/>
          <w:bCs/>
          <w:lang w:val="en-GB"/>
        </w:rPr>
      </w:pPr>
      <w:r w:rsidRPr="00D14764">
        <w:rPr>
          <w:rFonts w:eastAsia="Times New Roman" w:cstheme="minorHAnsi"/>
          <w:b/>
          <w:bCs/>
          <w:noProof/>
          <w:lang w:val="en-GB"/>
          <w14:ligatures w14:val="standardContextual"/>
        </w:rPr>
        <mc:AlternateContent>
          <mc:Choice Requires="wps">
            <w:drawing>
              <wp:anchor distT="0" distB="0" distL="114300" distR="114300" simplePos="0" relativeHeight="251671552" behindDoc="0" locked="0" layoutInCell="1" allowOverlap="1" wp14:anchorId="017EDF91" wp14:editId="4591C90B">
                <wp:simplePos x="0" y="0"/>
                <wp:positionH relativeFrom="column">
                  <wp:posOffset>0</wp:posOffset>
                </wp:positionH>
                <wp:positionV relativeFrom="paragraph">
                  <wp:posOffset>38100</wp:posOffset>
                </wp:positionV>
                <wp:extent cx="5670550" cy="8737600"/>
                <wp:effectExtent l="0" t="0" r="25400" b="25400"/>
                <wp:wrapNone/>
                <wp:docPr id="213658042" name="Text Box 4"/>
                <wp:cNvGraphicFramePr/>
                <a:graphic xmlns:a="http://schemas.openxmlformats.org/drawingml/2006/main">
                  <a:graphicData uri="http://schemas.microsoft.com/office/word/2010/wordprocessingShape">
                    <wps:wsp>
                      <wps:cNvSpPr txBox="1"/>
                      <wps:spPr>
                        <a:xfrm>
                          <a:off x="0" y="0"/>
                          <a:ext cx="5670550" cy="8737600"/>
                        </a:xfrm>
                        <a:prstGeom prst="rect">
                          <a:avLst/>
                        </a:prstGeom>
                        <a:solidFill>
                          <a:schemeClr val="lt1"/>
                        </a:solidFill>
                        <a:ln w="6350">
                          <a:solidFill>
                            <a:schemeClr val="tx1"/>
                          </a:solidFill>
                        </a:ln>
                      </wps:spPr>
                      <wps:txbx>
                        <w:txbxContent>
                          <w:p w14:paraId="48FF7789" w14:textId="314840E5" w:rsidR="001706E1" w:rsidRPr="001706E1" w:rsidRDefault="001706E1" w:rsidP="001706E1">
                            <w:pPr>
                              <w:spacing w:line="360" w:lineRule="auto"/>
                              <w:jc w:val="both"/>
                              <w:rPr>
                                <w:rFonts w:cstheme="minorHAnsi"/>
                              </w:rPr>
                            </w:pPr>
                            <w:r>
                              <w:rPr>
                                <w:rFonts w:cstheme="minorHAnsi"/>
                              </w:rPr>
                              <w:t>The 3D</w:t>
                            </w:r>
                            <w:r w:rsidRPr="001706E1">
                              <w:rPr>
                                <w:rFonts w:cstheme="minorHAnsi"/>
                              </w:rPr>
                              <w:t xml:space="preserve"> model </w:t>
                            </w:r>
                            <w:r>
                              <w:rPr>
                                <w:rFonts w:cstheme="minorHAnsi"/>
                              </w:rPr>
                              <w:t>analyses</w:t>
                            </w:r>
                            <w:r w:rsidRPr="001706E1">
                              <w:rPr>
                                <w:rFonts w:cstheme="minorHAnsi"/>
                              </w:rPr>
                              <w:t xml:space="preserve"> were conducted in GOM Inspect 2022 (GOM GmbH, Braunschweig, Germany). After importing the baseline (T0) and follow-up (T4) datasets into the software, an initial global alignment was performed. This step, required for any subsequent superimposition, automatically matched the full morphology of both scans—including teeth and surrounding soft tissues—using the using the iterative closest point</w:t>
                            </w:r>
                            <w:r>
                              <w:rPr>
                                <w:rFonts w:cstheme="minorHAnsi"/>
                              </w:rPr>
                              <w:t xml:space="preserve"> (ICP)</w:t>
                            </w:r>
                            <w:r w:rsidRPr="001706E1">
                              <w:rPr>
                                <w:rFonts w:cstheme="minorHAnsi"/>
                              </w:rPr>
                              <w:t xml:space="preserve"> procedure </w:t>
                            </w:r>
                            <w:r>
                              <w:rPr>
                                <w:rFonts w:cstheme="minorHAnsi"/>
                              </w:rPr>
                              <w:t>(</w:t>
                            </w:r>
                            <w:r w:rsidRPr="001706E1">
                              <w:rPr>
                                <w:rFonts w:cstheme="minorHAnsi"/>
                              </w:rPr>
                              <w:t>Besl and McKay</w:t>
                            </w:r>
                            <w:r>
                              <w:rPr>
                                <w:rFonts w:cstheme="minorHAnsi"/>
                              </w:rPr>
                              <w:t xml:space="preserve">, </w:t>
                            </w:r>
                            <w:r w:rsidRPr="001706E1">
                              <w:rPr>
                                <w:rFonts w:cstheme="minorHAnsi"/>
                              </w:rPr>
                              <w:t>1992).</w:t>
                            </w:r>
                          </w:p>
                          <w:p w14:paraId="0B99A95A" w14:textId="77777777" w:rsidR="001706E1" w:rsidRPr="001706E1" w:rsidRDefault="001706E1" w:rsidP="001706E1">
                            <w:pPr>
                              <w:spacing w:line="360" w:lineRule="auto"/>
                              <w:jc w:val="both"/>
                              <w:rPr>
                                <w:rFonts w:cstheme="minorHAnsi"/>
                              </w:rPr>
                            </w:pPr>
                            <w:r w:rsidRPr="001706E1">
                              <w:rPr>
                                <w:rFonts w:cstheme="minorHAnsi"/>
                              </w:rPr>
                              <w:t>Regions of interest (ROIs), corresponding to the vestibular and oral surfaces of each tooth, were then defined on the T0 models. To delineate these surfaces, a boundary curve was manually traced with the Surface Curve tool. The curve was generated using the Maximum Curvature function, placing approximately 5–10 snap-to points along the gingival margin and the incisal/occlusal border (Kuralt &amp; Fidler, 2022). The software subsequently identified the mesial and distal limits of each ROI by automatically detecting areas of maximum surface curvature, which were then connected to the manually created gingival and incisal/occlusal curves.</w:t>
                            </w:r>
                          </w:p>
                          <w:p w14:paraId="2102885C" w14:textId="77777777" w:rsidR="001706E1" w:rsidRPr="001706E1" w:rsidRDefault="001706E1" w:rsidP="001706E1">
                            <w:pPr>
                              <w:spacing w:line="360" w:lineRule="auto"/>
                              <w:jc w:val="both"/>
                              <w:rPr>
                                <w:rFonts w:cstheme="minorHAnsi"/>
                              </w:rPr>
                            </w:pPr>
                            <w:r w:rsidRPr="001706E1">
                              <w:rPr>
                                <w:rFonts w:cstheme="minorHAnsi"/>
                              </w:rPr>
                              <w:t>Each T0 ROI was individually matched to its corresponding tooth surface on the T4 model using the Local Best-Fit function (Kuralt &amp; Fidler, 2021). For every alignment, the deviation was quantified as the mean absolute distance between the mesh points and the defined CAD surface (Vág et al., 2019).</w:t>
                            </w:r>
                          </w:p>
                          <w:p w14:paraId="27C86D1E" w14:textId="4601A034" w:rsidR="001706E1" w:rsidRPr="001706E1" w:rsidRDefault="001706E1" w:rsidP="001706E1">
                            <w:pPr>
                              <w:spacing w:line="360" w:lineRule="auto"/>
                              <w:jc w:val="both"/>
                              <w:rPr>
                                <w:rFonts w:cstheme="minorHAnsi"/>
                              </w:rPr>
                            </w:pPr>
                            <w:r w:rsidRPr="001706E1">
                              <w:rPr>
                                <w:rFonts w:cstheme="minorHAnsi"/>
                              </w:rPr>
                              <w:t>Surface changes between the T0 and T4 ROIs were visualised via the Surface Comparison tool. Colour-coded deviation maps representing the topographical differences between paired surfaces were used to compute the volume of material accumulated on each tooth, expressed as the volumetric plaque index (VPI, mm³). Because tooth morphology varies, plaque volume was normalised to the ROI surface area (vestibular/oral area) to yield the adjusted volumetric plaque index (AVPI), reported in mm³/mm².</w:t>
                            </w:r>
                          </w:p>
                          <w:p w14:paraId="2FBEED74" w14:textId="77777777" w:rsidR="001706E1" w:rsidRPr="001706E1" w:rsidRDefault="001706E1" w:rsidP="001706E1">
                            <w:pPr>
                              <w:widowControl w:val="0"/>
                              <w:autoSpaceDE w:val="0"/>
                              <w:autoSpaceDN w:val="0"/>
                              <w:adjustRightInd w:val="0"/>
                              <w:spacing w:line="480" w:lineRule="auto"/>
                              <w:ind w:left="480" w:hanging="480"/>
                              <w:rPr>
                                <w:rFonts w:ascii="Arial" w:hAnsi="Arial" w:cs="Arial"/>
                                <w:noProof/>
                                <w:sz w:val="14"/>
                                <w:szCs w:val="16"/>
                              </w:rPr>
                            </w:pPr>
                            <w:r w:rsidRPr="001706E1">
                              <w:rPr>
                                <w:rFonts w:ascii="Arial" w:hAnsi="Arial" w:cs="Arial"/>
                                <w:noProof/>
                                <w:sz w:val="14"/>
                                <w:szCs w:val="16"/>
                              </w:rPr>
                              <w:t xml:space="preserve">Besl, P. J., &amp; McKay, N. D. (1992). A Method for Registration of 3-D Shapes. </w:t>
                            </w:r>
                            <w:r w:rsidRPr="001706E1">
                              <w:rPr>
                                <w:rFonts w:ascii="Arial" w:hAnsi="Arial" w:cs="Arial"/>
                                <w:i/>
                                <w:iCs/>
                                <w:noProof/>
                                <w:sz w:val="14"/>
                                <w:szCs w:val="16"/>
                              </w:rPr>
                              <w:t>IEEE Transactions on Pattern Analysis and Machine Intelligence</w:t>
                            </w:r>
                            <w:r w:rsidRPr="001706E1">
                              <w:rPr>
                                <w:rFonts w:ascii="Arial" w:hAnsi="Arial" w:cs="Arial"/>
                                <w:noProof/>
                                <w:sz w:val="14"/>
                                <w:szCs w:val="16"/>
                              </w:rPr>
                              <w:t xml:space="preserve">, </w:t>
                            </w:r>
                            <w:r w:rsidRPr="001706E1">
                              <w:rPr>
                                <w:rFonts w:ascii="Arial" w:hAnsi="Arial" w:cs="Arial"/>
                                <w:i/>
                                <w:iCs/>
                                <w:noProof/>
                                <w:sz w:val="14"/>
                                <w:szCs w:val="16"/>
                              </w:rPr>
                              <w:t>14</w:t>
                            </w:r>
                            <w:r w:rsidRPr="001706E1">
                              <w:rPr>
                                <w:rFonts w:ascii="Arial" w:hAnsi="Arial" w:cs="Arial"/>
                                <w:noProof/>
                                <w:sz w:val="14"/>
                                <w:szCs w:val="16"/>
                              </w:rPr>
                              <w:t>(2), 239–256. https://doi.org/10.1109/34.121791</w:t>
                            </w:r>
                          </w:p>
                          <w:p w14:paraId="5C854135" w14:textId="77777777" w:rsidR="001706E1" w:rsidRPr="001706E1" w:rsidRDefault="001706E1" w:rsidP="001706E1">
                            <w:pPr>
                              <w:widowControl w:val="0"/>
                              <w:autoSpaceDE w:val="0"/>
                              <w:autoSpaceDN w:val="0"/>
                              <w:adjustRightInd w:val="0"/>
                              <w:spacing w:line="480" w:lineRule="auto"/>
                              <w:ind w:left="480" w:hanging="480"/>
                              <w:rPr>
                                <w:rFonts w:ascii="Arial" w:hAnsi="Arial" w:cs="Arial"/>
                                <w:noProof/>
                                <w:sz w:val="14"/>
                                <w:szCs w:val="16"/>
                              </w:rPr>
                            </w:pPr>
                            <w:r w:rsidRPr="001706E1">
                              <w:rPr>
                                <w:rFonts w:ascii="Arial" w:hAnsi="Arial" w:cs="Arial"/>
                                <w:noProof/>
                                <w:sz w:val="14"/>
                                <w:szCs w:val="16"/>
                              </w:rPr>
                              <w:t xml:space="preserve">Kuralt, M., &amp; Fidler, A. (2021). Assessment of reference areas for superimposition of serial 3D models of patients with advanced periodontitis for volumetric soft tissue evaluation. </w:t>
                            </w:r>
                            <w:r w:rsidRPr="001706E1">
                              <w:rPr>
                                <w:rFonts w:ascii="Arial" w:hAnsi="Arial" w:cs="Arial"/>
                                <w:i/>
                                <w:iCs/>
                                <w:noProof/>
                                <w:sz w:val="14"/>
                                <w:szCs w:val="16"/>
                              </w:rPr>
                              <w:t>Journal of Clinical Periodontology</w:t>
                            </w:r>
                            <w:r w:rsidRPr="001706E1">
                              <w:rPr>
                                <w:rFonts w:ascii="Arial" w:hAnsi="Arial" w:cs="Arial"/>
                                <w:noProof/>
                                <w:sz w:val="14"/>
                                <w:szCs w:val="16"/>
                              </w:rPr>
                              <w:t xml:space="preserve">, </w:t>
                            </w:r>
                            <w:r w:rsidRPr="001706E1">
                              <w:rPr>
                                <w:rFonts w:ascii="Arial" w:hAnsi="Arial" w:cs="Arial"/>
                                <w:i/>
                                <w:iCs/>
                                <w:noProof/>
                                <w:sz w:val="14"/>
                                <w:szCs w:val="16"/>
                              </w:rPr>
                              <w:t>48</w:t>
                            </w:r>
                            <w:r w:rsidRPr="001706E1">
                              <w:rPr>
                                <w:rFonts w:ascii="Arial" w:hAnsi="Arial" w:cs="Arial"/>
                                <w:noProof/>
                                <w:sz w:val="14"/>
                                <w:szCs w:val="16"/>
                              </w:rPr>
                              <w:t>(6), 765–773. https://doi.org/10.1111/JCPE.13445</w:t>
                            </w:r>
                          </w:p>
                          <w:p w14:paraId="65846A65" w14:textId="7C33DAA8" w:rsidR="001706E1" w:rsidRDefault="001706E1" w:rsidP="001706E1">
                            <w:pPr>
                              <w:widowControl w:val="0"/>
                              <w:autoSpaceDE w:val="0"/>
                              <w:autoSpaceDN w:val="0"/>
                              <w:adjustRightInd w:val="0"/>
                              <w:spacing w:line="480" w:lineRule="auto"/>
                              <w:ind w:left="480" w:hanging="480"/>
                              <w:rPr>
                                <w:rFonts w:ascii="Arial" w:hAnsi="Arial" w:cs="Arial"/>
                                <w:noProof/>
                                <w:sz w:val="14"/>
                                <w:szCs w:val="16"/>
                              </w:rPr>
                            </w:pPr>
                            <w:r w:rsidRPr="001706E1">
                              <w:rPr>
                                <w:rFonts w:ascii="Arial" w:hAnsi="Arial" w:cs="Arial"/>
                                <w:noProof/>
                                <w:sz w:val="14"/>
                                <w:szCs w:val="16"/>
                              </w:rPr>
                              <w:t xml:space="preserve">Kuralt, M., &amp; Fidler, A. (2022). A novel computer-aided method for direct measurements and visualization of gingival margin changes. </w:t>
                            </w:r>
                            <w:r w:rsidRPr="001706E1">
                              <w:rPr>
                                <w:rFonts w:ascii="Arial" w:hAnsi="Arial" w:cs="Arial"/>
                                <w:i/>
                                <w:iCs/>
                                <w:noProof/>
                                <w:sz w:val="14"/>
                                <w:szCs w:val="16"/>
                              </w:rPr>
                              <w:t>Journal of Clinical Periodontology</w:t>
                            </w:r>
                            <w:r w:rsidRPr="001706E1">
                              <w:rPr>
                                <w:rFonts w:ascii="Arial" w:hAnsi="Arial" w:cs="Arial"/>
                                <w:noProof/>
                                <w:sz w:val="14"/>
                                <w:szCs w:val="16"/>
                              </w:rPr>
                              <w:t xml:space="preserve">, </w:t>
                            </w:r>
                            <w:r w:rsidRPr="001706E1">
                              <w:rPr>
                                <w:rFonts w:ascii="Arial" w:hAnsi="Arial" w:cs="Arial"/>
                                <w:i/>
                                <w:iCs/>
                                <w:noProof/>
                                <w:sz w:val="14"/>
                                <w:szCs w:val="16"/>
                              </w:rPr>
                              <w:t>49</w:t>
                            </w:r>
                            <w:r w:rsidRPr="001706E1">
                              <w:rPr>
                                <w:rFonts w:ascii="Arial" w:hAnsi="Arial" w:cs="Arial"/>
                                <w:noProof/>
                                <w:sz w:val="14"/>
                                <w:szCs w:val="16"/>
                              </w:rPr>
                              <w:t>(2), 153–163. https://doi.org/10.1111/JCPE.13573</w:t>
                            </w:r>
                          </w:p>
                          <w:p w14:paraId="4F3DAADE" w14:textId="1FC6DE4E" w:rsidR="001706E1" w:rsidRPr="001706E1" w:rsidRDefault="001706E1" w:rsidP="001706E1">
                            <w:pPr>
                              <w:widowControl w:val="0"/>
                              <w:autoSpaceDE w:val="0"/>
                              <w:autoSpaceDN w:val="0"/>
                              <w:adjustRightInd w:val="0"/>
                              <w:spacing w:after="240" w:line="360" w:lineRule="auto"/>
                              <w:ind w:left="567" w:hanging="567"/>
                              <w:rPr>
                                <w:rFonts w:ascii="Calibri" w:hAnsi="Calibri" w:cs="Calibri"/>
                                <w:i/>
                                <w:iCs/>
                                <w:noProof/>
                                <w:sz w:val="14"/>
                                <w:szCs w:val="14"/>
                              </w:rPr>
                            </w:pPr>
                            <w:r w:rsidRPr="001706E1">
                              <w:rPr>
                                <w:rFonts w:ascii="Calibri" w:hAnsi="Calibri" w:cs="Calibri"/>
                                <w:i/>
                                <w:iCs/>
                                <w:noProof/>
                                <w:sz w:val="14"/>
                                <w:szCs w:val="14"/>
                              </w:rPr>
                              <w:t>Povšič K, Munjaković H, Erčulj V, Aleš Fidler, Rok Gašperšič. 2025. 3D Method for the Volumetric Evaluation and Visualisation of Dental Biofilms: A Proof-of-Principle Study. J Clin Periodontol. 0:1–11. doi:10.1111/JCPE.70019.</w:t>
                            </w:r>
                          </w:p>
                          <w:p w14:paraId="03D4F1D9" w14:textId="77777777" w:rsidR="001706E1" w:rsidRPr="001706E1" w:rsidRDefault="001706E1" w:rsidP="001706E1">
                            <w:pPr>
                              <w:widowControl w:val="0"/>
                              <w:autoSpaceDE w:val="0"/>
                              <w:autoSpaceDN w:val="0"/>
                              <w:adjustRightInd w:val="0"/>
                              <w:spacing w:line="480" w:lineRule="auto"/>
                              <w:ind w:left="480" w:hanging="480"/>
                              <w:rPr>
                                <w:rFonts w:ascii="Arial" w:hAnsi="Arial" w:cs="Arial"/>
                                <w:noProof/>
                                <w:sz w:val="14"/>
                                <w:szCs w:val="14"/>
                              </w:rPr>
                            </w:pPr>
                            <w:r w:rsidRPr="001706E1">
                              <w:rPr>
                                <w:rFonts w:ascii="Arial" w:hAnsi="Arial" w:cs="Arial"/>
                                <w:noProof/>
                                <w:sz w:val="14"/>
                                <w:szCs w:val="14"/>
                              </w:rPr>
                              <w:t xml:space="preserve">Vág, J., Nagy, Z., Simon, B., Mikolicz, Á., Kövér, E., Mennito, A. S., Evans, Z. P., &amp; Renné, W. G. (2019). A novel method for complex three-dimensional evaluation of intraoral scanner accuracy. </w:t>
                            </w:r>
                            <w:r w:rsidRPr="001706E1">
                              <w:rPr>
                                <w:rFonts w:ascii="Arial" w:hAnsi="Arial" w:cs="Arial"/>
                                <w:i/>
                                <w:iCs/>
                                <w:noProof/>
                                <w:sz w:val="14"/>
                                <w:szCs w:val="14"/>
                              </w:rPr>
                              <w:t>International Journal of Computerized Dentistry</w:t>
                            </w:r>
                            <w:r w:rsidRPr="001706E1">
                              <w:rPr>
                                <w:rFonts w:ascii="Arial" w:hAnsi="Arial" w:cs="Arial"/>
                                <w:noProof/>
                                <w:sz w:val="14"/>
                                <w:szCs w:val="14"/>
                              </w:rPr>
                              <w:t xml:space="preserve">, </w:t>
                            </w:r>
                            <w:r w:rsidRPr="001706E1">
                              <w:rPr>
                                <w:rFonts w:ascii="Arial" w:hAnsi="Arial" w:cs="Arial"/>
                                <w:i/>
                                <w:iCs/>
                                <w:noProof/>
                                <w:sz w:val="14"/>
                                <w:szCs w:val="14"/>
                              </w:rPr>
                              <w:t>22</w:t>
                            </w:r>
                            <w:r w:rsidRPr="001706E1">
                              <w:rPr>
                                <w:rFonts w:ascii="Arial" w:hAnsi="Arial" w:cs="Arial"/>
                                <w:noProof/>
                                <w:sz w:val="14"/>
                                <w:szCs w:val="14"/>
                              </w:rPr>
                              <w:t>(3), 239–249.</w:t>
                            </w:r>
                          </w:p>
                          <w:p w14:paraId="028A0455" w14:textId="77777777" w:rsidR="001706E1" w:rsidRPr="001706E1" w:rsidRDefault="001706E1" w:rsidP="001706E1">
                            <w:pPr>
                              <w:spacing w:line="360" w:lineRule="auto"/>
                              <w:jc w:val="both"/>
                              <w:rPr>
                                <w:rFonts w:cstheme="minorHAnsi"/>
                                <w:sz w:val="14"/>
                                <w:szCs w:val="14"/>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17EDF91" id="_x0000_t202" coordsize="21600,21600" o:spt="202" path="m,l,21600r21600,l21600,xe">
                <v:stroke joinstyle="miter"/>
                <v:path gradientshapeok="t" o:connecttype="rect"/>
              </v:shapetype>
              <v:shape id="Text Box 4" o:spid="_x0000_s1026" type="#_x0000_t202" style="position:absolute;margin-left:0;margin-top:3pt;width:446.5pt;height:688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" fillcolor="white [3201]" strokecolor="black [3213]" strokeweight=".5pt">
                <v:textbox>
                  <w:txbxContent>
                    <w:p w14:paraId="48FF7789" w14:textId="314840E5" w:rsidR="001706E1" w:rsidRPr="001706E1" w:rsidRDefault="001706E1" w:rsidP="001706E1">
                      <w:pPr>
                        <w:spacing w:line="360" w:lineRule="auto"/>
                        <w:jc w:val="both"/>
                        <w:rPr>
                          <w:rFonts w:cstheme="minorHAnsi"/>
                        </w:rPr>
                      </w:pPr>
                      <w:r>
                        <w:rPr>
                          <w:rFonts w:cstheme="minorHAnsi"/>
                        </w:rPr>
                        <w:t>The 3D</w:t>
                      </w:r>
                      <w:r w:rsidRPr="001706E1">
                        <w:rPr>
                          <w:rFonts w:cstheme="minorHAnsi"/>
                        </w:rPr>
                        <w:t xml:space="preserve"> model </w:t>
                      </w:r>
                      <w:r>
                        <w:rPr>
                          <w:rFonts w:cstheme="minorHAnsi"/>
                        </w:rPr>
                        <w:t>analyses</w:t>
                      </w:r>
                      <w:r w:rsidRPr="001706E1">
                        <w:rPr>
                          <w:rFonts w:cstheme="minorHAnsi"/>
                        </w:rPr>
                        <w:t xml:space="preserve"> were conducted in GOM Inspect 2022 (GOM GmbH, Braunschweig, Germany). After importing the baseline (T0) and follow-up (T4) datasets into the software, an initial global alignment was performed. This step, required for any subsequent superimposition, automatically matched the full morphology of both scans—including teeth and surrounding soft tissues—using the using the iterative closest point</w:t>
                      </w:r>
                      <w:r>
                        <w:rPr>
                          <w:rFonts w:cstheme="minorHAnsi"/>
                        </w:rPr>
                        <w:t xml:space="preserve"> (ICP)</w:t>
                      </w:r>
                      <w:r w:rsidRPr="001706E1">
                        <w:rPr>
                          <w:rFonts w:cstheme="minorHAnsi"/>
                        </w:rPr>
                        <w:t xml:space="preserve"> procedure </w:t>
                      </w:r>
                      <w:r>
                        <w:rPr>
                          <w:rFonts w:cstheme="minorHAnsi"/>
                        </w:rPr>
                        <w:t>(</w:t>
                      </w:r>
                      <w:r w:rsidRPr="001706E1">
                        <w:rPr>
                          <w:rFonts w:cstheme="minorHAnsi"/>
                        </w:rPr>
                        <w:t>Besl and McKay</w:t>
                      </w:r>
                      <w:r>
                        <w:rPr>
                          <w:rFonts w:cstheme="minorHAnsi"/>
                        </w:rPr>
                        <w:t xml:space="preserve">, </w:t>
                      </w:r>
                      <w:r w:rsidRPr="001706E1">
                        <w:rPr>
                          <w:rFonts w:cstheme="minorHAnsi"/>
                        </w:rPr>
                        <w:t>1992).</w:t>
                      </w:r>
                    </w:p>
                    <w:p w14:paraId="0B99A95A" w14:textId="77777777" w:rsidR="001706E1" w:rsidRPr="001706E1" w:rsidRDefault="001706E1" w:rsidP="001706E1">
                      <w:pPr>
                        <w:spacing w:line="360" w:lineRule="auto"/>
                        <w:jc w:val="both"/>
                        <w:rPr>
                          <w:rFonts w:cstheme="minorHAnsi"/>
                        </w:rPr>
                      </w:pPr>
                      <w:r w:rsidRPr="001706E1">
                        <w:rPr>
                          <w:rFonts w:cstheme="minorHAnsi"/>
                        </w:rPr>
                        <w:t>Regions of interest (ROIs), corresponding to the vestibular and oral surfaces of each tooth, were then defined on the T0 models. To delineate these surfaces, a boundary curve was manually traced with the Surface Curve tool. The curve was generated using the Maximum Curvature function, placing approximately 5–10 snap-to points along the gingival margin and the incisal/occlusal border (Kuralt &amp; Fidler, 2022). The software subsequently identified the mesial and distal limits of each ROI by automatically detecting areas of maximum surface curvature, which were then connected to the manually created gingival and incisal/occlusal curves.</w:t>
                      </w:r>
                    </w:p>
                    <w:p w14:paraId="2102885C" w14:textId="77777777" w:rsidR="001706E1" w:rsidRPr="001706E1" w:rsidRDefault="001706E1" w:rsidP="001706E1">
                      <w:pPr>
                        <w:spacing w:line="360" w:lineRule="auto"/>
                        <w:jc w:val="both"/>
                        <w:rPr>
                          <w:rFonts w:cstheme="minorHAnsi"/>
                        </w:rPr>
                      </w:pPr>
                      <w:r w:rsidRPr="001706E1">
                        <w:rPr>
                          <w:rFonts w:cstheme="minorHAnsi"/>
                        </w:rPr>
                        <w:t>Each T0 ROI was individually matched to its corresponding tooth surface on the T4 model using the Local Best-Fit function (Kuralt &amp; Fidler, 2021). For every alignment, the deviation was quantified as the mean absolute distance between the mesh points and the defined CAD surface (Vág et al., 2019).</w:t>
                      </w:r>
                    </w:p>
                    <w:p w14:paraId="27C86D1E" w14:textId="4601A034" w:rsidR="001706E1" w:rsidRPr="001706E1" w:rsidRDefault="001706E1" w:rsidP="001706E1">
                      <w:pPr>
                        <w:spacing w:line="360" w:lineRule="auto"/>
                        <w:jc w:val="both"/>
                        <w:rPr>
                          <w:rFonts w:cstheme="minorHAnsi"/>
                        </w:rPr>
                      </w:pPr>
                      <w:r w:rsidRPr="001706E1">
                        <w:rPr>
                          <w:rFonts w:cstheme="minorHAnsi"/>
                        </w:rPr>
                        <w:t>Surface changes between the T0 and T4 ROIs were visualised via the Surface Comparison tool. Colour-coded deviation maps representing the topographical differences between paired surfaces were used to compute the volume of material accumulated on each tooth, expressed as the volumetric plaque index (VPI, mm³). Because tooth morphology varies, plaque volume was normalised to the ROI surface area (vestibular/oral area) to yield the adjusted volumetric plaque index (AVPI), reported in mm³/mm².</w:t>
                      </w:r>
                    </w:p>
                    <w:p w14:paraId="2FBEED74" w14:textId="77777777" w:rsidR="001706E1" w:rsidRPr="001706E1" w:rsidRDefault="001706E1" w:rsidP="001706E1">
                      <w:pPr>
                        <w:widowControl w:val="0"/>
                        <w:autoSpaceDE w:val="0"/>
                        <w:autoSpaceDN w:val="0"/>
                        <w:adjustRightInd w:val="0"/>
                        <w:spacing w:line="480" w:lineRule="auto"/>
                        <w:ind w:left="480" w:hanging="480"/>
                        <w:rPr>
                          <w:rFonts w:ascii="Arial" w:hAnsi="Arial" w:cs="Arial"/>
                          <w:noProof/>
                          <w:sz w:val="14"/>
                          <w:szCs w:val="16"/>
                        </w:rPr>
                      </w:pPr>
                      <w:r w:rsidRPr="001706E1">
                        <w:rPr>
                          <w:rFonts w:ascii="Arial" w:hAnsi="Arial" w:cs="Arial"/>
                          <w:noProof/>
                          <w:sz w:val="14"/>
                          <w:szCs w:val="16"/>
                        </w:rPr>
                        <w:t xml:space="preserve">Besl, P. J., &amp; McKay, N. D. (1992). A Method for Registration of 3-D Shapes. </w:t>
                      </w:r>
                      <w:r w:rsidRPr="001706E1">
                        <w:rPr>
                          <w:rFonts w:ascii="Arial" w:hAnsi="Arial" w:cs="Arial"/>
                          <w:i/>
                          <w:iCs/>
                          <w:noProof/>
                          <w:sz w:val="14"/>
                          <w:szCs w:val="16"/>
                        </w:rPr>
                        <w:t>IEEE Transactions on Pattern Analysis and Machine Intelligence</w:t>
                      </w:r>
                      <w:r w:rsidRPr="001706E1">
                        <w:rPr>
                          <w:rFonts w:ascii="Arial" w:hAnsi="Arial" w:cs="Arial"/>
                          <w:noProof/>
                          <w:sz w:val="14"/>
                          <w:szCs w:val="16"/>
                        </w:rPr>
                        <w:t xml:space="preserve">, </w:t>
                      </w:r>
                      <w:r w:rsidRPr="001706E1">
                        <w:rPr>
                          <w:rFonts w:ascii="Arial" w:hAnsi="Arial" w:cs="Arial"/>
                          <w:i/>
                          <w:iCs/>
                          <w:noProof/>
                          <w:sz w:val="14"/>
                          <w:szCs w:val="16"/>
                        </w:rPr>
                        <w:t>14</w:t>
                      </w:r>
                      <w:r w:rsidRPr="001706E1">
                        <w:rPr>
                          <w:rFonts w:ascii="Arial" w:hAnsi="Arial" w:cs="Arial"/>
                          <w:noProof/>
                          <w:sz w:val="14"/>
                          <w:szCs w:val="16"/>
                        </w:rPr>
                        <w:t>(2), 239–256. https://doi.org/10.1109/34.121791</w:t>
                      </w:r>
                    </w:p>
                    <w:p w14:paraId="5C854135" w14:textId="77777777" w:rsidR="001706E1" w:rsidRPr="001706E1" w:rsidRDefault="001706E1" w:rsidP="001706E1">
                      <w:pPr>
                        <w:widowControl w:val="0"/>
                        <w:autoSpaceDE w:val="0"/>
                        <w:autoSpaceDN w:val="0"/>
                        <w:adjustRightInd w:val="0"/>
                        <w:spacing w:line="480" w:lineRule="auto"/>
                        <w:ind w:left="480" w:hanging="480"/>
                        <w:rPr>
                          <w:rFonts w:ascii="Arial" w:hAnsi="Arial" w:cs="Arial"/>
                          <w:noProof/>
                          <w:sz w:val="14"/>
                          <w:szCs w:val="16"/>
                        </w:rPr>
                      </w:pPr>
                      <w:r w:rsidRPr="001706E1">
                        <w:rPr>
                          <w:rFonts w:ascii="Arial" w:hAnsi="Arial" w:cs="Arial"/>
                          <w:noProof/>
                          <w:sz w:val="14"/>
                          <w:szCs w:val="16"/>
                        </w:rPr>
                        <w:t xml:space="preserve">Kuralt, M., &amp; Fidler, A. (2021). Assessment of reference areas for superimposition of serial 3D models of patients with advanced periodontitis for volumetric soft tissue evaluation. </w:t>
                      </w:r>
                      <w:r w:rsidRPr="001706E1">
                        <w:rPr>
                          <w:rFonts w:ascii="Arial" w:hAnsi="Arial" w:cs="Arial"/>
                          <w:i/>
                          <w:iCs/>
                          <w:noProof/>
                          <w:sz w:val="14"/>
                          <w:szCs w:val="16"/>
                        </w:rPr>
                        <w:t>Journal of Clinical Periodontology</w:t>
                      </w:r>
                      <w:r w:rsidRPr="001706E1">
                        <w:rPr>
                          <w:rFonts w:ascii="Arial" w:hAnsi="Arial" w:cs="Arial"/>
                          <w:noProof/>
                          <w:sz w:val="14"/>
                          <w:szCs w:val="16"/>
                        </w:rPr>
                        <w:t xml:space="preserve">, </w:t>
                      </w:r>
                      <w:r w:rsidRPr="001706E1">
                        <w:rPr>
                          <w:rFonts w:ascii="Arial" w:hAnsi="Arial" w:cs="Arial"/>
                          <w:i/>
                          <w:iCs/>
                          <w:noProof/>
                          <w:sz w:val="14"/>
                          <w:szCs w:val="16"/>
                        </w:rPr>
                        <w:t>48</w:t>
                      </w:r>
                      <w:r w:rsidRPr="001706E1">
                        <w:rPr>
                          <w:rFonts w:ascii="Arial" w:hAnsi="Arial" w:cs="Arial"/>
                          <w:noProof/>
                          <w:sz w:val="14"/>
                          <w:szCs w:val="16"/>
                        </w:rPr>
                        <w:t>(6), 765–773. https://doi.org/10.1111/JCPE.13445</w:t>
                      </w:r>
                    </w:p>
                    <w:p w14:paraId="65846A65" w14:textId="7C33DAA8" w:rsidR="001706E1" w:rsidRDefault="001706E1" w:rsidP="001706E1">
                      <w:pPr>
                        <w:widowControl w:val="0"/>
                        <w:autoSpaceDE w:val="0"/>
                        <w:autoSpaceDN w:val="0"/>
                        <w:adjustRightInd w:val="0"/>
                        <w:spacing w:line="480" w:lineRule="auto"/>
                        <w:ind w:left="480" w:hanging="480"/>
                        <w:rPr>
                          <w:rFonts w:ascii="Arial" w:hAnsi="Arial" w:cs="Arial"/>
                          <w:noProof/>
                          <w:sz w:val="14"/>
                          <w:szCs w:val="16"/>
                        </w:rPr>
                      </w:pPr>
                      <w:r w:rsidRPr="001706E1">
                        <w:rPr>
                          <w:rFonts w:ascii="Arial" w:hAnsi="Arial" w:cs="Arial"/>
                          <w:noProof/>
                          <w:sz w:val="14"/>
                          <w:szCs w:val="16"/>
                        </w:rPr>
                        <w:t xml:space="preserve">Kuralt, M., &amp; Fidler, A. (2022). A novel computer-aided method for direct measurements and visualization of gingival margin changes. </w:t>
                      </w:r>
                      <w:r w:rsidRPr="001706E1">
                        <w:rPr>
                          <w:rFonts w:ascii="Arial" w:hAnsi="Arial" w:cs="Arial"/>
                          <w:i/>
                          <w:iCs/>
                          <w:noProof/>
                          <w:sz w:val="14"/>
                          <w:szCs w:val="16"/>
                        </w:rPr>
                        <w:t>Journal of Clinical Periodontology</w:t>
                      </w:r>
                      <w:r w:rsidRPr="001706E1">
                        <w:rPr>
                          <w:rFonts w:ascii="Arial" w:hAnsi="Arial" w:cs="Arial"/>
                          <w:noProof/>
                          <w:sz w:val="14"/>
                          <w:szCs w:val="16"/>
                        </w:rPr>
                        <w:t xml:space="preserve">, </w:t>
                      </w:r>
                      <w:r w:rsidRPr="001706E1">
                        <w:rPr>
                          <w:rFonts w:ascii="Arial" w:hAnsi="Arial" w:cs="Arial"/>
                          <w:i/>
                          <w:iCs/>
                          <w:noProof/>
                          <w:sz w:val="14"/>
                          <w:szCs w:val="16"/>
                        </w:rPr>
                        <w:t>49</w:t>
                      </w:r>
                      <w:r w:rsidRPr="001706E1">
                        <w:rPr>
                          <w:rFonts w:ascii="Arial" w:hAnsi="Arial" w:cs="Arial"/>
                          <w:noProof/>
                          <w:sz w:val="14"/>
                          <w:szCs w:val="16"/>
                        </w:rPr>
                        <w:t>(2), 153–163. https://doi.org/10.1111/JCPE.13573</w:t>
                      </w:r>
                    </w:p>
                    <w:p w14:paraId="4F3DAADE" w14:textId="1FC6DE4E" w:rsidR="001706E1" w:rsidRPr="001706E1" w:rsidRDefault="001706E1" w:rsidP="001706E1">
                      <w:pPr>
                        <w:widowControl w:val="0"/>
                        <w:autoSpaceDE w:val="0"/>
                        <w:autoSpaceDN w:val="0"/>
                        <w:adjustRightInd w:val="0"/>
                        <w:spacing w:after="240" w:line="360" w:lineRule="auto"/>
                        <w:ind w:left="567" w:hanging="567"/>
                        <w:rPr>
                          <w:rFonts w:ascii="Calibri" w:hAnsi="Calibri" w:cs="Calibri"/>
                          <w:i/>
                          <w:iCs/>
                          <w:noProof/>
                          <w:sz w:val="14"/>
                          <w:szCs w:val="14"/>
                        </w:rPr>
                      </w:pPr>
                      <w:r w:rsidRPr="001706E1">
                        <w:rPr>
                          <w:rFonts w:ascii="Calibri" w:hAnsi="Calibri" w:cs="Calibri"/>
                          <w:i/>
                          <w:iCs/>
                          <w:noProof/>
                          <w:sz w:val="14"/>
                          <w:szCs w:val="14"/>
                        </w:rPr>
                        <w:t>Povšič K, Munjaković H, Erčulj V, Aleš Fidler, Rok Gašperšič. 2025. 3D Method for the Volumetric Evaluation and Visualisation of Dental Biofilms: A Proof-of-Principle Study. J Clin Periodontol. 0:1–11. doi:10.1111/JCPE.70019.</w:t>
                      </w:r>
                    </w:p>
                    <w:p w14:paraId="03D4F1D9" w14:textId="77777777" w:rsidR="001706E1" w:rsidRPr="001706E1" w:rsidRDefault="001706E1" w:rsidP="001706E1">
                      <w:pPr>
                        <w:widowControl w:val="0"/>
                        <w:autoSpaceDE w:val="0"/>
                        <w:autoSpaceDN w:val="0"/>
                        <w:adjustRightInd w:val="0"/>
                        <w:spacing w:line="480" w:lineRule="auto"/>
                        <w:ind w:left="480" w:hanging="480"/>
                        <w:rPr>
                          <w:rFonts w:ascii="Arial" w:hAnsi="Arial" w:cs="Arial"/>
                          <w:noProof/>
                          <w:sz w:val="14"/>
                          <w:szCs w:val="14"/>
                        </w:rPr>
                      </w:pPr>
                      <w:r w:rsidRPr="001706E1">
                        <w:rPr>
                          <w:rFonts w:ascii="Arial" w:hAnsi="Arial" w:cs="Arial"/>
                          <w:noProof/>
                          <w:sz w:val="14"/>
                          <w:szCs w:val="14"/>
                        </w:rPr>
                        <w:t xml:space="preserve">Vág, J., Nagy, Z., Simon, B., Mikolicz, Á., Kövér, E., Mennito, A. S., Evans, Z. P., &amp; Renné, W. G. (2019). A novel method for complex three-dimensional evaluation of intraoral scanner accuracy. </w:t>
                      </w:r>
                      <w:r w:rsidRPr="001706E1">
                        <w:rPr>
                          <w:rFonts w:ascii="Arial" w:hAnsi="Arial" w:cs="Arial"/>
                          <w:i/>
                          <w:iCs/>
                          <w:noProof/>
                          <w:sz w:val="14"/>
                          <w:szCs w:val="14"/>
                        </w:rPr>
                        <w:t>International Journal of Computerized Dentistry</w:t>
                      </w:r>
                      <w:r w:rsidRPr="001706E1">
                        <w:rPr>
                          <w:rFonts w:ascii="Arial" w:hAnsi="Arial" w:cs="Arial"/>
                          <w:noProof/>
                          <w:sz w:val="14"/>
                          <w:szCs w:val="14"/>
                        </w:rPr>
                        <w:t xml:space="preserve">, </w:t>
                      </w:r>
                      <w:r w:rsidRPr="001706E1">
                        <w:rPr>
                          <w:rFonts w:ascii="Arial" w:hAnsi="Arial" w:cs="Arial"/>
                          <w:i/>
                          <w:iCs/>
                          <w:noProof/>
                          <w:sz w:val="14"/>
                          <w:szCs w:val="14"/>
                        </w:rPr>
                        <w:t>22</w:t>
                      </w:r>
                      <w:r w:rsidRPr="001706E1">
                        <w:rPr>
                          <w:rFonts w:ascii="Arial" w:hAnsi="Arial" w:cs="Arial"/>
                          <w:noProof/>
                          <w:sz w:val="14"/>
                          <w:szCs w:val="14"/>
                        </w:rPr>
                        <w:t>(3), 239–249.</w:t>
                      </w:r>
                    </w:p>
                    <w:p w14:paraId="028A0455" w14:textId="77777777" w:rsidR="001706E1" w:rsidRPr="001706E1" w:rsidRDefault="001706E1" w:rsidP="001706E1">
                      <w:pPr>
                        <w:spacing w:line="360" w:lineRule="auto"/>
                        <w:jc w:val="both"/>
                        <w:rPr>
                          <w:rFonts w:cstheme="minorHAnsi"/>
                          <w:sz w:val="14"/>
                          <w:szCs w:val="14"/>
                          <w:lang w:val="en-GB"/>
                        </w:rPr>
                      </w:pPr>
                    </w:p>
                  </w:txbxContent>
                </v:textbox>
              </v:shape>
            </w:pict>
          </mc:Fallback>
        </mc:AlternateContent>
      </w:r>
      <w:r>
        <w:rPr>
          <w:rFonts w:cstheme="minorHAnsi"/>
          <w:b/>
          <w:bCs/>
          <w:lang w:val="en-GB"/>
        </w:rPr>
        <w:br w:type="page"/>
      </w:r>
    </w:p>
    <w:p w14:paraId="6C91726E" w14:textId="56726009" w:rsidR="007577F4" w:rsidRPr="007577F4" w:rsidRDefault="00821FF9" w:rsidP="00AC33F9">
      <w:pPr>
        <w:rPr>
          <w:rFonts w:cstheme="minorHAnsi"/>
          <w:lang w:val="en-GB"/>
        </w:rPr>
      </w:pPr>
      <w:r>
        <w:rPr>
          <w:rFonts w:cstheme="minorHAnsi"/>
          <w:b/>
          <w:bCs/>
          <w:lang w:val="en-GB"/>
        </w:rPr>
        <w:lastRenderedPageBreak/>
        <w:t>S</w:t>
      </w:r>
      <w:r w:rsidRPr="00D14764">
        <w:rPr>
          <w:rFonts w:cstheme="minorHAnsi"/>
          <w:b/>
          <w:bCs/>
          <w:lang w:val="en-GB"/>
        </w:rPr>
        <w:t>upplementary figure</w:t>
      </w:r>
      <w:r>
        <w:rPr>
          <w:rFonts w:cstheme="minorHAnsi"/>
          <w:b/>
          <w:bCs/>
          <w:lang w:val="en-GB"/>
        </w:rPr>
        <w:t xml:space="preserve"> 2</w:t>
      </w:r>
      <w:r w:rsidR="007577F4">
        <w:rPr>
          <w:rFonts w:cstheme="minorHAnsi"/>
          <w:b/>
          <w:bCs/>
          <w:lang w:val="en-GB"/>
        </w:rPr>
        <w:t xml:space="preserve">. </w:t>
      </w:r>
      <w:r w:rsidR="007577F4" w:rsidRPr="007577F4">
        <w:rPr>
          <w:rFonts w:cstheme="minorHAnsi"/>
          <w:lang w:val="en-GB"/>
        </w:rPr>
        <w:t>Planimetric analysis of disclosed plaque</w:t>
      </w:r>
      <w:r w:rsidR="007577F4">
        <w:rPr>
          <w:rFonts w:cstheme="minorHAnsi"/>
          <w:lang w:val="en-GB"/>
        </w:rPr>
        <w:t>.</w:t>
      </w:r>
    </w:p>
    <w:p w14:paraId="00F57D5F" w14:textId="55A8E2AE" w:rsidR="007577F4" w:rsidRDefault="007577F4" w:rsidP="00AC33F9">
      <w:pPr>
        <w:rPr>
          <w:rFonts w:cstheme="minorHAnsi"/>
          <w:b/>
          <w:bCs/>
          <w:lang w:val="en-GB"/>
        </w:rPr>
      </w:pPr>
      <w:r w:rsidRPr="00D14764">
        <w:rPr>
          <w:rFonts w:eastAsia="Times New Roman" w:cstheme="minorHAnsi"/>
          <w:b/>
          <w:bCs/>
          <w:noProof/>
          <w:lang w:val="en-GB"/>
          <w14:ligatures w14:val="standardContextual"/>
        </w:rPr>
        <mc:AlternateContent>
          <mc:Choice Requires="wps">
            <w:drawing>
              <wp:anchor distT="0" distB="0" distL="114300" distR="114300" simplePos="0" relativeHeight="251667456" behindDoc="0" locked="0" layoutInCell="1" allowOverlap="1" wp14:anchorId="3B718963" wp14:editId="43AF6028">
                <wp:simplePos x="0" y="0"/>
                <wp:positionH relativeFrom="column">
                  <wp:posOffset>0</wp:posOffset>
                </wp:positionH>
                <wp:positionV relativeFrom="paragraph">
                  <wp:posOffset>82550</wp:posOffset>
                </wp:positionV>
                <wp:extent cx="5670550" cy="7277100"/>
                <wp:effectExtent l="0" t="0" r="25400" b="19050"/>
                <wp:wrapNone/>
                <wp:docPr id="615593596" name="Text Box 4"/>
                <wp:cNvGraphicFramePr/>
                <a:graphic xmlns:a="http://schemas.openxmlformats.org/drawingml/2006/main">
                  <a:graphicData uri="http://schemas.microsoft.com/office/word/2010/wordprocessingShape">
                    <wps:wsp>
                      <wps:cNvSpPr txBox="1"/>
                      <wps:spPr>
                        <a:xfrm>
                          <a:off x="0" y="0"/>
                          <a:ext cx="5670550" cy="7277100"/>
                        </a:xfrm>
                        <a:prstGeom prst="rect">
                          <a:avLst/>
                        </a:prstGeom>
                        <a:solidFill>
                          <a:schemeClr val="lt1"/>
                        </a:solidFill>
                        <a:ln w="6350">
                          <a:solidFill>
                            <a:schemeClr val="tx1"/>
                          </a:solidFill>
                        </a:ln>
                      </wps:spPr>
                      <wps:txbx>
                        <w:txbxContent>
                          <w:p w14:paraId="5B99C713" w14:textId="77777777" w:rsidR="007577F4" w:rsidRPr="00915A5A" w:rsidRDefault="007577F4" w:rsidP="007577F4">
                            <w:pPr>
                              <w:spacing w:line="360" w:lineRule="auto"/>
                              <w:jc w:val="both"/>
                              <w:rPr>
                                <w:rFonts w:ascii="Calibri" w:hAnsi="Calibri" w:cs="Calibri"/>
                                <w:lang w:val="en-GB"/>
                              </w:rPr>
                            </w:pPr>
                            <w:r w:rsidRPr="00915A5A">
                              <w:rPr>
                                <w:rFonts w:ascii="Calibri" w:hAnsi="Calibri" w:cs="Calibri"/>
                                <w:lang w:val="en-GB"/>
                              </w:rPr>
                              <w:t xml:space="preserve">A screenshot of each disclosed buccal tooth surface was obtained in the same projection used for the delineation of ROIs in the volumetric workflow described above. The ROI was then used as a mask to crop the exact shape of each buccal tooth surface on the obtained 2D-screenshot using Adobe Photoshop v. 20.0 (Adobe Inc., San Jose, California, USA). Since each coloured pixel (excluding black) of the ROI contained red/green/blue components, </w:t>
                            </w:r>
                            <w:r w:rsidRPr="00915A5A">
                              <w:rPr>
                                <w:rFonts w:ascii="Calibri" w:hAnsi="Calibri" w:cs="Calibri"/>
                                <w:lang w:val="en-GB"/>
                              </w:rPr>
                              <w:fldChar w:fldCharType="begin" w:fldLock="1"/>
                            </w:r>
                            <w:r>
                              <w:rPr>
                                <w:rFonts w:ascii="Calibri" w:hAnsi="Calibri" w:cs="Calibri"/>
                                <w:lang w:val="en-GB"/>
                              </w:rPr>
                              <w:instrText>ADDIN CSL_CITATION {"citationItems":[{"id":"ITEM-1","itemData":{"DOI":"10.1371/JOURNAL.PONE.0276686","ISSN":"1932-6203","PMID":"36288348","abstract":"Planimetry is a reliable method for detecting and monitoring plaque. Until now, this method has mainly been applied to conventional-camera images, which is difficult and time-consuming in relation to the entire dentition. Today, 3D-intraoral-scans are well suited for imaging the entire dentition and are therefore an efficient and feasible alternative. 3D-intraoral-scans have already proven successful for the quantification of plaque based on a plaque index. Therefore, aim of this study was to investigate whether images from 3D-intraoral-scans are also suitable for valid planimetric plaque measurements and monitoring; intraoral-camera images served as a reference. Twenty subjects (27.5±1.2 years) were included. Plaque was disclosed at three different time points: habitual plaque (T1), after 72 h without oral hygiene (T2) and after subsequent tooth brushing (T3) and quantified using 3D-intraoral-scans and intraoral-camera images (intraoral-camera CS 1500, intraoral-scanner CS 3600; Carestream Dental, Germany). The percentage of the plaque-covered surface of the total surface area (P%) was determined with a software specially programmed for this purpose using images from 3D-intraoral-scans of the oral and vestibular surfaces of the Ramfjord teeth (16, 21, 24, 36, 41, and 44); the intraoral-camera images of the vestibular surfaces of 16 and 36 served as reference. P% from images of the 3D-intraoral-scan and the intraoral-camera revealed a very good correlation (r = 0.876; p ≤ 0.001); the Bland-Altmann analysis showed a good agreement with no proportional and a very minor systematic bias with slightly higher values from images of the 3D-intraoral-scan. Further, P% measurements of the images of the 3D-intraoral-scan were able to detect changes in plaque levels, showing a 47% (p ≤ 0.001) increase in P% from T1 to T2 and a 43% (p≤ 0.001) decrease after toothbrushing (T3). Planimetry using images of the 3D-intraoral-scan seems to be a suitable tool for whole mouth planimetry to record and monitor dental plaque.","author":[{"dropping-particle":"","family":"Jung","given":"Katja","non-dropping-particle":"","parse-names":false,"suffix":""},{"dropping-particle":"","family":"Giese-Kraft","given":"Katja","non-dropping-particle":"","parse-names":false,"suffix":""},{"dropping-particle":"","family":"Fischer","given":"Melanie","non-dropping-particle":"","parse-names":false,"suffix":""},{"dropping-particle":"","family":"Schulze","given":"Kai","non-dropping-particle":"","parse-names":false,"suffix":""},{"dropping-particle":"","family":"Schlueter","given":"Nadine","non-dropping-particle":"","parse-names":false,"suffix":""},{"dropping-particle":"","family":"Ganss","given":"Carolina","non-dropping-particle":"","parse-names":false,"suffix":""}],"container-title":"PloS one","id":"ITEM-1","issue":"10","issued":{"date-parts":[["2022","10","1"]]},"publisher":"PLoS One","title":"Visualization of dental plaque with a 3D-intraoral-scanner-A tool for whole mouth planimetry","type":"article-journal","volume":"17"},"uris":["http://www.mendeley.com/documents/?uuid=605908b3-fdf6-3e73-ac77-a56b76e87ba4"]}],"mendeley":{"formattedCitation":"(Jung et al. 2022)","plainTextFormattedCitation":"(Jung et al. 2022)","previouslyFormattedCitation":"[14]"},"properties":{"noteIndex":0},"schema":"https://github.com/citation-style-language/schema/raw/master/csl-citation.json"}</w:instrText>
                            </w:r>
                            <w:r w:rsidRPr="00915A5A">
                              <w:rPr>
                                <w:rFonts w:ascii="Calibri" w:hAnsi="Calibri" w:cs="Calibri"/>
                                <w:lang w:val="en-GB"/>
                              </w:rPr>
                              <w:fldChar w:fldCharType="separate"/>
                            </w:r>
                            <w:r w:rsidRPr="00BF254B">
                              <w:rPr>
                                <w:rFonts w:ascii="Calibri" w:hAnsi="Calibri" w:cs="Calibri"/>
                                <w:noProof/>
                                <w:lang w:val="en-GB"/>
                              </w:rPr>
                              <w:t>(Jung et al. 2022)</w:t>
                            </w:r>
                            <w:r w:rsidRPr="00915A5A">
                              <w:rPr>
                                <w:rFonts w:ascii="Calibri" w:hAnsi="Calibri" w:cs="Calibri"/>
                                <w:lang w:val="en-GB"/>
                              </w:rPr>
                              <w:fldChar w:fldCharType="end"/>
                            </w:r>
                            <w:r w:rsidRPr="00915A5A">
                              <w:rPr>
                                <w:rFonts w:ascii="Calibri" w:hAnsi="Calibri" w:cs="Calibri"/>
                                <w:lang w:val="en-GB"/>
                              </w:rPr>
                              <w:t xml:space="preserve"> the thresholds for red and blue were set to zero. This isolated the green channel, which provided the highest contrast against the red tones of the PDA and visually enhanced the stained plaque. Each ROI was then converted to grayscale based on the intensity values of the green channel. Next, classifier training for machine-learning segmentation and final segmentation without further manual corrections of greyscale differences was performed using the Trainable Weka Segmentation plugin </w:t>
                            </w:r>
                            <w:r w:rsidRPr="00915A5A">
                              <w:rPr>
                                <w:rFonts w:ascii="Calibri" w:hAnsi="Calibri" w:cs="Calibri"/>
                                <w:lang w:val="en-GB"/>
                              </w:rPr>
                              <w:fldChar w:fldCharType="begin" w:fldLock="1"/>
                            </w:r>
                            <w:r>
                              <w:rPr>
                                <w:rFonts w:ascii="Calibri" w:hAnsi="Calibri" w:cs="Calibri"/>
                                <w:lang w:val="en-GB"/>
                              </w:rPr>
                              <w:instrText>ADDIN CSL_CITATION {"citationItems":[{"id":"ITEM-1","itemData":{"DOI":"10.1093/BIOINFORMATICS/BTX180","ISSN":"1367-4803","PMID":"28369169","abstract":"Summary: State-of-the-art light and electron microscopes are capable of acquiring large image datasets, but quantitatively evaluating the data often involves manually annotating structures of interest. This process is time-consuming and often a major bottleneck in the evaluation pipeline. To overcome this problem, we have introduced the Trainable Weka Segmentation (TWS), a machine learning tool that leverages a limited number of manual annotations in order to train a classifier and segment the remaining data automatically. In addition, TWS can provide unsupervised segmentation learning schemes (clustering) and can be customized to employ user-designed image features or classifiers.","author":[{"dropping-particle":"","family":"Arganda-Carreras","given":"Ignacio","non-dropping-particle":"","parse-names":false,"suffix":""},{"dropping-particle":"","family":"Kaynig","given":"Verena","non-dropping-particle":"","parse-names":false,"suffix":""},{"dropping-particle":"","family":"Rueden","given":"Curtis","non-dropping-particle":"","parse-names":false,"suffix":""},{"dropping-particle":"","family":"Eliceiri","given":"Kevin W.","non-dropping-particle":"","parse-names":false,"suffix":""},{"dropping-particle":"","family":"Schindelin","given":"Johannes","non-dropping-particle":"","parse-names":false,"suffix":""},{"dropping-particle":"","family":"Cardona","given":"Albert","non-dropping-particle":"","parse-names":false,"suffix":""},{"dropping-particle":"","family":"Seung","given":"H. Sebastian","non-dropping-particle":"","parse-names":false,"suffix":""}],"container-title":"Bioinformatics","id":"ITEM-1","issue":"15","issued":{"date-parts":[["2017","8","1"]]},"page":"2424-2426","publisher":"Oxford Academic","title":"Trainable Weka Segmentation: a machine learning tool for microscopy pixel classification","type":"article-journal","volume":"33"},"uris":["http://www.mendeley.com/documents/?uuid=97d667fc-eb9f-3a55-8e70-797af0ba32df"]}],"mendeley":{"formattedCitation":"(Arganda-Carreras et al. 2017)","plainTextFormattedCitation":"(Arganda-Carreras et al. 2017)","previouslyFormattedCitation":"[20]"},"properties":{"noteIndex":0},"schema":"https://github.com/citation-style-language/schema/raw/master/csl-citation.json"}</w:instrText>
                            </w:r>
                            <w:r w:rsidRPr="00915A5A">
                              <w:rPr>
                                <w:rFonts w:ascii="Calibri" w:hAnsi="Calibri" w:cs="Calibri"/>
                                <w:lang w:val="en-GB"/>
                              </w:rPr>
                              <w:fldChar w:fldCharType="separate"/>
                            </w:r>
                            <w:r w:rsidRPr="00BF254B">
                              <w:rPr>
                                <w:rFonts w:ascii="Calibri" w:hAnsi="Calibri" w:cs="Calibri"/>
                                <w:noProof/>
                                <w:lang w:val="en-GB"/>
                              </w:rPr>
                              <w:t>(Arganda-Carreras et al. 2017)</w:t>
                            </w:r>
                            <w:r w:rsidRPr="00915A5A">
                              <w:rPr>
                                <w:rFonts w:ascii="Calibri" w:hAnsi="Calibri" w:cs="Calibri"/>
                                <w:lang w:val="en-GB"/>
                              </w:rPr>
                              <w:fldChar w:fldCharType="end"/>
                            </w:r>
                            <w:r w:rsidRPr="00915A5A">
                              <w:rPr>
                                <w:rFonts w:ascii="Calibri" w:hAnsi="Calibri" w:cs="Calibri"/>
                                <w:lang w:val="en-GB"/>
                              </w:rPr>
                              <w:t xml:space="preserve"> (Howard Hughes Medical Institute, Janelia Research Campus, Ashburn, Virginia, USA) in ImageJ v. 2.16.0 (National Institutes of Health, Bethesda, Maryland, USA). </w:t>
                            </w:r>
                          </w:p>
                          <w:p w14:paraId="3576FFEA" w14:textId="77777777" w:rsidR="007577F4" w:rsidRPr="00915A5A" w:rsidRDefault="007577F4" w:rsidP="007577F4">
                            <w:pPr>
                              <w:spacing w:line="360" w:lineRule="auto"/>
                              <w:ind w:firstLine="720"/>
                              <w:jc w:val="both"/>
                              <w:rPr>
                                <w:rFonts w:ascii="Calibri" w:hAnsi="Calibri" w:cs="Calibri"/>
                                <w:lang w:val="en-GB"/>
                              </w:rPr>
                            </w:pPr>
                            <w:r w:rsidRPr="00915A5A">
                              <w:rPr>
                                <w:rFonts w:ascii="Calibri" w:hAnsi="Calibri" w:cs="Calibri"/>
                                <w:lang w:val="en-GB"/>
                              </w:rPr>
                              <w:t>The two-tone PDA enabled the independent planimetric assessment of dark/purple-coloured tooth surface</w:t>
                            </w:r>
                            <w:r>
                              <w:rPr>
                                <w:rFonts w:ascii="Calibri" w:hAnsi="Calibri" w:cs="Calibri"/>
                                <w:lang w:val="en-GB"/>
                              </w:rPr>
                              <w:t>-</w:t>
                            </w:r>
                            <w:r w:rsidRPr="00915A5A">
                              <w:rPr>
                                <w:rFonts w:ascii="Calibri" w:hAnsi="Calibri" w:cs="Calibri"/>
                                <w:lang w:val="en-GB"/>
                              </w:rPr>
                              <w:t>areas (PLANIdark), and light/pink-coloured tooth surface</w:t>
                            </w:r>
                            <w:r>
                              <w:rPr>
                                <w:rFonts w:ascii="Calibri" w:hAnsi="Calibri" w:cs="Calibri"/>
                                <w:lang w:val="en-GB"/>
                              </w:rPr>
                              <w:t>-</w:t>
                            </w:r>
                            <w:r w:rsidRPr="00915A5A">
                              <w:rPr>
                                <w:rFonts w:ascii="Calibri" w:hAnsi="Calibri" w:cs="Calibri"/>
                                <w:lang w:val="en-GB"/>
                              </w:rPr>
                              <w:t>areas (PLANIlight). Accordingly, the classifier for segmentation was separately trained for PLANIdark and PLANIlight, respectively. The threshold was visually examined directly within the program. Due to the continuous spectrum of colour intensity observed in plaque deposits, light/pink</w:t>
                            </w:r>
                            <w:r>
                              <w:rPr>
                                <w:rFonts w:ascii="Calibri" w:hAnsi="Calibri" w:cs="Calibri"/>
                                <w:lang w:val="en-GB"/>
                              </w:rPr>
                              <w:t>-</w:t>
                            </w:r>
                            <w:r w:rsidRPr="00915A5A">
                              <w:rPr>
                                <w:rFonts w:ascii="Calibri" w:hAnsi="Calibri" w:cs="Calibri"/>
                                <w:lang w:val="en-GB"/>
                              </w:rPr>
                              <w:t>disclosed plaque (LDP) could not be distinguished from DDP and white/plaque-free surfaces simultaneously; PLANIlight was therefore calculated from the total plaque covered surface</w:t>
                            </w:r>
                            <w:r>
                              <w:rPr>
                                <w:rFonts w:ascii="Calibri" w:hAnsi="Calibri" w:cs="Calibri"/>
                                <w:lang w:val="en-GB"/>
                              </w:rPr>
                              <w:t>-</w:t>
                            </w:r>
                            <w:r w:rsidRPr="00915A5A">
                              <w:rPr>
                                <w:rFonts w:ascii="Calibri" w:hAnsi="Calibri" w:cs="Calibri"/>
                                <w:lang w:val="en-GB"/>
                              </w:rPr>
                              <w:t>area (PLANItot) using the following equation:</w:t>
                            </w:r>
                          </w:p>
                          <w:p w14:paraId="31448FF2" w14:textId="77777777" w:rsidR="007577F4" w:rsidRPr="00915A5A" w:rsidRDefault="007577F4" w:rsidP="007577F4">
                            <w:pPr>
                              <w:spacing w:line="360" w:lineRule="auto"/>
                              <w:jc w:val="center"/>
                              <w:rPr>
                                <w:rFonts w:ascii="Calibri" w:hAnsi="Calibri" w:cs="Calibri"/>
                                <w:lang w:val="en-GB"/>
                              </w:rPr>
                            </w:pPr>
                            <w:r w:rsidRPr="00915A5A">
                              <w:rPr>
                                <w:rFonts w:ascii="Calibri" w:hAnsi="Calibri" w:cs="Calibri"/>
                                <w:lang w:val="en-GB"/>
                              </w:rPr>
                              <w:t>PLANItot</w:t>
                            </w:r>
                            <w:r w:rsidRPr="00915A5A">
                              <w:rPr>
                                <w:rFonts w:ascii="Calibri" w:hAnsi="Calibri" w:cs="Calibri"/>
                                <w:sz w:val="28"/>
                                <w:szCs w:val="28"/>
                                <w:lang w:val="en-GB"/>
                              </w:rPr>
                              <w:t xml:space="preserve"> </w:t>
                            </w:r>
                            <w:r w:rsidRPr="00915A5A">
                              <w:rPr>
                                <w:rFonts w:ascii="Calibri" w:hAnsi="Calibri" w:cs="Calibri"/>
                                <w:lang w:val="en-GB"/>
                              </w:rPr>
                              <w:t>= PLANIdark</w:t>
                            </w:r>
                            <w:r w:rsidRPr="00915A5A">
                              <w:rPr>
                                <w:rFonts w:ascii="Calibri" w:hAnsi="Calibri" w:cs="Calibri"/>
                                <w:sz w:val="28"/>
                                <w:szCs w:val="28"/>
                                <w:vertAlign w:val="subscript"/>
                                <w:lang w:val="en-GB"/>
                              </w:rPr>
                              <w:t xml:space="preserve"> </w:t>
                            </w:r>
                            <w:r w:rsidRPr="00915A5A">
                              <w:rPr>
                                <w:rFonts w:ascii="Calibri" w:hAnsi="Calibri" w:cs="Calibri"/>
                                <w:lang w:val="en-GB"/>
                              </w:rPr>
                              <w:t>+ PLANIlight</w:t>
                            </w:r>
                          </w:p>
                          <w:p w14:paraId="2E530BE2" w14:textId="77777777" w:rsidR="007577F4" w:rsidRDefault="007577F4" w:rsidP="007577F4">
                            <w:pPr>
                              <w:spacing w:line="360" w:lineRule="auto"/>
                              <w:jc w:val="center"/>
                              <w:rPr>
                                <w:rFonts w:ascii="Calibri" w:hAnsi="Calibri" w:cs="Calibri"/>
                                <w:lang w:val="en-GB"/>
                              </w:rPr>
                            </w:pPr>
                            <w:r w:rsidRPr="00915A5A">
                              <w:rPr>
                                <w:rFonts w:ascii="Calibri" w:hAnsi="Calibri" w:cs="Calibri"/>
                                <w:lang w:val="en-GB"/>
                              </w:rPr>
                              <w:t>PLANIlight = PLANItot</w:t>
                            </w:r>
                            <w:r w:rsidRPr="00915A5A">
                              <w:rPr>
                                <w:rFonts w:ascii="Calibri" w:hAnsi="Calibri" w:cs="Calibri"/>
                                <w:sz w:val="28"/>
                                <w:szCs w:val="28"/>
                                <w:vertAlign w:val="subscript"/>
                                <w:lang w:val="en-GB"/>
                              </w:rPr>
                              <w:t xml:space="preserve"> </w:t>
                            </w:r>
                            <w:r w:rsidRPr="00915A5A">
                              <w:rPr>
                                <w:rFonts w:ascii="Calibri" w:hAnsi="Calibri" w:cs="Calibri"/>
                                <w:lang w:val="en-GB"/>
                              </w:rPr>
                              <w:t>– PLANIdark</w:t>
                            </w:r>
                          </w:p>
                          <w:p w14:paraId="0A99E6BD" w14:textId="7C6D1D41" w:rsidR="007577F4" w:rsidRPr="001706E1" w:rsidRDefault="007577F4" w:rsidP="007577F4">
                            <w:pPr>
                              <w:widowControl w:val="0"/>
                              <w:autoSpaceDE w:val="0"/>
                              <w:autoSpaceDN w:val="0"/>
                              <w:adjustRightInd w:val="0"/>
                              <w:spacing w:after="240" w:line="360" w:lineRule="auto"/>
                              <w:ind w:left="567" w:hanging="567"/>
                              <w:rPr>
                                <w:rFonts w:ascii="Calibri" w:hAnsi="Calibri" w:cs="Calibri"/>
                                <w:i/>
                                <w:iCs/>
                                <w:noProof/>
                                <w:sz w:val="14"/>
                                <w:szCs w:val="14"/>
                              </w:rPr>
                            </w:pPr>
                            <w:r w:rsidRPr="001706E1">
                              <w:rPr>
                                <w:rFonts w:ascii="Calibri" w:hAnsi="Calibri" w:cs="Calibri"/>
                                <w:i/>
                                <w:iCs/>
                                <w:noProof/>
                                <w:sz w:val="14"/>
                                <w:szCs w:val="14"/>
                              </w:rPr>
                              <w:t xml:space="preserve">Jung K, Giese-Kraft K, Fischer M, Schulze K, Schlueter N, Ganss C. 2022. Visualization of dental plaque with a 3D-intraoral-scanner-A tool for whole mouth planimetry. PLoS One. 17(10). doi:10.1371/JOURNAL.PONE.0276686. </w:t>
                            </w:r>
                          </w:p>
                          <w:p w14:paraId="7DC13728" w14:textId="5F18B1E2" w:rsidR="007577F4" w:rsidRPr="001706E1" w:rsidRDefault="007577F4" w:rsidP="007577F4">
                            <w:pPr>
                              <w:widowControl w:val="0"/>
                              <w:autoSpaceDE w:val="0"/>
                              <w:autoSpaceDN w:val="0"/>
                              <w:adjustRightInd w:val="0"/>
                              <w:spacing w:after="240" w:line="360" w:lineRule="auto"/>
                              <w:ind w:left="567" w:hanging="567"/>
                              <w:rPr>
                                <w:rFonts w:ascii="Calibri" w:hAnsi="Calibri" w:cs="Calibri"/>
                                <w:i/>
                                <w:iCs/>
                                <w:noProof/>
                                <w:sz w:val="14"/>
                                <w:szCs w:val="14"/>
                              </w:rPr>
                            </w:pPr>
                            <w:r w:rsidRPr="001706E1">
                              <w:rPr>
                                <w:rFonts w:ascii="Calibri" w:hAnsi="Calibri" w:cs="Calibri"/>
                                <w:i/>
                                <w:iCs/>
                                <w:noProof/>
                                <w:sz w:val="14"/>
                                <w:szCs w:val="14"/>
                              </w:rPr>
                              <w:t>Arganda-Carreras I, Kaynig V, Rueden C, Eliceiri KW, Schindelin J, Cardona A, Seung HS. 2017. Trainable Weka Segmentation: a machine learning tool for microscopy pixel classification. Bioinformatics. 33(15):2424–2426. doi:10.1093/BIOINFORMATICS/BTX180.</w:t>
                            </w:r>
                          </w:p>
                          <w:p w14:paraId="6997C082" w14:textId="77777777" w:rsidR="007577F4" w:rsidRPr="007577F4" w:rsidRDefault="007577F4" w:rsidP="007577F4">
                            <w:pPr>
                              <w:widowControl w:val="0"/>
                              <w:autoSpaceDE w:val="0"/>
                              <w:autoSpaceDN w:val="0"/>
                              <w:adjustRightInd w:val="0"/>
                              <w:spacing w:after="240" w:line="360" w:lineRule="auto"/>
                              <w:ind w:left="567" w:hanging="567"/>
                              <w:rPr>
                                <w:rFonts w:ascii="Calibri" w:hAnsi="Calibri" w:cs="Calibri"/>
                                <w:i/>
                                <w:iCs/>
                                <w:noProof/>
                              </w:rPr>
                            </w:pPr>
                          </w:p>
                          <w:p w14:paraId="1CEB5148" w14:textId="77777777" w:rsidR="007577F4" w:rsidRPr="00915A5A" w:rsidRDefault="007577F4" w:rsidP="007577F4">
                            <w:pPr>
                              <w:spacing w:line="360" w:lineRule="auto"/>
                              <w:rPr>
                                <w:rFonts w:ascii="Calibri" w:hAnsi="Calibri" w:cs="Calibri"/>
                                <w:lang w:val="en-GB"/>
                              </w:rPr>
                            </w:pPr>
                          </w:p>
                          <w:p w14:paraId="7F6B044C" w14:textId="5A03B73F" w:rsidR="007577F4" w:rsidRPr="007D46F6" w:rsidRDefault="007577F4" w:rsidP="007577F4">
                            <w:pPr>
                              <w:spacing w:line="480" w:lineRule="auto"/>
                              <w:jc w:val="both"/>
                              <w:rPr>
                                <w:rFonts w:cstheme="minorHAnsi"/>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718963" id="_x0000_s1027" type="#_x0000_t202" style="position:absolute;margin-left:0;margin-top:6.5pt;width:446.5pt;height:573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" fillcolor="white [3201]" strokecolor="black [3213]" strokeweight=".5pt">
                <v:textbox>
                  <w:txbxContent>
                    <w:p w14:paraId="5B99C713" w14:textId="77777777" w:rsidR="007577F4" w:rsidRPr="00915A5A" w:rsidRDefault="007577F4" w:rsidP="007577F4">
                      <w:pPr>
                        <w:spacing w:line="360" w:lineRule="auto"/>
                        <w:jc w:val="both"/>
                        <w:rPr>
                          <w:rFonts w:ascii="Calibri" w:hAnsi="Calibri" w:cs="Calibri"/>
                          <w:lang w:val="en-GB"/>
                        </w:rPr>
                      </w:pPr>
                      <w:r w:rsidRPr="00915A5A">
                        <w:rPr>
                          <w:rFonts w:ascii="Calibri" w:hAnsi="Calibri" w:cs="Calibri"/>
                          <w:lang w:val="en-GB"/>
                        </w:rPr>
                        <w:t xml:space="preserve">A screenshot of each disclosed buccal tooth surface was obtained in the same projection used for the delineation of ROIs in the volumetric workflow described above. The ROI was then used as a mask to crop the exact shape of each buccal tooth surface on the obtained 2D-screenshot using Adobe Photoshop v. 20.0 (Adobe Inc., San Jose, California, USA). Since each coloured pixel (excluding black) of the ROI contained red/green/blue components, </w:t>
                      </w:r>
                      <w:r w:rsidRPr="00915A5A">
                        <w:rPr>
                          <w:rFonts w:ascii="Calibri" w:hAnsi="Calibri" w:cs="Calibri"/>
                          <w:lang w:val="en-GB"/>
                        </w:rPr>
                        <w:fldChar w:fldCharType="begin" w:fldLock="1"/>
                      </w:r>
                      <w:r>
                        <w:rPr>
                          <w:rFonts w:ascii="Calibri" w:hAnsi="Calibri" w:cs="Calibri"/>
                          <w:lang w:val="en-GB"/>
                        </w:rPr>
                        <w:instrText>ADDIN CSL_CITATION {"citationItems":[{"id":"ITEM-1","itemData":{"DOI":"10.1371/JOURNAL.PONE.0276686","ISSN":"1932-6203","PMID":"36288348","abstract":"Planimetry is a reliable method for detecting and monitoring plaque. Until now, this method has mainly been applied to conventional-camera images, which is difficult and time-consuming in relation to the entire dentition. Today, 3D-intraoral-scans are well suited for imaging the entire dentition and are therefore an efficient and feasible alternative. 3D-intraoral-scans have already proven successful for the quantification of plaque based on a plaque index. Therefore, aim of this study was to investigate whether images from 3D-intraoral-scans are also suitable for valid planimetric plaque measurements and monitoring; intraoral-camera images served as a reference. Twenty subjects (27.5±1.2 years) were included. Plaque was disclosed at three different time points: habitual plaque (T1), after 72 h without oral hygiene (T2) and after subsequent tooth brushing (T3) and quantified using 3D-intraoral-scans and intraoral-camera images (intraoral-camera CS 1500, intraoral-scanner CS 3600; Carestream Dental, Germany). The percentage of the plaque-covered surface of the total surface area (P%) was determined with a software specially programmed for this purpose using images from 3D-intraoral-scans of the oral and vestibular surfaces of the Ramfjord teeth (16, 21, 24, 36, 41, and 44); the intraoral-camera images of the vestibular surfaces of 16 and 36 served as reference. P% from images of the 3D-intraoral-scan and the intraoral-camera revealed a very good correlation (r = 0.876; p ≤ 0.001); the Bland-Altmann analysis showed a good agreement with no proportional and a very minor systematic bias with slightly higher values from images of the 3D-intraoral-scan. Further, P% measurements of the images of the 3D-intraoral-scan were able to detect changes in plaque levels, showing a 47% (p ≤ 0.001) increase in P% from T1 to T2 and a 43% (p≤ 0.001) decrease after toothbrushing (T3). Planimetry using images of the 3D-intraoral-scan seems to be a suitable tool for whole mouth planimetry to record and monitor dental plaque.","author":[{"dropping-particle":"","family":"Jung","given":"Katja","non-dropping-particle":"","parse-names":false,"suffix":""},{"dropping-particle":"","family":"Giese-Kraft","given":"Katja","non-dropping-particle":"","parse-names":false,"suffix":""},{"dropping-particle":"","family":"Fischer","given":"Melanie","non-dropping-particle":"","parse-names":false,"suffix":""},{"dropping-particle":"","family":"Schulze","given":"Kai","non-dropping-particle":"","parse-names":false,"suffix":""},{"dropping-particle":"","family":"Schlueter","given":"Nadine","non-dropping-particle":"","parse-names":false,"suffix":""},{"dropping-particle":"","family":"Ganss","given":"Carolina","non-dropping-particle":"","parse-names":false,"suffix":""}],"container-title":"PloS one","id":"ITEM-1","issue":"10","issued":{"date-parts":[["2022","10","1"]]},"publisher":"PLoS One","title":"Visualization of dental plaque with a 3D-intraoral-scanner-A tool for whole mouth planimetry","type":"article-journal","volume":"17"},"uris":["http://www.mendeley.com/documents/?uuid=605908b3-fdf6-3e73-ac77-a56b76e87ba4"]}],"mendeley":{"formattedCitation":"(Jung et al. 2022)","plainTextFormattedCitation":"(Jung et al. 2022)","previouslyFormattedCitation":"[14]"},"properties":{"noteIndex":0},"schema":"https://github.com/citation-style-language/schema/raw/master/csl-citation.json"}</w:instrText>
                      </w:r>
                      <w:r w:rsidRPr="00915A5A">
                        <w:rPr>
                          <w:rFonts w:ascii="Calibri" w:hAnsi="Calibri" w:cs="Calibri"/>
                          <w:lang w:val="en-GB"/>
                        </w:rPr>
                        <w:fldChar w:fldCharType="separate"/>
                      </w:r>
                      <w:r w:rsidRPr="00BF254B">
                        <w:rPr>
                          <w:rFonts w:ascii="Calibri" w:hAnsi="Calibri" w:cs="Calibri"/>
                          <w:noProof/>
                          <w:lang w:val="en-GB"/>
                        </w:rPr>
                        <w:t>(Jung et al. 2022)</w:t>
                      </w:r>
                      <w:r w:rsidRPr="00915A5A">
                        <w:rPr>
                          <w:rFonts w:ascii="Calibri" w:hAnsi="Calibri" w:cs="Calibri"/>
                          <w:lang w:val="en-GB"/>
                        </w:rPr>
                        <w:fldChar w:fldCharType="end"/>
                      </w:r>
                      <w:r w:rsidRPr="00915A5A">
                        <w:rPr>
                          <w:rFonts w:ascii="Calibri" w:hAnsi="Calibri" w:cs="Calibri"/>
                          <w:lang w:val="en-GB"/>
                        </w:rPr>
                        <w:t xml:space="preserve"> the thresholds for red and blue were set to zero. This isolated the green channel, which provided the highest contrast against the red tones of the PDA and visually enhanced the stained plaque. Each ROI was then converted to grayscale based on the intensity values of the green channel. Next, classifier training for machine-learning segmentation and final segmentation without further manual corrections of greyscale differences was performed using the Trainable Weka Segmentation plugin </w:t>
                      </w:r>
                      <w:r w:rsidRPr="00915A5A">
                        <w:rPr>
                          <w:rFonts w:ascii="Calibri" w:hAnsi="Calibri" w:cs="Calibri"/>
                          <w:lang w:val="en-GB"/>
                        </w:rPr>
                        <w:fldChar w:fldCharType="begin" w:fldLock="1"/>
                      </w:r>
                      <w:r>
                        <w:rPr>
                          <w:rFonts w:ascii="Calibri" w:hAnsi="Calibri" w:cs="Calibri"/>
                          <w:lang w:val="en-GB"/>
                        </w:rPr>
                        <w:instrText>ADDIN CSL_CITATION {"citationItems":[{"id":"ITEM-1","itemData":{"DOI":"10.1093/BIOINFORMATICS/BTX180","ISSN":"1367-4803","PMID":"28369169","abstract":"Summary: State-of-the-art light and electron microscopes are capable of acquiring large image datasets, but quantitatively evaluating the data often involves manually annotating structures of interest. This process is time-consuming and often a major bottleneck in the evaluation pipeline. To overcome this problem, we have introduced the Trainable Weka Segmentation (TWS), a machine learning tool that leverages a limited number of manual annotations in order to train a classifier and segment the remaining data automatically. In addition, TWS can provide unsupervised segmentation learning schemes (clustering) and can be customized to employ user-designed image features or classifiers.","author":[{"dropping-particle":"","family":"Arganda-Carreras","given":"Ignacio","non-dropping-particle":"","parse-names":false,"suffix":""},{"dropping-particle":"","family":"Kaynig","given":"Verena","non-dropping-particle":"","parse-names":false,"suffix":""},{"dropping-particle":"","family":"Rueden","given":"Curtis","non-dropping-particle":"","parse-names":false,"suffix":""},{"dropping-particle":"","family":"Eliceiri","given":"Kevin W.","non-dropping-particle":"","parse-names":false,"suffix":""},{"dropping-particle":"","family":"Schindelin","given":"Johannes","non-dropping-particle":"","parse-names":false,"suffix":""},{"dropping-particle":"","family":"Cardona","given":"Albert","non-dropping-particle":"","parse-names":false,"suffix":""},{"dropping-particle":"","family":"Seung","given":"H. Sebastian","non-dropping-particle":"","parse-names":false,"suffix":""}],"container-title":"Bioinformatics","id":"ITEM-1","issue":"15","issued":{"date-parts":[["2017","8","1"]]},"page":"2424-2426","publisher":"Oxford Academic","title":"Trainable Weka Segmentation: a machine learning tool for microscopy pixel classification","type":"article-journal","volume":"33"},"uris":["http://www.mendeley.com/documents/?uuid=97d667fc-eb9f-3a55-8e70-797af0ba32df"]}],"mendeley":{"formattedCitation":"(Arganda-Carreras et al. 2017)","plainTextFormattedCitation":"(Arganda-Carreras et al. 2017)","previouslyFormattedCitation":"[20]"},"properties":{"noteIndex":0},"schema":"https://github.com/citation-style-language/schema/raw/master/csl-citation.json"}</w:instrText>
                      </w:r>
                      <w:r w:rsidRPr="00915A5A">
                        <w:rPr>
                          <w:rFonts w:ascii="Calibri" w:hAnsi="Calibri" w:cs="Calibri"/>
                          <w:lang w:val="en-GB"/>
                        </w:rPr>
                        <w:fldChar w:fldCharType="separate"/>
                      </w:r>
                      <w:r w:rsidRPr="00BF254B">
                        <w:rPr>
                          <w:rFonts w:ascii="Calibri" w:hAnsi="Calibri" w:cs="Calibri"/>
                          <w:noProof/>
                          <w:lang w:val="en-GB"/>
                        </w:rPr>
                        <w:t>(Arganda-Carreras et al. 2017)</w:t>
                      </w:r>
                      <w:r w:rsidRPr="00915A5A">
                        <w:rPr>
                          <w:rFonts w:ascii="Calibri" w:hAnsi="Calibri" w:cs="Calibri"/>
                          <w:lang w:val="en-GB"/>
                        </w:rPr>
                        <w:fldChar w:fldCharType="end"/>
                      </w:r>
                      <w:r w:rsidRPr="00915A5A">
                        <w:rPr>
                          <w:rFonts w:ascii="Calibri" w:hAnsi="Calibri" w:cs="Calibri"/>
                          <w:lang w:val="en-GB"/>
                        </w:rPr>
                        <w:t xml:space="preserve"> (Howard Hughes Medical Institute, Janelia Research Campus, Ashburn, Virginia, USA) in ImageJ v. 2.16.0 (National Institutes of Health, Bethesda, Maryland, USA). </w:t>
                      </w:r>
                    </w:p>
                    <w:p w14:paraId="3576FFEA" w14:textId="77777777" w:rsidR="007577F4" w:rsidRPr="00915A5A" w:rsidRDefault="007577F4" w:rsidP="007577F4">
                      <w:pPr>
                        <w:spacing w:line="360" w:lineRule="auto"/>
                        <w:ind w:firstLine="720"/>
                        <w:jc w:val="both"/>
                        <w:rPr>
                          <w:rFonts w:ascii="Calibri" w:hAnsi="Calibri" w:cs="Calibri"/>
                          <w:lang w:val="en-GB"/>
                        </w:rPr>
                      </w:pPr>
                      <w:r w:rsidRPr="00915A5A">
                        <w:rPr>
                          <w:rFonts w:ascii="Calibri" w:hAnsi="Calibri" w:cs="Calibri"/>
                          <w:lang w:val="en-GB"/>
                        </w:rPr>
                        <w:t>The two-tone PDA enabled the independent planimetric assessment of dark/purple-coloured tooth surface</w:t>
                      </w:r>
                      <w:r>
                        <w:rPr>
                          <w:rFonts w:ascii="Calibri" w:hAnsi="Calibri" w:cs="Calibri"/>
                          <w:lang w:val="en-GB"/>
                        </w:rPr>
                        <w:t>-</w:t>
                      </w:r>
                      <w:r w:rsidRPr="00915A5A">
                        <w:rPr>
                          <w:rFonts w:ascii="Calibri" w:hAnsi="Calibri" w:cs="Calibri"/>
                          <w:lang w:val="en-GB"/>
                        </w:rPr>
                        <w:t>areas (PLANIdark), and light/pink-coloured tooth surface</w:t>
                      </w:r>
                      <w:r>
                        <w:rPr>
                          <w:rFonts w:ascii="Calibri" w:hAnsi="Calibri" w:cs="Calibri"/>
                          <w:lang w:val="en-GB"/>
                        </w:rPr>
                        <w:t>-</w:t>
                      </w:r>
                      <w:r w:rsidRPr="00915A5A">
                        <w:rPr>
                          <w:rFonts w:ascii="Calibri" w:hAnsi="Calibri" w:cs="Calibri"/>
                          <w:lang w:val="en-GB"/>
                        </w:rPr>
                        <w:t>areas (PLANIlight). Accordingly, the classifier for segmentation was separately trained for PLANIdark and PLANIlight, respectively. The threshold was visually examined directly within the program. Due to the continuous spectrum of colour intensity observed in plaque deposits, light/pink</w:t>
                      </w:r>
                      <w:r>
                        <w:rPr>
                          <w:rFonts w:ascii="Calibri" w:hAnsi="Calibri" w:cs="Calibri"/>
                          <w:lang w:val="en-GB"/>
                        </w:rPr>
                        <w:t>-</w:t>
                      </w:r>
                      <w:r w:rsidRPr="00915A5A">
                        <w:rPr>
                          <w:rFonts w:ascii="Calibri" w:hAnsi="Calibri" w:cs="Calibri"/>
                          <w:lang w:val="en-GB"/>
                        </w:rPr>
                        <w:t>disclosed plaque (LDP) could not be distinguished from DDP and white/plaque-free surfaces simultaneously; PLANIlight was therefore calculated from the total plaque covered surface</w:t>
                      </w:r>
                      <w:r>
                        <w:rPr>
                          <w:rFonts w:ascii="Calibri" w:hAnsi="Calibri" w:cs="Calibri"/>
                          <w:lang w:val="en-GB"/>
                        </w:rPr>
                        <w:t>-</w:t>
                      </w:r>
                      <w:r w:rsidRPr="00915A5A">
                        <w:rPr>
                          <w:rFonts w:ascii="Calibri" w:hAnsi="Calibri" w:cs="Calibri"/>
                          <w:lang w:val="en-GB"/>
                        </w:rPr>
                        <w:t>area (PLANItot) using the following equation:</w:t>
                      </w:r>
                    </w:p>
                    <w:p w14:paraId="31448FF2" w14:textId="77777777" w:rsidR="007577F4" w:rsidRPr="00915A5A" w:rsidRDefault="007577F4" w:rsidP="007577F4">
                      <w:pPr>
                        <w:spacing w:line="360" w:lineRule="auto"/>
                        <w:jc w:val="center"/>
                        <w:rPr>
                          <w:rFonts w:ascii="Calibri" w:hAnsi="Calibri" w:cs="Calibri"/>
                          <w:lang w:val="en-GB"/>
                        </w:rPr>
                      </w:pPr>
                      <w:r w:rsidRPr="00915A5A">
                        <w:rPr>
                          <w:rFonts w:ascii="Calibri" w:hAnsi="Calibri" w:cs="Calibri"/>
                          <w:lang w:val="en-GB"/>
                        </w:rPr>
                        <w:t>PLANItot</w:t>
                      </w:r>
                      <w:r w:rsidRPr="00915A5A">
                        <w:rPr>
                          <w:rFonts w:ascii="Calibri" w:hAnsi="Calibri" w:cs="Calibri"/>
                          <w:sz w:val="28"/>
                          <w:szCs w:val="28"/>
                          <w:lang w:val="en-GB"/>
                        </w:rPr>
                        <w:t xml:space="preserve"> </w:t>
                      </w:r>
                      <w:r w:rsidRPr="00915A5A">
                        <w:rPr>
                          <w:rFonts w:ascii="Calibri" w:hAnsi="Calibri" w:cs="Calibri"/>
                          <w:lang w:val="en-GB"/>
                        </w:rPr>
                        <w:t>= PLANIdark</w:t>
                      </w:r>
                      <w:r w:rsidRPr="00915A5A">
                        <w:rPr>
                          <w:rFonts w:ascii="Calibri" w:hAnsi="Calibri" w:cs="Calibri"/>
                          <w:sz w:val="28"/>
                          <w:szCs w:val="28"/>
                          <w:vertAlign w:val="subscript"/>
                          <w:lang w:val="en-GB"/>
                        </w:rPr>
                        <w:t xml:space="preserve"> </w:t>
                      </w:r>
                      <w:r w:rsidRPr="00915A5A">
                        <w:rPr>
                          <w:rFonts w:ascii="Calibri" w:hAnsi="Calibri" w:cs="Calibri"/>
                          <w:lang w:val="en-GB"/>
                        </w:rPr>
                        <w:t>+ PLANIlight</w:t>
                      </w:r>
                    </w:p>
                    <w:p w14:paraId="2E530BE2" w14:textId="77777777" w:rsidR="007577F4" w:rsidRDefault="007577F4" w:rsidP="007577F4">
                      <w:pPr>
                        <w:spacing w:line="360" w:lineRule="auto"/>
                        <w:jc w:val="center"/>
                        <w:rPr>
                          <w:rFonts w:ascii="Calibri" w:hAnsi="Calibri" w:cs="Calibri"/>
                          <w:lang w:val="en-GB"/>
                        </w:rPr>
                      </w:pPr>
                      <w:r w:rsidRPr="00915A5A">
                        <w:rPr>
                          <w:rFonts w:ascii="Calibri" w:hAnsi="Calibri" w:cs="Calibri"/>
                          <w:lang w:val="en-GB"/>
                        </w:rPr>
                        <w:t>PLANIlight = PLANItot</w:t>
                      </w:r>
                      <w:r w:rsidRPr="00915A5A">
                        <w:rPr>
                          <w:rFonts w:ascii="Calibri" w:hAnsi="Calibri" w:cs="Calibri"/>
                          <w:sz w:val="28"/>
                          <w:szCs w:val="28"/>
                          <w:vertAlign w:val="subscript"/>
                          <w:lang w:val="en-GB"/>
                        </w:rPr>
                        <w:t xml:space="preserve"> </w:t>
                      </w:r>
                      <w:r w:rsidRPr="00915A5A">
                        <w:rPr>
                          <w:rFonts w:ascii="Calibri" w:hAnsi="Calibri" w:cs="Calibri"/>
                          <w:lang w:val="en-GB"/>
                        </w:rPr>
                        <w:t>– PLANIdark</w:t>
                      </w:r>
                    </w:p>
                    <w:p w14:paraId="0A99E6BD" w14:textId="7C6D1D41" w:rsidR="007577F4" w:rsidRPr="001706E1" w:rsidRDefault="007577F4" w:rsidP="007577F4">
                      <w:pPr>
                        <w:widowControl w:val="0"/>
                        <w:autoSpaceDE w:val="0"/>
                        <w:autoSpaceDN w:val="0"/>
                        <w:adjustRightInd w:val="0"/>
                        <w:spacing w:after="240" w:line="360" w:lineRule="auto"/>
                        <w:ind w:left="567" w:hanging="567"/>
                        <w:rPr>
                          <w:rFonts w:ascii="Calibri" w:hAnsi="Calibri" w:cs="Calibri"/>
                          <w:i/>
                          <w:iCs/>
                          <w:noProof/>
                          <w:sz w:val="14"/>
                          <w:szCs w:val="14"/>
                        </w:rPr>
                      </w:pPr>
                      <w:r w:rsidRPr="001706E1">
                        <w:rPr>
                          <w:rFonts w:ascii="Calibri" w:hAnsi="Calibri" w:cs="Calibri"/>
                          <w:i/>
                          <w:iCs/>
                          <w:noProof/>
                          <w:sz w:val="14"/>
                          <w:szCs w:val="14"/>
                        </w:rPr>
                        <w:t xml:space="preserve">Jung K, Giese-Kraft K, Fischer M, Schulze K, Schlueter N, Ganss C. 2022. Visualization of dental plaque with a 3D-intraoral-scanner-A tool for whole mouth planimetry. PLoS One. 17(10). doi:10.1371/JOURNAL.PONE.0276686. </w:t>
                      </w:r>
                    </w:p>
                    <w:p w14:paraId="7DC13728" w14:textId="5F18B1E2" w:rsidR="007577F4" w:rsidRPr="001706E1" w:rsidRDefault="007577F4" w:rsidP="007577F4">
                      <w:pPr>
                        <w:widowControl w:val="0"/>
                        <w:autoSpaceDE w:val="0"/>
                        <w:autoSpaceDN w:val="0"/>
                        <w:adjustRightInd w:val="0"/>
                        <w:spacing w:after="240" w:line="360" w:lineRule="auto"/>
                        <w:ind w:left="567" w:hanging="567"/>
                        <w:rPr>
                          <w:rFonts w:ascii="Calibri" w:hAnsi="Calibri" w:cs="Calibri"/>
                          <w:i/>
                          <w:iCs/>
                          <w:noProof/>
                          <w:sz w:val="14"/>
                          <w:szCs w:val="14"/>
                        </w:rPr>
                      </w:pPr>
                      <w:r w:rsidRPr="001706E1">
                        <w:rPr>
                          <w:rFonts w:ascii="Calibri" w:hAnsi="Calibri" w:cs="Calibri"/>
                          <w:i/>
                          <w:iCs/>
                          <w:noProof/>
                          <w:sz w:val="14"/>
                          <w:szCs w:val="14"/>
                        </w:rPr>
                        <w:t>Arganda-Carreras I, Kaynig V, Rueden C, Eliceiri KW, Schindelin J, Cardona A, Seung HS. 2017. Trainable Weka Segmentation: a machine learning tool for microscopy pixel classification. Bioinformatics. 33(15):2424–2426. doi:10.1093/BIOINFORMATICS/BTX180.</w:t>
                      </w:r>
                    </w:p>
                    <w:p w14:paraId="6997C082" w14:textId="77777777" w:rsidR="007577F4" w:rsidRPr="007577F4" w:rsidRDefault="007577F4" w:rsidP="007577F4">
                      <w:pPr>
                        <w:widowControl w:val="0"/>
                        <w:autoSpaceDE w:val="0"/>
                        <w:autoSpaceDN w:val="0"/>
                        <w:adjustRightInd w:val="0"/>
                        <w:spacing w:after="240" w:line="360" w:lineRule="auto"/>
                        <w:ind w:left="567" w:hanging="567"/>
                        <w:rPr>
                          <w:rFonts w:ascii="Calibri" w:hAnsi="Calibri" w:cs="Calibri"/>
                          <w:i/>
                          <w:iCs/>
                          <w:noProof/>
                        </w:rPr>
                      </w:pPr>
                    </w:p>
                    <w:p w14:paraId="1CEB5148" w14:textId="77777777" w:rsidR="007577F4" w:rsidRPr="00915A5A" w:rsidRDefault="007577F4" w:rsidP="007577F4">
                      <w:pPr>
                        <w:spacing w:line="360" w:lineRule="auto"/>
                        <w:rPr>
                          <w:rFonts w:ascii="Calibri" w:hAnsi="Calibri" w:cs="Calibri"/>
                          <w:lang w:val="en-GB"/>
                        </w:rPr>
                      </w:pPr>
                    </w:p>
                    <w:p w14:paraId="7F6B044C" w14:textId="5A03B73F" w:rsidR="007577F4" w:rsidRPr="007D46F6" w:rsidRDefault="007577F4" w:rsidP="007577F4">
                      <w:pPr>
                        <w:spacing w:line="480" w:lineRule="auto"/>
                        <w:jc w:val="both"/>
                        <w:rPr>
                          <w:rFonts w:cstheme="minorHAnsi"/>
                          <w:lang w:val="en-GB"/>
                        </w:rPr>
                      </w:pPr>
                    </w:p>
                  </w:txbxContent>
                </v:textbox>
              </v:shape>
            </w:pict>
          </mc:Fallback>
        </mc:AlternateContent>
      </w:r>
    </w:p>
    <w:p w14:paraId="36ED7785" w14:textId="77777777" w:rsidR="007577F4" w:rsidRDefault="007577F4">
      <w:pPr>
        <w:rPr>
          <w:rFonts w:cstheme="minorHAnsi"/>
          <w:b/>
          <w:bCs/>
          <w:lang w:val="en-GB"/>
        </w:rPr>
      </w:pPr>
      <w:r>
        <w:rPr>
          <w:rFonts w:cstheme="minorHAnsi"/>
          <w:b/>
          <w:bCs/>
          <w:lang w:val="en-GB"/>
        </w:rPr>
        <w:br w:type="page"/>
      </w:r>
    </w:p>
    <w:p w14:paraId="766160A8" w14:textId="490DFE5F" w:rsidR="00E434B4" w:rsidRPr="00E434B4" w:rsidRDefault="007577F4" w:rsidP="00AC33F9">
      <w:pPr>
        <w:rPr>
          <w:rFonts w:cstheme="minorHAnsi"/>
          <w:lang w:val="en-GB"/>
        </w:rPr>
      </w:pPr>
      <w:r>
        <w:rPr>
          <w:rFonts w:cstheme="minorHAnsi"/>
          <w:b/>
          <w:bCs/>
          <w:lang w:val="en-GB"/>
        </w:rPr>
        <w:lastRenderedPageBreak/>
        <w:t>Supplementary figure</w:t>
      </w:r>
      <w:r w:rsidR="00E434B4">
        <w:rPr>
          <w:rFonts w:cstheme="minorHAnsi"/>
          <w:b/>
          <w:bCs/>
          <w:lang w:val="en-GB"/>
        </w:rPr>
        <w:t xml:space="preserve"> </w:t>
      </w:r>
      <w:r w:rsidR="00821FF9">
        <w:rPr>
          <w:rFonts w:cstheme="minorHAnsi"/>
          <w:b/>
          <w:bCs/>
          <w:lang w:val="en-GB"/>
        </w:rPr>
        <w:t>3</w:t>
      </w:r>
      <w:r w:rsidR="00E434B4">
        <w:rPr>
          <w:rFonts w:cstheme="minorHAnsi"/>
          <w:b/>
          <w:bCs/>
          <w:lang w:val="en-GB"/>
        </w:rPr>
        <w:t xml:space="preserve">: </w:t>
      </w:r>
      <w:r w:rsidR="00E434B4">
        <w:rPr>
          <w:rFonts w:cstheme="minorHAnsi"/>
          <w:lang w:val="en-GB"/>
        </w:rPr>
        <w:t>Planimetric analysis of volumetric colour maps</w:t>
      </w:r>
    </w:p>
    <w:p w14:paraId="17C5D641" w14:textId="659F431A" w:rsidR="00E434B4" w:rsidRDefault="00E434B4" w:rsidP="00AC33F9">
      <w:pPr>
        <w:rPr>
          <w:rFonts w:cstheme="minorHAnsi"/>
          <w:b/>
          <w:bCs/>
          <w:lang w:val="en-GB"/>
        </w:rPr>
      </w:pPr>
      <w:r w:rsidRPr="00D14764">
        <w:rPr>
          <w:rFonts w:eastAsia="Times New Roman" w:cstheme="minorHAnsi"/>
          <w:b/>
          <w:bCs/>
          <w:noProof/>
          <w:lang w:val="en-GB"/>
          <w14:ligatures w14:val="standardContextual"/>
        </w:rPr>
        <mc:AlternateContent>
          <mc:Choice Requires="wps">
            <w:drawing>
              <wp:anchor distT="0" distB="0" distL="114300" distR="114300" simplePos="0" relativeHeight="251669504" behindDoc="0" locked="0" layoutInCell="1" allowOverlap="1" wp14:anchorId="645E3898" wp14:editId="6CE19637">
                <wp:simplePos x="0" y="0"/>
                <wp:positionH relativeFrom="column">
                  <wp:posOffset>0</wp:posOffset>
                </wp:positionH>
                <wp:positionV relativeFrom="paragraph">
                  <wp:posOffset>165100</wp:posOffset>
                </wp:positionV>
                <wp:extent cx="5670550" cy="3536950"/>
                <wp:effectExtent l="0" t="0" r="25400" b="25400"/>
                <wp:wrapNone/>
                <wp:docPr id="341534460" name="Text Box 4"/>
                <wp:cNvGraphicFramePr/>
                <a:graphic xmlns:a="http://schemas.openxmlformats.org/drawingml/2006/main">
                  <a:graphicData uri="http://schemas.microsoft.com/office/word/2010/wordprocessingShape">
                    <wps:wsp>
                      <wps:cNvSpPr txBox="1"/>
                      <wps:spPr>
                        <a:xfrm>
                          <a:off x="0" y="0"/>
                          <a:ext cx="5670550" cy="3536950"/>
                        </a:xfrm>
                        <a:prstGeom prst="rect">
                          <a:avLst/>
                        </a:prstGeom>
                        <a:solidFill>
                          <a:schemeClr val="lt1"/>
                        </a:solidFill>
                        <a:ln w="6350">
                          <a:solidFill>
                            <a:schemeClr val="tx1"/>
                          </a:solidFill>
                        </a:ln>
                      </wps:spPr>
                      <wps:txbx>
                        <w:txbxContent>
                          <w:p w14:paraId="1E5D1E3A" w14:textId="77777777" w:rsidR="00E434B4" w:rsidRPr="00915A5A" w:rsidRDefault="00E434B4" w:rsidP="00E434B4">
                            <w:pPr>
                              <w:spacing w:line="360" w:lineRule="auto"/>
                              <w:jc w:val="both"/>
                              <w:rPr>
                                <w:rFonts w:ascii="Calibri" w:hAnsi="Calibri" w:cs="Calibri"/>
                                <w:lang w:val="en-GB"/>
                              </w:rPr>
                            </w:pPr>
                            <w:bookmarkStart w:id="5" w:name="_Hlk212288892"/>
                            <w:r w:rsidRPr="00915A5A">
                              <w:rPr>
                                <w:rFonts w:ascii="Calibri" w:hAnsi="Calibri" w:cs="Calibri"/>
                                <w:lang w:val="en-GB"/>
                              </w:rPr>
                              <w:t>Colour-coded maps illustrating the thickness of newly formed dental plaque (i.e. changes in surface topography between each T0/T4 ROI pair) were used to generate black-and-white Boolean images of all the previously defined buccal tooth surface ROIs. The cut-off value between plaque-present/white and plaque-absent/black areas was set at a thickness of 0.01 mm; this value has previously been shown to approximate the average of the mean absolute distances across all ROIs at a full-mouth level and was a measure of measurement precision.</w:t>
                            </w:r>
                            <w:r w:rsidRPr="00915A5A">
                              <w:rPr>
                                <w:rFonts w:ascii="Calibri" w:hAnsi="Calibri" w:cs="Calibri"/>
                                <w:lang w:val="en-GB"/>
                              </w:rPr>
                              <w:fldChar w:fldCharType="begin" w:fldLock="1"/>
                            </w:r>
                            <w:r>
                              <w:rPr>
                                <w:rFonts w:ascii="Calibri" w:hAnsi="Calibri" w:cs="Calibri"/>
                                <w:lang w:val="en-GB"/>
                              </w:rPr>
                              <w:instrText>ADDIN CSL_CITATION {"citationItems":[{"id":"ITEM-1","itemData":{"DOI":"10.1111/JCPE.70019","ISSN":"1600-051X","abstract":"Background and Objective: Traditional and planimetric plaque indices rely on plaque-disclosing agents and cannot quantify three-dimensional (3D) structures of dental biofilms. We introduce a novel computer-assisted method for evaluating and visual-ising plaque volume using intraoral scans (IOSs). Materials and Methods: This was a 4-day, non-brushing, plaque-regrowth study (n = 15). All plaque was removed at baseline (T0). IOSs at T0 and after 4 days (T4) were used for volumetric plaque assessment in six steps: model acquisition, model superim-position, computer-aided determination of tooth-surface margins, tooth-surface superimposition, visualisation and volumetric evaluation of biofilms. Plaque formation at T4 was additionally assessed with the Turesky Modification of the Quigley-Hein Plaque Index (TMQHPlI). We used Pearson's correlation coefficients and multilevel models to investigate the relationships between TMQHPlI, volumetric plaque index (VPI) and the adjusted volumetric plaque index (AVPI, plaque volume/area). Results: VPI and AVPI positively correlated with the TMQHPlI, showing higher variability at lower TMQHPlI scores. VPI had a lower threshold for plaque detection and higher sensitivity than the TMQHPlI. VPI and TMQHPlI were highest on vestibular, maxillary and molar surfaces. Conclusion: VPI quantifies biofilm deposits, is a more precise measure for plaque detection than the TMQHPlI and can be visualised using colour-coded maps displaying areas of equal plaque thickness.","author":[{"dropping-particle":"","family":"Povšič","given":"Katja","non-dropping-particle":"","parse-names":false,"suffix":""},{"dropping-particle":"","family":"Munjaković","given":"Haris","non-dropping-particle":"","parse-names":false,"suffix":""},{"dropping-particle":"","family":"Erčulj","given":"Vanja","non-dropping-particle":"","parse-names":false,"suffix":""},{"dropping-particle":"","family":"Aleš Fidler","given":"|","non-dropping-particle":"","parse-names":false,"suffix":""},{"dropping-particle":"","family":"Rok Gašperšič","given":"|","non-dropping-particle":"","parse-names":false,"suffix":""}],"container-title":"Journal of Clinical Periodontology","id":"ITEM-1","issued":{"date-parts":[["2025","9","7"]]},"page":"1-11","publisher":"John Wiley &amp; Sons, Ltd","title":"3D Method for the Volumetric Evaluation and Visualisation of Dental Biofilms: A Proof-of-Principle Study","type":"article-journal","volume":"0"},"uris":["http://www.mendeley.com/documents/?uuid=430555e0-56c1-3d6e-ac2c-3cb3e862e9f1"]}],"mendeley":{"formattedCitation":"(Povšič et al. 2025)","plainTextFormattedCitation":"(Povšič et al. 2025)","previouslyFormattedCitation":"[15]"},"properties":{"noteIndex":0},"schema":"https://github.com/citation-style-language/schema/raw/master/csl-citation.json"}</w:instrText>
                            </w:r>
                            <w:r w:rsidRPr="00915A5A">
                              <w:rPr>
                                <w:rFonts w:ascii="Calibri" w:hAnsi="Calibri" w:cs="Calibri"/>
                                <w:lang w:val="en-GB"/>
                              </w:rPr>
                              <w:fldChar w:fldCharType="separate"/>
                            </w:r>
                            <w:r w:rsidRPr="00BF254B">
                              <w:rPr>
                                <w:rFonts w:ascii="Calibri" w:hAnsi="Calibri" w:cs="Calibri"/>
                                <w:noProof/>
                                <w:lang w:val="en-GB"/>
                              </w:rPr>
                              <w:t>(Povšič et al. 2025)</w:t>
                            </w:r>
                            <w:r w:rsidRPr="00915A5A">
                              <w:rPr>
                                <w:rFonts w:ascii="Calibri" w:hAnsi="Calibri" w:cs="Calibri"/>
                                <w:lang w:val="en-GB"/>
                              </w:rPr>
                              <w:fldChar w:fldCharType="end"/>
                            </w:r>
                          </w:p>
                          <w:p w14:paraId="755D5449" w14:textId="77777777" w:rsidR="00E434B4" w:rsidRPr="00915A5A" w:rsidRDefault="00E434B4" w:rsidP="00E434B4">
                            <w:pPr>
                              <w:spacing w:line="360" w:lineRule="auto"/>
                              <w:ind w:firstLine="720"/>
                              <w:jc w:val="both"/>
                              <w:rPr>
                                <w:rFonts w:ascii="Calibri" w:hAnsi="Calibri" w:cs="Calibri"/>
                                <w:lang w:val="en-GB"/>
                              </w:rPr>
                            </w:pPr>
                            <w:r w:rsidRPr="00915A5A">
                              <w:rPr>
                                <w:rFonts w:ascii="Calibri" w:hAnsi="Calibri" w:cs="Calibri"/>
                                <w:lang w:val="en-GB"/>
                              </w:rPr>
                              <w:t xml:space="preserve">A screenshot of each Boolean volumetric colour map was obtained in the same projection used for the delineation of ROIs in the volumetric workflow (and was thus identical to the projection used for the planimetric evaluation of disclosed plaque). Planimetric evaluation of the total plaque covered surface based on the black-and-white colour maps (PLANIvolmap) was acquired by the same segmentation workflow as described in Section 2.4.1. </w:t>
                            </w:r>
                          </w:p>
                          <w:bookmarkEnd w:id="5"/>
                          <w:p w14:paraId="5387FCAA" w14:textId="77777777" w:rsidR="00E434B4" w:rsidRPr="001706E1" w:rsidRDefault="00E434B4" w:rsidP="00E434B4">
                            <w:pPr>
                              <w:widowControl w:val="0"/>
                              <w:autoSpaceDE w:val="0"/>
                              <w:autoSpaceDN w:val="0"/>
                              <w:adjustRightInd w:val="0"/>
                              <w:spacing w:after="240" w:line="360" w:lineRule="auto"/>
                              <w:ind w:left="567" w:hanging="567"/>
                              <w:rPr>
                                <w:rFonts w:ascii="Calibri" w:hAnsi="Calibri" w:cs="Calibri"/>
                                <w:i/>
                                <w:iCs/>
                                <w:noProof/>
                                <w:sz w:val="14"/>
                                <w:szCs w:val="14"/>
                              </w:rPr>
                            </w:pPr>
                            <w:r w:rsidRPr="001706E1">
                              <w:rPr>
                                <w:rFonts w:ascii="Calibri" w:hAnsi="Calibri" w:cs="Calibri"/>
                                <w:i/>
                                <w:iCs/>
                                <w:noProof/>
                                <w:sz w:val="14"/>
                                <w:szCs w:val="14"/>
                              </w:rPr>
                              <w:t>Povšič K, Munjaković H, Erčulj V, Aleš Fidler, Rok Gašperšič. 2025. 3D Method for the Volumetric Evaluation and Visualisation of Dental Biofilms: A Proof-of-Principle Study. J Clin Periodontol. 0:1–11. doi:10.1111/JCPE.70019.</w:t>
                            </w:r>
                          </w:p>
                          <w:p w14:paraId="013CBB10" w14:textId="77777777" w:rsidR="00E434B4" w:rsidRPr="007D46F6" w:rsidRDefault="00E434B4" w:rsidP="00E434B4">
                            <w:pPr>
                              <w:spacing w:line="480" w:lineRule="auto"/>
                              <w:jc w:val="both"/>
                              <w:rPr>
                                <w:rFonts w:cstheme="minorHAnsi"/>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5E3898" id="_x0000_s1028" type="#_x0000_t202" style="position:absolute;margin-left:0;margin-top:13pt;width:446.5pt;height:278.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" fillcolor="white [3201]" strokecolor="black [3213]" strokeweight=".5pt">
                <v:textbox>
                  <w:txbxContent>
                    <w:p w14:paraId="1E5D1E3A" w14:textId="77777777" w:rsidR="00E434B4" w:rsidRPr="00915A5A" w:rsidRDefault="00E434B4" w:rsidP="00E434B4">
                      <w:pPr>
                        <w:spacing w:line="360" w:lineRule="auto"/>
                        <w:jc w:val="both"/>
                        <w:rPr>
                          <w:rFonts w:ascii="Calibri" w:hAnsi="Calibri" w:cs="Calibri"/>
                          <w:lang w:val="en-GB"/>
                        </w:rPr>
                      </w:pPr>
                      <w:bookmarkStart w:id="6" w:name="_Hlk212288892"/>
                      <w:r w:rsidRPr="00915A5A">
                        <w:rPr>
                          <w:rFonts w:ascii="Calibri" w:hAnsi="Calibri" w:cs="Calibri"/>
                          <w:lang w:val="en-GB"/>
                        </w:rPr>
                        <w:t>Colour-coded maps illustrating the thickness of newly formed dental plaque (i.e. changes in surface topography between each T0/T4 ROI pair) were used to generate black-and-white Boolean images of all the previously defined buccal tooth surface ROIs. The cut-off value between plaque-present/white and plaque-absent/black areas was set at a thickness of 0.01 mm; this value has previously been shown to approximate the average of the mean absolute distances across all ROIs at a full-mouth level and was a measure of measurement precision.</w:t>
                      </w:r>
                      <w:r w:rsidRPr="00915A5A">
                        <w:rPr>
                          <w:rFonts w:ascii="Calibri" w:hAnsi="Calibri" w:cs="Calibri"/>
                          <w:lang w:val="en-GB"/>
                        </w:rPr>
                        <w:fldChar w:fldCharType="begin" w:fldLock="1"/>
                      </w:r>
                      <w:r>
                        <w:rPr>
                          <w:rFonts w:ascii="Calibri" w:hAnsi="Calibri" w:cs="Calibri"/>
                          <w:lang w:val="en-GB"/>
                        </w:rPr>
                        <w:instrText>ADDIN CSL_CITATION {"citationItems":[{"id":"ITEM-1","itemData":{"DOI":"10.1111/JCPE.70019","ISSN":"1600-051X","abstract":"Background and Objective: Traditional and planimetric plaque indices rely on plaque-disclosing agents and cannot quantify three-dimensional (3D) structures of dental biofilms. We introduce a novel computer-assisted method for evaluating and visual-ising plaque volume using intraoral scans (IOSs). Materials and Methods: This was a 4-day, non-brushing, plaque-regrowth study (n = 15). All plaque was removed at baseline (T0). IOSs at T0 and after 4 days (T4) were used for volumetric plaque assessment in six steps: model acquisition, model superim-position, computer-aided determination of tooth-surface margins, tooth-surface superimposition, visualisation and volumetric evaluation of biofilms. Plaque formation at T4 was additionally assessed with the Turesky Modification of the Quigley-Hein Plaque Index (TMQHPlI). We used Pearson's correlation coefficients and multilevel models to investigate the relationships between TMQHPlI, volumetric plaque index (VPI) and the adjusted volumetric plaque index (AVPI, plaque volume/area). Results: VPI and AVPI positively correlated with the TMQHPlI, showing higher variability at lower TMQHPlI scores. VPI had a lower threshold for plaque detection and higher sensitivity than the TMQHPlI. VPI and TMQHPlI were highest on vestibular, maxillary and molar surfaces. Conclusion: VPI quantifies biofilm deposits, is a more precise measure for plaque detection than the TMQHPlI and can be visualised using colour-coded maps displaying areas of equal plaque thickness.","author":[{"dropping-particle":"","family":"Povšič","given":"Katja","non-dropping-particle":"","parse-names":false,"suffix":""},{"dropping-particle":"","family":"Munjaković","given":"Haris","non-dropping-particle":"","parse-names":false,"suffix":""},{"dropping-particle":"","family":"Erčulj","given":"Vanja","non-dropping-particle":"","parse-names":false,"suffix":""},{"dropping-particle":"","family":"Aleš Fidler","given":"|","non-dropping-particle":"","parse-names":false,"suffix":""},{"dropping-particle":"","family":"Rok Gašperšič","given":"|","non-dropping-particle":"","parse-names":false,"suffix":""}],"container-title":"Journal of Clinical Periodontology","id":"ITEM-1","issued":{"date-parts":[["2025","9","7"]]},"page":"1-11","publisher":"John Wiley &amp; Sons, Ltd","title":"3D Method for the Volumetric Evaluation and Visualisation of Dental Biofilms: A Proof-of-Principle Study","type":"article-journal","volume":"0"},"uris":["http://www.mendeley.com/documents/?uuid=430555e0-56c1-3d6e-ac2c-3cb3e862e9f1"]}],"mendeley":{"formattedCitation":"(Povšič et al. 2025)","plainTextFormattedCitation":"(Povšič et al. 2025)","previouslyFormattedCitation":"[15]"},"properties":{"noteIndex":0},"schema":"https://github.com/citation-style-language/schema/raw/master/csl-citation.json"}</w:instrText>
                      </w:r>
                      <w:r w:rsidRPr="00915A5A">
                        <w:rPr>
                          <w:rFonts w:ascii="Calibri" w:hAnsi="Calibri" w:cs="Calibri"/>
                          <w:lang w:val="en-GB"/>
                        </w:rPr>
                        <w:fldChar w:fldCharType="separate"/>
                      </w:r>
                      <w:r w:rsidRPr="00BF254B">
                        <w:rPr>
                          <w:rFonts w:ascii="Calibri" w:hAnsi="Calibri" w:cs="Calibri"/>
                          <w:noProof/>
                          <w:lang w:val="en-GB"/>
                        </w:rPr>
                        <w:t>(Povšič et al. 2025)</w:t>
                      </w:r>
                      <w:r w:rsidRPr="00915A5A">
                        <w:rPr>
                          <w:rFonts w:ascii="Calibri" w:hAnsi="Calibri" w:cs="Calibri"/>
                          <w:lang w:val="en-GB"/>
                        </w:rPr>
                        <w:fldChar w:fldCharType="end"/>
                      </w:r>
                    </w:p>
                    <w:p w14:paraId="755D5449" w14:textId="77777777" w:rsidR="00E434B4" w:rsidRPr="00915A5A" w:rsidRDefault="00E434B4" w:rsidP="00E434B4">
                      <w:pPr>
                        <w:spacing w:line="360" w:lineRule="auto"/>
                        <w:ind w:firstLine="720"/>
                        <w:jc w:val="both"/>
                        <w:rPr>
                          <w:rFonts w:ascii="Calibri" w:hAnsi="Calibri" w:cs="Calibri"/>
                          <w:lang w:val="en-GB"/>
                        </w:rPr>
                      </w:pPr>
                      <w:r w:rsidRPr="00915A5A">
                        <w:rPr>
                          <w:rFonts w:ascii="Calibri" w:hAnsi="Calibri" w:cs="Calibri"/>
                          <w:lang w:val="en-GB"/>
                        </w:rPr>
                        <w:t xml:space="preserve">A screenshot of each Boolean volumetric colour map was obtained in the same projection used for the delineation of ROIs in the volumetric workflow (and was thus identical to the projection used for the planimetric evaluation of disclosed plaque). Planimetric evaluation of the total plaque covered surface based on the black-and-white colour maps (PLANIvolmap) was acquired by the same segmentation workflow as described in Section 2.4.1. </w:t>
                      </w:r>
                    </w:p>
                    <w:bookmarkEnd w:id="6"/>
                    <w:p w14:paraId="5387FCAA" w14:textId="77777777" w:rsidR="00E434B4" w:rsidRPr="001706E1" w:rsidRDefault="00E434B4" w:rsidP="00E434B4">
                      <w:pPr>
                        <w:widowControl w:val="0"/>
                        <w:autoSpaceDE w:val="0"/>
                        <w:autoSpaceDN w:val="0"/>
                        <w:adjustRightInd w:val="0"/>
                        <w:spacing w:after="240" w:line="360" w:lineRule="auto"/>
                        <w:ind w:left="567" w:hanging="567"/>
                        <w:rPr>
                          <w:rFonts w:ascii="Calibri" w:hAnsi="Calibri" w:cs="Calibri"/>
                          <w:i/>
                          <w:iCs/>
                          <w:noProof/>
                          <w:sz w:val="14"/>
                          <w:szCs w:val="14"/>
                        </w:rPr>
                      </w:pPr>
                      <w:r w:rsidRPr="001706E1">
                        <w:rPr>
                          <w:rFonts w:ascii="Calibri" w:hAnsi="Calibri" w:cs="Calibri"/>
                          <w:i/>
                          <w:iCs/>
                          <w:noProof/>
                          <w:sz w:val="14"/>
                          <w:szCs w:val="14"/>
                        </w:rPr>
                        <w:t>Povšič K, Munjaković H, Erčulj V, Aleš Fidler, Rok Gašperšič. 2025. 3D Method for the Volumetric Evaluation and Visualisation of Dental Biofilms: A Proof-of-Principle Study. J Clin Periodontol. 0:1–11. doi:10.1111/JCPE.70019.</w:t>
                      </w:r>
                    </w:p>
                    <w:p w14:paraId="013CBB10" w14:textId="77777777" w:rsidR="00E434B4" w:rsidRPr="007D46F6" w:rsidRDefault="00E434B4" w:rsidP="00E434B4">
                      <w:pPr>
                        <w:spacing w:line="480" w:lineRule="auto"/>
                        <w:jc w:val="both"/>
                        <w:rPr>
                          <w:rFonts w:cstheme="minorHAnsi"/>
                          <w:lang w:val="en-GB"/>
                        </w:rPr>
                      </w:pPr>
                    </w:p>
                  </w:txbxContent>
                </v:textbox>
              </v:shape>
            </w:pict>
          </mc:Fallback>
        </mc:AlternateContent>
      </w:r>
    </w:p>
    <w:p w14:paraId="53521878" w14:textId="3D579FEE" w:rsidR="00E434B4" w:rsidRDefault="00E434B4">
      <w:pPr>
        <w:rPr>
          <w:rFonts w:cstheme="minorHAnsi"/>
          <w:b/>
          <w:bCs/>
          <w:lang w:val="en-GB"/>
        </w:rPr>
      </w:pPr>
      <w:r>
        <w:rPr>
          <w:rFonts w:cstheme="minorHAnsi"/>
          <w:b/>
          <w:bCs/>
          <w:lang w:val="en-GB"/>
        </w:rPr>
        <w:br w:type="page"/>
      </w:r>
    </w:p>
    <w:p w14:paraId="05AFC8F1" w14:textId="3E2D44B1" w:rsidR="00AC33F9" w:rsidRPr="00D14764" w:rsidRDefault="00E434B4" w:rsidP="00AC33F9">
      <w:pPr>
        <w:rPr>
          <w:rFonts w:cstheme="minorHAnsi"/>
          <w:lang w:val="en-GB"/>
        </w:rPr>
      </w:pPr>
      <w:r>
        <w:rPr>
          <w:rFonts w:cstheme="minorHAnsi"/>
          <w:b/>
          <w:bCs/>
          <w:lang w:val="en-GB"/>
        </w:rPr>
        <w:lastRenderedPageBreak/>
        <w:t xml:space="preserve">Supplementary figure </w:t>
      </w:r>
      <w:r w:rsidR="00821FF9">
        <w:rPr>
          <w:rFonts w:cstheme="minorHAnsi"/>
          <w:b/>
          <w:bCs/>
          <w:lang w:val="en-GB"/>
        </w:rPr>
        <w:t>4</w:t>
      </w:r>
      <w:r w:rsidR="00AC33F9" w:rsidRPr="00D14764">
        <w:rPr>
          <w:rFonts w:cstheme="minorHAnsi"/>
          <w:b/>
          <w:bCs/>
          <w:lang w:val="en-GB"/>
        </w:rPr>
        <w:t>.</w:t>
      </w:r>
      <w:r w:rsidR="00AC33F9" w:rsidRPr="00D14764">
        <w:rPr>
          <w:rFonts w:cstheme="minorHAnsi"/>
          <w:lang w:val="en-GB"/>
        </w:rPr>
        <w:t xml:space="preserve"> </w:t>
      </w:r>
      <w:r w:rsidR="008F7D9D" w:rsidRPr="00D14764">
        <w:rPr>
          <w:rFonts w:cstheme="minorHAnsi"/>
          <w:lang w:val="en-GB"/>
        </w:rPr>
        <w:t>Results of ROC curve analysis</w:t>
      </w:r>
      <w:r w:rsidR="00AC33F9" w:rsidRPr="00D14764">
        <w:rPr>
          <w:rFonts w:cstheme="minorHAnsi"/>
          <w:lang w:val="en-GB"/>
        </w:rPr>
        <w:t>.</w:t>
      </w:r>
    </w:p>
    <w:p w14:paraId="43BC689E" w14:textId="77777777" w:rsidR="00AC33F9" w:rsidRPr="00D14764" w:rsidRDefault="00AC33F9" w:rsidP="00AC33F9">
      <w:pPr>
        <w:rPr>
          <w:rFonts w:eastAsia="Times New Roman" w:cstheme="minorHAnsi"/>
          <w:b/>
          <w:bCs/>
          <w:lang w:val="en-GB"/>
        </w:rPr>
      </w:pPr>
      <w:r w:rsidRPr="00D14764">
        <w:rPr>
          <w:rFonts w:eastAsia="Times New Roman" w:cstheme="minorHAnsi"/>
          <w:b/>
          <w:bCs/>
          <w:noProof/>
          <w:lang w:val="en-GB"/>
          <w14:ligatures w14:val="standardContextual"/>
        </w:rPr>
        <mc:AlternateContent>
          <mc:Choice Requires="wps">
            <w:drawing>
              <wp:anchor distT="0" distB="0" distL="114300" distR="114300" simplePos="0" relativeHeight="251665408" behindDoc="0" locked="0" layoutInCell="1" allowOverlap="1" wp14:anchorId="29E57455" wp14:editId="42B9491D">
                <wp:simplePos x="0" y="0"/>
                <wp:positionH relativeFrom="column">
                  <wp:posOffset>12700</wp:posOffset>
                </wp:positionH>
                <wp:positionV relativeFrom="paragraph">
                  <wp:posOffset>6350</wp:posOffset>
                </wp:positionV>
                <wp:extent cx="5670550" cy="1670050"/>
                <wp:effectExtent l="0" t="0" r="25400" b="25400"/>
                <wp:wrapNone/>
                <wp:docPr id="1495952889" name="Text Box 4"/>
                <wp:cNvGraphicFramePr/>
                <a:graphic xmlns:a="http://schemas.openxmlformats.org/drawingml/2006/main">
                  <a:graphicData uri="http://schemas.microsoft.com/office/word/2010/wordprocessingShape">
                    <wps:wsp>
                      <wps:cNvSpPr txBox="1"/>
                      <wps:spPr>
                        <a:xfrm>
                          <a:off x="0" y="0"/>
                          <a:ext cx="5670550" cy="1670050"/>
                        </a:xfrm>
                        <a:prstGeom prst="rect">
                          <a:avLst/>
                        </a:prstGeom>
                        <a:solidFill>
                          <a:schemeClr val="lt1"/>
                        </a:solidFill>
                        <a:ln w="6350">
                          <a:solidFill>
                            <a:schemeClr val="tx1"/>
                          </a:solidFill>
                        </a:ln>
                      </wps:spPr>
                      <wps:txbx>
                        <w:txbxContent>
                          <w:p w14:paraId="5A4AE13D" w14:textId="2F3B5117" w:rsidR="00AC33F9" w:rsidRPr="007D46F6" w:rsidRDefault="008F7D9D" w:rsidP="00E434B4">
                            <w:pPr>
                              <w:spacing w:line="360" w:lineRule="auto"/>
                              <w:jc w:val="both"/>
                              <w:rPr>
                                <w:rFonts w:cstheme="minorHAnsi"/>
                                <w:lang w:val="en-GB"/>
                              </w:rPr>
                            </w:pPr>
                            <w:r w:rsidRPr="007D46F6">
                              <w:rPr>
                                <w:rFonts w:cstheme="minorHAnsi"/>
                                <w:lang w:val="en-GB"/>
                              </w:rPr>
                              <w:t>The ROC curve analysis using the VPI as the predictor showed a poor discriminative ability at higher planimetric thresholds, with an AUC of 0.535 (p = 0.502) for &gt; 50 % plaque surface are threshold, and 0.546 (p = 0.548) for a &gt; 25 % threshold, indicating no significant predictive value. At a lower threshold of &gt; 10 %, the VPI’s AUC increased to 0.790, suggesting better discrimination for smaller plaque areas, although this was not statistically significant (p = 0.160). These findings suggest that the VPI may be more sensitive to detecting smaller areas of plaque.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E57455" id="_x0000_s1028" type="#_x0000_t202" style="position:absolute;margin-left:1pt;margin-top:.5pt;width:446.5pt;height:131.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" fillcolor="white [3201]" strokecolor="black [3213]" strokeweight=".5pt">
                <v:textbox>
                  <w:txbxContent>
                    <w:p w14:paraId="5A4AE13D" w14:textId="2F3B5117" w:rsidR="00AC33F9" w:rsidRPr="007D46F6" w:rsidRDefault="008F7D9D" w:rsidP="00E434B4">
                      <w:pPr>
                        <w:spacing w:line="360" w:lineRule="auto"/>
                        <w:jc w:val="both"/>
                        <w:rPr>
                          <w:rFonts w:cstheme="minorHAnsi"/>
                          <w:lang w:val="en-GB"/>
                        </w:rPr>
                      </w:pPr>
                      <w:r w:rsidRPr="007D46F6">
                        <w:rPr>
                          <w:rFonts w:cstheme="minorHAnsi"/>
                          <w:lang w:val="en-GB"/>
                        </w:rPr>
                        <w:t>The ROC curve analysis using the VPI as the predictor showed a poor discriminative ability at higher planimetric thresholds, with an AUC of 0.535 (p = 0.502) for &gt; 50 % plaque surface are threshold, and 0.546 (p = 0.548) for a &gt; 25 % threshold, indicating no significant predictive value. At a lower threshold of &gt; 10 %, the VPI’s AUC increased to 0.790, suggesting better discrimination for smaller plaque areas, although this was not statistically significant (p = 0.160). These findings suggest that the VPI may be more sensitive to detecting smaller areas of plaque.</w:t>
                      </w:r>
                    </w:p>
                  </w:txbxContent>
                </v:textbox>
              </v:shape>
            </w:pict>
          </mc:Fallback>
        </mc:AlternateContent>
      </w:r>
    </w:p>
    <w:p w14:paraId="2E064F8A" w14:textId="77777777" w:rsidR="00AC33F9" w:rsidRPr="00D14764" w:rsidRDefault="00AC33F9" w:rsidP="00AC33F9">
      <w:pPr>
        <w:rPr>
          <w:rFonts w:cstheme="minorHAnsi"/>
          <w:b/>
          <w:bCs/>
          <w:lang w:val="en-GB"/>
        </w:rPr>
      </w:pPr>
    </w:p>
    <w:p w14:paraId="68A17181" w14:textId="4C8FC6CE" w:rsidR="00FB6D9D" w:rsidRPr="00D14764" w:rsidRDefault="00FB6D9D" w:rsidP="00333AAD">
      <w:pPr>
        <w:rPr>
          <w:rFonts w:cstheme="minorHAnsi"/>
          <w:lang w:val="en-GB"/>
        </w:rPr>
      </w:pPr>
    </w:p>
    <w:sectPr w:rsidR="00FB6D9D" w:rsidRPr="00D14764">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82B64" w14:textId="77777777" w:rsidR="00701C07" w:rsidRDefault="00701C07" w:rsidP="00351039">
      <w:pPr>
        <w:spacing w:after="0" w:line="240" w:lineRule="auto"/>
      </w:pPr>
      <w:r>
        <w:separator/>
      </w:r>
    </w:p>
  </w:endnote>
  <w:endnote w:type="continuationSeparator" w:id="0">
    <w:p w14:paraId="3F31511D" w14:textId="77777777" w:rsidR="00701C07" w:rsidRDefault="00701C07" w:rsidP="003510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3684293"/>
      <w:docPartObj>
        <w:docPartGallery w:val="Page Numbers (Bottom of Page)"/>
        <w:docPartUnique/>
      </w:docPartObj>
    </w:sdtPr>
    <w:sdtEndPr>
      <w:rPr>
        <w:noProof/>
      </w:rPr>
    </w:sdtEndPr>
    <w:sdtContent>
      <w:p w14:paraId="355E2223" w14:textId="43C23C06" w:rsidR="00351039" w:rsidRDefault="0035103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1D0E473" w14:textId="77777777" w:rsidR="00351039" w:rsidRDefault="00351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0B4FE" w14:textId="77777777" w:rsidR="00701C07" w:rsidRDefault="00701C07" w:rsidP="00351039">
      <w:pPr>
        <w:spacing w:after="0" w:line="240" w:lineRule="auto"/>
      </w:pPr>
      <w:r>
        <w:separator/>
      </w:r>
    </w:p>
  </w:footnote>
  <w:footnote w:type="continuationSeparator" w:id="0">
    <w:p w14:paraId="0394792D" w14:textId="77777777" w:rsidR="00701C07" w:rsidRDefault="00701C07" w:rsidP="003510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247863"/>
    <w:multiLevelType w:val="multilevel"/>
    <w:tmpl w:val="20000025"/>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7664" w:hanging="576"/>
      </w:pPr>
    </w:lvl>
    <w:lvl w:ilvl="2">
      <w:start w:val="1"/>
      <w:numFmt w:val="decimal"/>
      <w:pStyle w:val="Heading3"/>
      <w:lvlText w:val="%1.%2.%3"/>
      <w:lvlJc w:val="left"/>
      <w:pPr>
        <w:ind w:left="2422"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7D6F591A"/>
    <w:multiLevelType w:val="hybridMultilevel"/>
    <w:tmpl w:val="F200A5A0"/>
    <w:lvl w:ilvl="0" w:tplc="20000001">
      <w:start w:val="1"/>
      <w:numFmt w:val="bullet"/>
      <w:lvlText w:val=""/>
      <w:lvlJc w:val="left"/>
      <w:pPr>
        <w:ind w:left="931" w:hanging="360"/>
      </w:pPr>
      <w:rPr>
        <w:rFonts w:ascii="Symbol" w:hAnsi="Symbol" w:hint="default"/>
      </w:rPr>
    </w:lvl>
    <w:lvl w:ilvl="1" w:tplc="20000003" w:tentative="1">
      <w:start w:val="1"/>
      <w:numFmt w:val="bullet"/>
      <w:lvlText w:val="o"/>
      <w:lvlJc w:val="left"/>
      <w:pPr>
        <w:ind w:left="1651" w:hanging="360"/>
      </w:pPr>
      <w:rPr>
        <w:rFonts w:ascii="Courier New" w:hAnsi="Courier New" w:cs="Courier New" w:hint="default"/>
      </w:rPr>
    </w:lvl>
    <w:lvl w:ilvl="2" w:tplc="20000005" w:tentative="1">
      <w:start w:val="1"/>
      <w:numFmt w:val="bullet"/>
      <w:lvlText w:val=""/>
      <w:lvlJc w:val="left"/>
      <w:pPr>
        <w:ind w:left="2371" w:hanging="360"/>
      </w:pPr>
      <w:rPr>
        <w:rFonts w:ascii="Wingdings" w:hAnsi="Wingdings" w:hint="default"/>
      </w:rPr>
    </w:lvl>
    <w:lvl w:ilvl="3" w:tplc="20000001" w:tentative="1">
      <w:start w:val="1"/>
      <w:numFmt w:val="bullet"/>
      <w:lvlText w:val=""/>
      <w:lvlJc w:val="left"/>
      <w:pPr>
        <w:ind w:left="3091" w:hanging="360"/>
      </w:pPr>
      <w:rPr>
        <w:rFonts w:ascii="Symbol" w:hAnsi="Symbol" w:hint="default"/>
      </w:rPr>
    </w:lvl>
    <w:lvl w:ilvl="4" w:tplc="20000003" w:tentative="1">
      <w:start w:val="1"/>
      <w:numFmt w:val="bullet"/>
      <w:lvlText w:val="o"/>
      <w:lvlJc w:val="left"/>
      <w:pPr>
        <w:ind w:left="3811" w:hanging="360"/>
      </w:pPr>
      <w:rPr>
        <w:rFonts w:ascii="Courier New" w:hAnsi="Courier New" w:cs="Courier New" w:hint="default"/>
      </w:rPr>
    </w:lvl>
    <w:lvl w:ilvl="5" w:tplc="20000005" w:tentative="1">
      <w:start w:val="1"/>
      <w:numFmt w:val="bullet"/>
      <w:lvlText w:val=""/>
      <w:lvlJc w:val="left"/>
      <w:pPr>
        <w:ind w:left="4531" w:hanging="360"/>
      </w:pPr>
      <w:rPr>
        <w:rFonts w:ascii="Wingdings" w:hAnsi="Wingdings" w:hint="default"/>
      </w:rPr>
    </w:lvl>
    <w:lvl w:ilvl="6" w:tplc="20000001" w:tentative="1">
      <w:start w:val="1"/>
      <w:numFmt w:val="bullet"/>
      <w:lvlText w:val=""/>
      <w:lvlJc w:val="left"/>
      <w:pPr>
        <w:ind w:left="5251" w:hanging="360"/>
      </w:pPr>
      <w:rPr>
        <w:rFonts w:ascii="Symbol" w:hAnsi="Symbol" w:hint="default"/>
      </w:rPr>
    </w:lvl>
    <w:lvl w:ilvl="7" w:tplc="20000003" w:tentative="1">
      <w:start w:val="1"/>
      <w:numFmt w:val="bullet"/>
      <w:lvlText w:val="o"/>
      <w:lvlJc w:val="left"/>
      <w:pPr>
        <w:ind w:left="5971" w:hanging="360"/>
      </w:pPr>
      <w:rPr>
        <w:rFonts w:ascii="Courier New" w:hAnsi="Courier New" w:cs="Courier New" w:hint="default"/>
      </w:rPr>
    </w:lvl>
    <w:lvl w:ilvl="8" w:tplc="20000005" w:tentative="1">
      <w:start w:val="1"/>
      <w:numFmt w:val="bullet"/>
      <w:lvlText w:val=""/>
      <w:lvlJc w:val="left"/>
      <w:pPr>
        <w:ind w:left="6691" w:hanging="360"/>
      </w:pPr>
      <w:rPr>
        <w:rFonts w:ascii="Wingdings" w:hAnsi="Wingdings" w:hint="default"/>
      </w:rPr>
    </w:lvl>
  </w:abstractNum>
  <w:num w:numId="1" w16cid:durableId="1162086336">
    <w:abstractNumId w:val="0"/>
  </w:num>
  <w:num w:numId="2" w16cid:durableId="16807666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B8E"/>
    <w:rsid w:val="00004BBA"/>
    <w:rsid w:val="0001191F"/>
    <w:rsid w:val="0002226B"/>
    <w:rsid w:val="00072F97"/>
    <w:rsid w:val="00080F18"/>
    <w:rsid w:val="000B3081"/>
    <w:rsid w:val="000C2216"/>
    <w:rsid w:val="000D20EF"/>
    <w:rsid w:val="000F5A3B"/>
    <w:rsid w:val="00107BA3"/>
    <w:rsid w:val="00117385"/>
    <w:rsid w:val="00142B15"/>
    <w:rsid w:val="0016187E"/>
    <w:rsid w:val="001706E1"/>
    <w:rsid w:val="001C647A"/>
    <w:rsid w:val="001D453D"/>
    <w:rsid w:val="001E258D"/>
    <w:rsid w:val="001E40B7"/>
    <w:rsid w:val="001E7059"/>
    <w:rsid w:val="00200F1E"/>
    <w:rsid w:val="00201DB5"/>
    <w:rsid w:val="002122E4"/>
    <w:rsid w:val="00212D3C"/>
    <w:rsid w:val="0023028E"/>
    <w:rsid w:val="0023447B"/>
    <w:rsid w:val="00250298"/>
    <w:rsid w:val="00253577"/>
    <w:rsid w:val="00253DAE"/>
    <w:rsid w:val="00256A18"/>
    <w:rsid w:val="00286000"/>
    <w:rsid w:val="002B22EC"/>
    <w:rsid w:val="002E6FEB"/>
    <w:rsid w:val="00303E4D"/>
    <w:rsid w:val="00322C77"/>
    <w:rsid w:val="003314DA"/>
    <w:rsid w:val="00333AAD"/>
    <w:rsid w:val="0034224E"/>
    <w:rsid w:val="0034732D"/>
    <w:rsid w:val="00351039"/>
    <w:rsid w:val="003560C2"/>
    <w:rsid w:val="0038183B"/>
    <w:rsid w:val="00396704"/>
    <w:rsid w:val="003B3935"/>
    <w:rsid w:val="003B44A0"/>
    <w:rsid w:val="003C28D8"/>
    <w:rsid w:val="003E137D"/>
    <w:rsid w:val="00431E17"/>
    <w:rsid w:val="00433AC8"/>
    <w:rsid w:val="00441A17"/>
    <w:rsid w:val="00462A1A"/>
    <w:rsid w:val="00472EF7"/>
    <w:rsid w:val="00484DE6"/>
    <w:rsid w:val="004A49B5"/>
    <w:rsid w:val="004B10A0"/>
    <w:rsid w:val="004B1E16"/>
    <w:rsid w:val="004B2721"/>
    <w:rsid w:val="004B6C66"/>
    <w:rsid w:val="004C090C"/>
    <w:rsid w:val="004D03E2"/>
    <w:rsid w:val="004F25C5"/>
    <w:rsid w:val="00510CA3"/>
    <w:rsid w:val="005349DD"/>
    <w:rsid w:val="0054610A"/>
    <w:rsid w:val="00553823"/>
    <w:rsid w:val="005576EA"/>
    <w:rsid w:val="00571803"/>
    <w:rsid w:val="005917C4"/>
    <w:rsid w:val="0059703A"/>
    <w:rsid w:val="005A20C1"/>
    <w:rsid w:val="005B7242"/>
    <w:rsid w:val="005D2779"/>
    <w:rsid w:val="005F0998"/>
    <w:rsid w:val="00626225"/>
    <w:rsid w:val="00630A82"/>
    <w:rsid w:val="00636DEE"/>
    <w:rsid w:val="00642E00"/>
    <w:rsid w:val="00693DB2"/>
    <w:rsid w:val="006E624F"/>
    <w:rsid w:val="007005AF"/>
    <w:rsid w:val="00701C07"/>
    <w:rsid w:val="0074034D"/>
    <w:rsid w:val="007444B0"/>
    <w:rsid w:val="00753FFD"/>
    <w:rsid w:val="007577F4"/>
    <w:rsid w:val="007A66D0"/>
    <w:rsid w:val="007C429E"/>
    <w:rsid w:val="007D46F6"/>
    <w:rsid w:val="007E7197"/>
    <w:rsid w:val="007F0229"/>
    <w:rsid w:val="008116C5"/>
    <w:rsid w:val="00821FF9"/>
    <w:rsid w:val="0083127E"/>
    <w:rsid w:val="008422E4"/>
    <w:rsid w:val="00843A27"/>
    <w:rsid w:val="00847038"/>
    <w:rsid w:val="0085704F"/>
    <w:rsid w:val="00861623"/>
    <w:rsid w:val="00880CF4"/>
    <w:rsid w:val="00884DCA"/>
    <w:rsid w:val="008922C4"/>
    <w:rsid w:val="00893C3C"/>
    <w:rsid w:val="008A6D4D"/>
    <w:rsid w:val="008A7470"/>
    <w:rsid w:val="008B1CDC"/>
    <w:rsid w:val="008C73B7"/>
    <w:rsid w:val="008F7D9D"/>
    <w:rsid w:val="009030E2"/>
    <w:rsid w:val="0097281B"/>
    <w:rsid w:val="00980F0B"/>
    <w:rsid w:val="009A1FA1"/>
    <w:rsid w:val="009A5831"/>
    <w:rsid w:val="009A7B34"/>
    <w:rsid w:val="009C05D2"/>
    <w:rsid w:val="009F725E"/>
    <w:rsid w:val="00A021C3"/>
    <w:rsid w:val="00A068D7"/>
    <w:rsid w:val="00A45020"/>
    <w:rsid w:val="00A72A67"/>
    <w:rsid w:val="00A74428"/>
    <w:rsid w:val="00A9050A"/>
    <w:rsid w:val="00AB2AEA"/>
    <w:rsid w:val="00AC0308"/>
    <w:rsid w:val="00AC33F9"/>
    <w:rsid w:val="00AD0E2F"/>
    <w:rsid w:val="00AD4B8E"/>
    <w:rsid w:val="00AF5A64"/>
    <w:rsid w:val="00AF5D55"/>
    <w:rsid w:val="00AF7B30"/>
    <w:rsid w:val="00B02D5E"/>
    <w:rsid w:val="00B10AEB"/>
    <w:rsid w:val="00B32771"/>
    <w:rsid w:val="00B45F96"/>
    <w:rsid w:val="00B86165"/>
    <w:rsid w:val="00BC5CE9"/>
    <w:rsid w:val="00BD4EEA"/>
    <w:rsid w:val="00BD6603"/>
    <w:rsid w:val="00BD7EB4"/>
    <w:rsid w:val="00BF22C5"/>
    <w:rsid w:val="00C02B2D"/>
    <w:rsid w:val="00C05CD0"/>
    <w:rsid w:val="00C201B4"/>
    <w:rsid w:val="00C241DE"/>
    <w:rsid w:val="00C41A2D"/>
    <w:rsid w:val="00C63CA8"/>
    <w:rsid w:val="00C84BEF"/>
    <w:rsid w:val="00C85CBB"/>
    <w:rsid w:val="00CA2942"/>
    <w:rsid w:val="00CA3CC8"/>
    <w:rsid w:val="00CA51A9"/>
    <w:rsid w:val="00CA6246"/>
    <w:rsid w:val="00CD7D77"/>
    <w:rsid w:val="00CE1B59"/>
    <w:rsid w:val="00CE3EAF"/>
    <w:rsid w:val="00CE51BA"/>
    <w:rsid w:val="00D005F2"/>
    <w:rsid w:val="00D007A2"/>
    <w:rsid w:val="00D021E4"/>
    <w:rsid w:val="00D14764"/>
    <w:rsid w:val="00D5081C"/>
    <w:rsid w:val="00D539AD"/>
    <w:rsid w:val="00D56380"/>
    <w:rsid w:val="00D62723"/>
    <w:rsid w:val="00D7265E"/>
    <w:rsid w:val="00D80DDF"/>
    <w:rsid w:val="00D97CD7"/>
    <w:rsid w:val="00DB724A"/>
    <w:rsid w:val="00DC250D"/>
    <w:rsid w:val="00E03FD0"/>
    <w:rsid w:val="00E2390B"/>
    <w:rsid w:val="00E4338E"/>
    <w:rsid w:val="00E434B4"/>
    <w:rsid w:val="00E719A2"/>
    <w:rsid w:val="00EB2C13"/>
    <w:rsid w:val="00EC41CD"/>
    <w:rsid w:val="00EC53D1"/>
    <w:rsid w:val="00ED2F35"/>
    <w:rsid w:val="00ED3C0A"/>
    <w:rsid w:val="00EE2A05"/>
    <w:rsid w:val="00EE5386"/>
    <w:rsid w:val="00EE5B29"/>
    <w:rsid w:val="00F067AF"/>
    <w:rsid w:val="00F1773C"/>
    <w:rsid w:val="00F17AB2"/>
    <w:rsid w:val="00F270B8"/>
    <w:rsid w:val="00F367FE"/>
    <w:rsid w:val="00F43834"/>
    <w:rsid w:val="00F443AD"/>
    <w:rsid w:val="00F45C2E"/>
    <w:rsid w:val="00F55F87"/>
    <w:rsid w:val="00F67809"/>
    <w:rsid w:val="00F74872"/>
    <w:rsid w:val="00F9086B"/>
    <w:rsid w:val="00FB6D9D"/>
    <w:rsid w:val="00FB7114"/>
    <w:rsid w:val="00FC001A"/>
    <w:rsid w:val="00FC3F2F"/>
    <w:rsid w:val="00FD0A1B"/>
    <w:rsid w:val="00FD4BF6"/>
    <w:rsid w:val="00FD6F0C"/>
    <w:rsid w:val="00FD7F03"/>
    <w:rsid w:val="00FF4CB0"/>
  </w:rsids>
  <m:mathPr>
    <m:mathFont m:val="Cambria Math"/>
    <m:brkBin m:val="before"/>
    <m:brkBinSub m:val="--"/>
    <m:smallFrac m:val="0"/>
    <m:dispDef/>
    <m:lMargin m:val="0"/>
    <m:rMargin m:val="0"/>
    <m:defJc m:val="centerGroup"/>
    <m:wrapIndent m:val="1440"/>
    <m:intLim m:val="subSup"/>
    <m:naryLim m:val="undOvr"/>
  </m:mathPr>
  <w:themeFontLang w:val="en-S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B4780"/>
  <w15:chartTrackingRefBased/>
  <w15:docId w15:val="{B01DB18A-08F0-4D45-834E-401F092EF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B8E"/>
    <w:rPr>
      <w:kern w:val="0"/>
      <w14:ligatures w14:val="none"/>
    </w:rPr>
  </w:style>
  <w:style w:type="paragraph" w:styleId="Heading1">
    <w:name w:val="heading 1"/>
    <w:basedOn w:val="Normal"/>
    <w:next w:val="Normal"/>
    <w:link w:val="Heading1Char"/>
    <w:uiPriority w:val="9"/>
    <w:qFormat/>
    <w:rsid w:val="00AD4B8E"/>
    <w:pPr>
      <w:keepNext/>
      <w:keepLines/>
      <w:numPr>
        <w:numId w:val="1"/>
      </w:numPr>
      <w:spacing w:before="480" w:after="24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AD4B8E"/>
    <w:pPr>
      <w:keepNext/>
      <w:keepLines/>
      <w:numPr>
        <w:ilvl w:val="1"/>
        <w:numId w:val="1"/>
      </w:numPr>
      <w:spacing w:before="240" w:after="240"/>
      <w:ind w:left="576"/>
      <w:outlineLvl w:val="1"/>
    </w:pPr>
    <w:rPr>
      <w:rFonts w:eastAsiaTheme="majorEastAsia" w:cstheme="majorBidi"/>
      <w:szCs w:val="26"/>
    </w:rPr>
  </w:style>
  <w:style w:type="paragraph" w:styleId="Heading3">
    <w:name w:val="heading 3"/>
    <w:basedOn w:val="Normal"/>
    <w:next w:val="Normal"/>
    <w:link w:val="Heading3Char"/>
    <w:uiPriority w:val="9"/>
    <w:unhideWhenUsed/>
    <w:qFormat/>
    <w:rsid w:val="00AD4B8E"/>
    <w:pPr>
      <w:keepNext/>
      <w:keepLines/>
      <w:numPr>
        <w:ilvl w:val="2"/>
        <w:numId w:val="1"/>
      </w:numPr>
      <w:spacing w:before="160" w:after="120"/>
      <w:ind w:left="720"/>
      <w:outlineLvl w:val="2"/>
    </w:pPr>
    <w:rPr>
      <w:rFonts w:ascii="Calibri" w:eastAsiaTheme="majorEastAsia" w:hAnsi="Calibri" w:cstheme="majorBidi"/>
      <w:szCs w:val="24"/>
    </w:rPr>
  </w:style>
  <w:style w:type="paragraph" w:styleId="Heading4">
    <w:name w:val="heading 4"/>
    <w:basedOn w:val="Normal"/>
    <w:next w:val="Normal"/>
    <w:link w:val="Heading4Char"/>
    <w:uiPriority w:val="9"/>
    <w:semiHidden/>
    <w:unhideWhenUsed/>
    <w:qFormat/>
    <w:rsid w:val="00AD4B8E"/>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D4B8E"/>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AD4B8E"/>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AD4B8E"/>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AD4B8E"/>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D4B8E"/>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4B8E"/>
    <w:rPr>
      <w:rFonts w:eastAsiaTheme="majorEastAsia" w:cstheme="majorBidi"/>
      <w:b/>
      <w:kern w:val="0"/>
      <w:szCs w:val="32"/>
      <w14:ligatures w14:val="none"/>
    </w:rPr>
  </w:style>
  <w:style w:type="character" w:customStyle="1" w:styleId="Heading2Char">
    <w:name w:val="Heading 2 Char"/>
    <w:basedOn w:val="DefaultParagraphFont"/>
    <w:link w:val="Heading2"/>
    <w:uiPriority w:val="9"/>
    <w:rsid w:val="00AD4B8E"/>
    <w:rPr>
      <w:rFonts w:eastAsiaTheme="majorEastAsia" w:cstheme="majorBidi"/>
      <w:kern w:val="0"/>
      <w:szCs w:val="26"/>
      <w14:ligatures w14:val="none"/>
    </w:rPr>
  </w:style>
  <w:style w:type="character" w:customStyle="1" w:styleId="Heading3Char">
    <w:name w:val="Heading 3 Char"/>
    <w:basedOn w:val="DefaultParagraphFont"/>
    <w:link w:val="Heading3"/>
    <w:uiPriority w:val="9"/>
    <w:rsid w:val="00AD4B8E"/>
    <w:rPr>
      <w:rFonts w:ascii="Calibri" w:eastAsiaTheme="majorEastAsia" w:hAnsi="Calibri" w:cstheme="majorBidi"/>
      <w:kern w:val="0"/>
      <w:szCs w:val="24"/>
      <w14:ligatures w14:val="none"/>
    </w:rPr>
  </w:style>
  <w:style w:type="character" w:customStyle="1" w:styleId="Heading4Char">
    <w:name w:val="Heading 4 Char"/>
    <w:basedOn w:val="DefaultParagraphFont"/>
    <w:link w:val="Heading4"/>
    <w:uiPriority w:val="9"/>
    <w:semiHidden/>
    <w:rsid w:val="00AD4B8E"/>
    <w:rPr>
      <w:rFonts w:asciiTheme="majorHAnsi" w:eastAsiaTheme="majorEastAsia" w:hAnsiTheme="majorHAnsi"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semiHidden/>
    <w:rsid w:val="00AD4B8E"/>
    <w:rPr>
      <w:rFonts w:asciiTheme="majorHAnsi" w:eastAsiaTheme="majorEastAsia" w:hAnsiTheme="majorHAnsi" w:cstheme="majorBidi"/>
      <w:color w:val="2F5496" w:themeColor="accent1" w:themeShade="BF"/>
      <w:kern w:val="0"/>
      <w14:ligatures w14:val="none"/>
    </w:rPr>
  </w:style>
  <w:style w:type="character" w:customStyle="1" w:styleId="Heading6Char">
    <w:name w:val="Heading 6 Char"/>
    <w:basedOn w:val="DefaultParagraphFont"/>
    <w:link w:val="Heading6"/>
    <w:uiPriority w:val="9"/>
    <w:semiHidden/>
    <w:rsid w:val="00AD4B8E"/>
    <w:rPr>
      <w:rFonts w:asciiTheme="majorHAnsi" w:eastAsiaTheme="majorEastAsia" w:hAnsiTheme="majorHAnsi" w:cstheme="majorBidi"/>
      <w:color w:val="1F3763" w:themeColor="accent1" w:themeShade="7F"/>
      <w:kern w:val="0"/>
      <w14:ligatures w14:val="none"/>
    </w:rPr>
  </w:style>
  <w:style w:type="character" w:customStyle="1" w:styleId="Heading7Char">
    <w:name w:val="Heading 7 Char"/>
    <w:basedOn w:val="DefaultParagraphFont"/>
    <w:link w:val="Heading7"/>
    <w:uiPriority w:val="9"/>
    <w:semiHidden/>
    <w:rsid w:val="00AD4B8E"/>
    <w:rPr>
      <w:rFonts w:asciiTheme="majorHAnsi" w:eastAsiaTheme="majorEastAsia" w:hAnsiTheme="majorHAnsi" w:cstheme="majorBidi"/>
      <w:i/>
      <w:iCs/>
      <w:color w:val="1F3763" w:themeColor="accent1" w:themeShade="7F"/>
      <w:kern w:val="0"/>
      <w14:ligatures w14:val="none"/>
    </w:rPr>
  </w:style>
  <w:style w:type="character" w:customStyle="1" w:styleId="Heading8Char">
    <w:name w:val="Heading 8 Char"/>
    <w:basedOn w:val="DefaultParagraphFont"/>
    <w:link w:val="Heading8"/>
    <w:uiPriority w:val="9"/>
    <w:semiHidden/>
    <w:rsid w:val="00AD4B8E"/>
    <w:rPr>
      <w:rFonts w:asciiTheme="majorHAnsi" w:eastAsiaTheme="majorEastAsia" w:hAnsiTheme="majorHAnsi" w:cstheme="majorBidi"/>
      <w:color w:val="272727" w:themeColor="text1" w:themeTint="D8"/>
      <w:kern w:val="0"/>
      <w:sz w:val="21"/>
      <w:szCs w:val="21"/>
      <w14:ligatures w14:val="none"/>
    </w:rPr>
  </w:style>
  <w:style w:type="character" w:customStyle="1" w:styleId="Heading9Char">
    <w:name w:val="Heading 9 Char"/>
    <w:basedOn w:val="DefaultParagraphFont"/>
    <w:link w:val="Heading9"/>
    <w:uiPriority w:val="9"/>
    <w:semiHidden/>
    <w:rsid w:val="00AD4B8E"/>
    <w:rPr>
      <w:rFonts w:asciiTheme="majorHAnsi" w:eastAsiaTheme="majorEastAsia" w:hAnsiTheme="majorHAnsi" w:cstheme="majorBidi"/>
      <w:i/>
      <w:iCs/>
      <w:color w:val="272727" w:themeColor="text1" w:themeTint="D8"/>
      <w:kern w:val="0"/>
      <w:sz w:val="21"/>
      <w:szCs w:val="21"/>
      <w14:ligatures w14:val="none"/>
    </w:rPr>
  </w:style>
  <w:style w:type="paragraph" w:styleId="Header">
    <w:name w:val="header"/>
    <w:basedOn w:val="Normal"/>
    <w:link w:val="HeaderChar"/>
    <w:uiPriority w:val="99"/>
    <w:unhideWhenUsed/>
    <w:rsid w:val="003510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1039"/>
    <w:rPr>
      <w:kern w:val="0"/>
      <w14:ligatures w14:val="none"/>
    </w:rPr>
  </w:style>
  <w:style w:type="paragraph" w:styleId="Footer">
    <w:name w:val="footer"/>
    <w:basedOn w:val="Normal"/>
    <w:link w:val="FooterChar"/>
    <w:uiPriority w:val="99"/>
    <w:unhideWhenUsed/>
    <w:rsid w:val="003510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1039"/>
    <w:rPr>
      <w:kern w:val="0"/>
      <w14:ligatures w14:val="none"/>
    </w:rPr>
  </w:style>
  <w:style w:type="paragraph" w:styleId="ListParagraph">
    <w:name w:val="List Paragraph"/>
    <w:basedOn w:val="Normal"/>
    <w:uiPriority w:val="34"/>
    <w:qFormat/>
    <w:rsid w:val="0023028E"/>
    <w:pPr>
      <w:ind w:left="720"/>
      <w:contextualSpacing/>
    </w:pPr>
  </w:style>
  <w:style w:type="paragraph" w:customStyle="1" w:styleId="TableParagraph">
    <w:name w:val="Table Paragraph"/>
    <w:basedOn w:val="Normal"/>
    <w:uiPriority w:val="1"/>
    <w:qFormat/>
    <w:rsid w:val="00FB6D9D"/>
    <w:pPr>
      <w:widowControl w:val="0"/>
      <w:autoSpaceDE w:val="0"/>
      <w:autoSpaceDN w:val="0"/>
      <w:spacing w:after="0" w:line="240" w:lineRule="auto"/>
      <w:ind w:left="107"/>
    </w:pPr>
    <w:rPr>
      <w:rFonts w:ascii="Verdana" w:eastAsia="Verdana" w:hAnsi="Verdana" w:cs="Verdana"/>
      <w:lang w:val="en-US"/>
    </w:rPr>
  </w:style>
  <w:style w:type="table" w:styleId="TableGrid">
    <w:name w:val="Table Grid"/>
    <w:basedOn w:val="TableNormal"/>
    <w:uiPriority w:val="39"/>
    <w:rsid w:val="00FB6D9D"/>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E1B59"/>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CA51A9"/>
    <w:pPr>
      <w:spacing w:after="0" w:line="240" w:lineRule="auto"/>
    </w:pPr>
    <w:rPr>
      <w:kern w:val="0"/>
      <w14:ligatures w14:val="none"/>
    </w:rPr>
  </w:style>
  <w:style w:type="character" w:styleId="Hyperlink">
    <w:name w:val="Hyperlink"/>
    <w:basedOn w:val="DefaultParagraphFont"/>
    <w:uiPriority w:val="99"/>
    <w:unhideWhenUsed/>
    <w:rsid w:val="001706E1"/>
    <w:rPr>
      <w:color w:val="0563C1" w:themeColor="hyperlink"/>
      <w:u w:val="single"/>
    </w:rPr>
  </w:style>
  <w:style w:type="character" w:styleId="UnresolvedMention">
    <w:name w:val="Unresolved Mention"/>
    <w:basedOn w:val="DefaultParagraphFont"/>
    <w:uiPriority w:val="99"/>
    <w:semiHidden/>
    <w:unhideWhenUsed/>
    <w:rsid w:val="001706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1986847">
      <w:bodyDiv w:val="1"/>
      <w:marLeft w:val="0"/>
      <w:marRight w:val="0"/>
      <w:marTop w:val="0"/>
      <w:marBottom w:val="0"/>
      <w:divBdr>
        <w:top w:val="none" w:sz="0" w:space="0" w:color="auto"/>
        <w:left w:val="none" w:sz="0" w:space="0" w:color="auto"/>
        <w:bottom w:val="none" w:sz="0" w:space="0" w:color="auto"/>
        <w:right w:val="none" w:sz="0" w:space="0" w:color="auto"/>
      </w:divBdr>
    </w:div>
    <w:div w:id="1342050854">
      <w:bodyDiv w:val="1"/>
      <w:marLeft w:val="0"/>
      <w:marRight w:val="0"/>
      <w:marTop w:val="0"/>
      <w:marBottom w:val="0"/>
      <w:divBdr>
        <w:top w:val="none" w:sz="0" w:space="0" w:color="auto"/>
        <w:left w:val="none" w:sz="0" w:space="0" w:color="auto"/>
        <w:bottom w:val="none" w:sz="0" w:space="0" w:color="auto"/>
        <w:right w:val="none" w:sz="0" w:space="0" w:color="auto"/>
      </w:divBdr>
    </w:div>
    <w:div w:id="1928344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EF9078-3836-428B-891A-8EADF7D4A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1168</TotalTime>
  <Pages>6</Pages>
  <Words>265</Words>
  <Characters>1513</Characters>
  <Application>Microsoft Office Word</Application>
  <DocSecurity>0</DocSecurity>
  <Lines>12</Lines>
  <Paragraphs>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Povšič, Katja</dc:creator>
  <cp:keywords/>
  <dc:description/>
  <cp:lastModifiedBy>Povšič, Katja</cp:lastModifiedBy>
  <cp:revision>16</cp:revision>
  <dcterms:created xsi:type="dcterms:W3CDTF">2025-10-25T07:08:00Z</dcterms:created>
  <dcterms:modified xsi:type="dcterms:W3CDTF">2025-12-07T11:00:00Z</dcterms:modified>
</cp:coreProperties>
</file>