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aelenco7acolori1"/>
        <w:tblW w:w="0" w:type="auto"/>
        <w:tblLook w:val="04A0" w:firstRow="1" w:lastRow="0" w:firstColumn="1" w:lastColumn="0" w:noHBand="0" w:noVBand="1"/>
      </w:tblPr>
      <w:tblGrid>
        <w:gridCol w:w="6645"/>
        <w:gridCol w:w="2993"/>
      </w:tblGrid>
      <w:tr w:rsidR="00D572BA" w:rsidRPr="00322575" w14:paraId="64A2A399" w14:textId="77777777" w:rsidTr="00E05B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645" w:type="dxa"/>
            <w:tcBorders>
              <w:right w:val="single" w:sz="4" w:space="0" w:color="auto"/>
            </w:tcBorders>
            <w:vAlign w:val="center"/>
          </w:tcPr>
          <w:p w14:paraId="11DCB624" w14:textId="77777777" w:rsidR="00D572BA" w:rsidRPr="00322575" w:rsidRDefault="00D572BA" w:rsidP="00D572BA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US"/>
                <w14:ligatures w14:val="none"/>
              </w:rPr>
            </w:pPr>
            <w:r w:rsidRPr="00322575">
              <w:rPr>
                <w:rFonts w:ascii="Calibri" w:hAnsi="Calibri"/>
                <w:b/>
                <w:bCs/>
                <w:sz w:val="20"/>
                <w:szCs w:val="20"/>
                <w:lang w:val="en-US"/>
                <w14:ligatures w14:val="none"/>
              </w:rPr>
              <w:t>Article</w:t>
            </w:r>
          </w:p>
        </w:tc>
        <w:tc>
          <w:tcPr>
            <w:tcW w:w="2993" w:type="dxa"/>
            <w:tcBorders>
              <w:left w:val="single" w:sz="4" w:space="0" w:color="auto"/>
            </w:tcBorders>
            <w:vAlign w:val="center"/>
          </w:tcPr>
          <w:p w14:paraId="5B4441F1" w14:textId="77777777" w:rsidR="00D572BA" w:rsidRPr="00322575" w:rsidRDefault="00D572BA" w:rsidP="00D572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20"/>
                <w:szCs w:val="20"/>
                <w:lang w:val="en-US"/>
                <w14:ligatures w14:val="none"/>
              </w:rPr>
            </w:pPr>
            <w:r w:rsidRPr="00322575">
              <w:rPr>
                <w:rFonts w:ascii="Calibri" w:hAnsi="Calibri"/>
                <w:b/>
                <w:bCs/>
                <w:sz w:val="20"/>
                <w:szCs w:val="20"/>
                <w:lang w:val="en-US"/>
                <w14:ligatures w14:val="none"/>
              </w:rPr>
              <w:t>Reason for exclusion</w:t>
            </w:r>
          </w:p>
        </w:tc>
      </w:tr>
      <w:tr w:rsidR="00D572BA" w:rsidRPr="00195542" w14:paraId="6D37DAB6" w14:textId="77777777" w:rsidTr="00E0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B17BF" w14:textId="77777777" w:rsidR="00D572BA" w:rsidRPr="00E05BA3" w:rsidRDefault="00195542" w:rsidP="00E05BA3">
            <w:pPr>
              <w:jc w:val="both"/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>Sherwood R.</w:t>
            </w:r>
            <w:r w:rsidR="00E05BA3" w:rsidRPr="00E05BA3"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>J., et al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. </w:t>
            </w:r>
            <w:r w:rsidR="00F424FC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Bayesian approach to longitudinal craniofacial growth: the cranio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facial growth consortium study.</w:t>
            </w:r>
            <w:r w:rsidR="00F424FC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 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</w:t>
            </w:r>
            <w:r w:rsidR="00F424FC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The Anatomical Record 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2021; 304 (</w:t>
            </w:r>
            <w:r w:rsidR="00F424FC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5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)</w:t>
            </w:r>
            <w:r w:rsidR="00F424FC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: 991-1019.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ADB31" w14:textId="52393A64" w:rsidR="00D572BA" w:rsidRPr="00322575" w:rsidRDefault="009B5A39" w:rsidP="00D57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Not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 xml:space="preserve">AI/ML-based </w:t>
            </w:r>
            <w:r>
              <w:rPr>
                <w:rFonts w:ascii="Calibri" w:eastAsia="Calibri" w:hAnsi="Calibri"/>
                <w:sz w:val="20"/>
                <w:szCs w:val="20"/>
                <w14:ligatures w14:val="none"/>
              </w:rPr>
              <w:t>growth prediction</w:t>
            </w:r>
          </w:p>
        </w:tc>
      </w:tr>
      <w:tr w:rsidR="00D572BA" w:rsidRPr="00322575" w14:paraId="67F66F20" w14:textId="77777777" w:rsidTr="00E05BA3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E7853" w14:textId="77777777" w:rsidR="00D572BA" w:rsidRPr="00E05BA3" w:rsidRDefault="00195542" w:rsidP="00E05BA3">
            <w:pPr>
              <w:jc w:val="both"/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>Auconi P.</w:t>
            </w:r>
            <w:r w:rsidR="00E05BA3" w:rsidRPr="00E05BA3"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 xml:space="preserve"> et al.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</w:t>
            </w:r>
            <w:r w:rsidR="001A19C5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Forecasting craniofacial growth in individuals with class III malocclus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ion by computational modelling. </w:t>
            </w:r>
            <w:r w:rsidR="001A19C5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 Euro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pean Journal of Orthodontics 2014; 36 (</w:t>
            </w:r>
            <w:r w:rsidR="001A19C5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2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)</w:t>
            </w:r>
            <w:r w:rsidR="001A19C5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: 207-216.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AB38A" w14:textId="12B6545F" w:rsidR="00D572BA" w:rsidRPr="00322575" w:rsidRDefault="009B5A39" w:rsidP="00D57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Not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 xml:space="preserve">AI/ML-based </w:t>
            </w:r>
            <w:r>
              <w:rPr>
                <w:rFonts w:ascii="Calibri" w:eastAsia="Calibri" w:hAnsi="Calibri"/>
                <w:sz w:val="20"/>
                <w:szCs w:val="20"/>
                <w14:ligatures w14:val="none"/>
              </w:rPr>
              <w:t>growth prediction</w:t>
            </w:r>
          </w:p>
        </w:tc>
      </w:tr>
      <w:tr w:rsidR="00D572BA" w:rsidRPr="00322575" w14:paraId="073A684B" w14:textId="77777777" w:rsidTr="00E0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20F17" w14:textId="77777777" w:rsidR="00D572BA" w:rsidRPr="00E05BA3" w:rsidRDefault="00195542" w:rsidP="00E05BA3">
            <w:pPr>
              <w:jc w:val="both"/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>Moon J-H</w:t>
            </w:r>
            <w:r w:rsidR="009B3277" w:rsidRPr="00E05BA3"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 xml:space="preserve"> et al.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</w:t>
            </w:r>
            <w:r w:rsidR="009B3277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Evaluation of an individualized facial growth prediction model based on the multivariat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e partial least squares method.</w:t>
            </w:r>
            <w:r w:rsidR="009B3277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 </w:t>
            </w:r>
            <w:r w:rsid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Angle Orthodontist 2022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; 92 (6):</w:t>
            </w:r>
            <w:r w:rsidR="009B3277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705-713.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9D7D8" w14:textId="6B7C4FC5" w:rsidR="00D572BA" w:rsidRPr="00322575" w:rsidRDefault="009B5A39" w:rsidP="00D57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Not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 xml:space="preserve">AI/ML-based </w:t>
            </w:r>
            <w:r>
              <w:rPr>
                <w:rFonts w:ascii="Calibri" w:eastAsia="Calibri" w:hAnsi="Calibri"/>
                <w:sz w:val="20"/>
                <w:szCs w:val="20"/>
                <w14:ligatures w14:val="none"/>
              </w:rPr>
              <w:t>growth prediction</w:t>
            </w:r>
          </w:p>
        </w:tc>
      </w:tr>
      <w:tr w:rsidR="00D572BA" w:rsidRPr="00195542" w14:paraId="7341B6CE" w14:textId="77777777" w:rsidTr="00E05BA3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FAB3C" w14:textId="77777777" w:rsidR="00D572BA" w:rsidRPr="00195542" w:rsidRDefault="00195542" w:rsidP="00E05BA3">
            <w:pPr>
              <w:jc w:val="both"/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</w:pPr>
            <w:r w:rsidRPr="00195542">
              <w:rPr>
                <w:rFonts w:ascii="Calibri" w:hAnsi="Calibri"/>
                <w:b/>
                <w:i w:val="0"/>
                <w:sz w:val="20"/>
                <w:szCs w:val="20"/>
                <w14:ligatures w14:val="none"/>
              </w:rPr>
              <w:t>Chvatal B.A.</w:t>
            </w:r>
            <w:r w:rsidR="00CD02F2" w:rsidRPr="00195542">
              <w:rPr>
                <w:rFonts w:ascii="Calibri" w:hAnsi="Calibri"/>
                <w:b/>
                <w:i w:val="0"/>
                <w:sz w:val="20"/>
                <w:szCs w:val="20"/>
                <w14:ligatures w14:val="none"/>
              </w:rPr>
              <w:t xml:space="preserve"> et al.</w:t>
            </w:r>
            <w:r w:rsidR="00CD02F2" w:rsidRPr="00195542">
              <w:rPr>
                <w:rFonts w:ascii="Calibri" w:hAnsi="Calibri"/>
                <w:sz w:val="20"/>
                <w:szCs w:val="20"/>
                <w14:ligatures w14:val="none"/>
              </w:rPr>
              <w:t xml:space="preserve"> </w:t>
            </w:r>
            <w:r w:rsidR="00CD02F2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Development and testing of multilevel models for longitudinal c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raniofacial growth prediction. </w:t>
            </w:r>
            <w:r w:rsidR="00CD02F2" w:rsidRPr="00195542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American Journal of Orthodontics and Dentofacial Orthopedics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2005; 128 (1): </w:t>
            </w:r>
            <w:r w:rsidR="00CD02F2" w:rsidRPr="00195542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45-56.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8FA28" w14:textId="64F732EF" w:rsidR="00D572BA" w:rsidRPr="00322575" w:rsidRDefault="009B5A39" w:rsidP="00D57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Not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 xml:space="preserve">AI/ML-based </w:t>
            </w:r>
            <w:r>
              <w:rPr>
                <w:rFonts w:ascii="Calibri" w:eastAsia="Calibri" w:hAnsi="Calibri"/>
                <w:sz w:val="20"/>
                <w:szCs w:val="20"/>
                <w14:ligatures w14:val="none"/>
              </w:rPr>
              <w:t>growth prediction</w:t>
            </w:r>
          </w:p>
        </w:tc>
      </w:tr>
      <w:tr w:rsidR="00D572BA" w:rsidRPr="00195542" w14:paraId="6758C91D" w14:textId="77777777" w:rsidTr="00E0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EFAB7" w14:textId="77777777" w:rsidR="00D572BA" w:rsidRPr="00E05BA3" w:rsidRDefault="00195542" w:rsidP="00E05BA3">
            <w:pPr>
              <w:jc w:val="both"/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</w:pPr>
            <w:r w:rsidRPr="00195542"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>Volovic J</w:t>
            </w:r>
            <w:r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>.</w:t>
            </w:r>
            <w:r w:rsidR="009C7B42" w:rsidRPr="00195542"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 xml:space="preserve"> et al.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</w:t>
            </w:r>
            <w:r w:rsidR="009C7B42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A novel machine learning model for predicting o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rthodontic treatment duration. </w:t>
            </w:r>
            <w:r w:rsidR="009C7B42" w:rsidRPr="00195542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Diagnostics 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2023; 13 (17): </w:t>
            </w:r>
            <w:r w:rsidR="009C7B42" w:rsidRPr="00195542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2740.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51E50" w14:textId="6491395D" w:rsidR="00D572BA" w:rsidRPr="00322575" w:rsidRDefault="009C7B42" w:rsidP="00D57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 w:rsidRPr="00322575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 </w:t>
            </w:r>
            <w:r w:rsidR="009B5A39"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>longitudinal craniofacial or mandibular growth prediction</w:t>
            </w:r>
          </w:p>
        </w:tc>
      </w:tr>
      <w:tr w:rsidR="00D572BA" w:rsidRPr="00195542" w14:paraId="4E79752A" w14:textId="77777777" w:rsidTr="00E05BA3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84682" w14:textId="77777777" w:rsidR="00D572BA" w:rsidRPr="00E05BA3" w:rsidRDefault="00195542" w:rsidP="00E05BA3">
            <w:pPr>
              <w:jc w:val="both"/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</w:pPr>
            <w:r w:rsidRPr="00195542"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 xml:space="preserve">Niño-Sandoval T.C. </w:t>
            </w:r>
            <w:r w:rsidR="001D6456" w:rsidRPr="00195542"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>et al.</w:t>
            </w:r>
            <w:r w:rsidR="001D6456" w:rsidRPr="00195542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</w:t>
            </w:r>
            <w:r w:rsidR="001D6456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Use of automated learning techniques for predicting mandibular morphology in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skeletal class I, II and III. Forensic Science I</w:t>
            </w:r>
            <w:r w:rsidR="001D6456" w:rsidRPr="00195542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nternational 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2017; 281:</w:t>
            </w:r>
            <w:r w:rsidR="001D6456" w:rsidRPr="00195542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187-e1.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5D56D" w14:textId="679238FD" w:rsidR="00D572BA" w:rsidRPr="00322575" w:rsidRDefault="009B5A39" w:rsidP="00D57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 w:rsidRPr="00322575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>longitudinal craniofacial or mandibular growth prediction</w:t>
            </w:r>
          </w:p>
        </w:tc>
      </w:tr>
      <w:tr w:rsidR="00C73324" w:rsidRPr="00322575" w14:paraId="733283FA" w14:textId="77777777" w:rsidTr="00E0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09970" w14:textId="77777777" w:rsidR="00C73324" w:rsidRPr="00E05BA3" w:rsidRDefault="00195542" w:rsidP="00E05BA3">
            <w:pPr>
              <w:jc w:val="both"/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 xml:space="preserve">Prasad J. </w:t>
            </w:r>
            <w:r w:rsidR="00237A82" w:rsidRPr="00195542"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>et al.</w:t>
            </w:r>
            <w:r w:rsidR="00237A82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Machine learning predictive model as clinical decision support system in 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orthodontic treatment planning.</w:t>
            </w:r>
            <w:r w:rsidR="00237A82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 </w:t>
            </w:r>
            <w:r w:rsidR="00237A82" w:rsidRPr="00195542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Dentistry Journal 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2022; 11 (1) </w:t>
            </w:r>
            <w:r w:rsidR="00237A82" w:rsidRPr="00195542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1.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B149C" w14:textId="16897A32" w:rsidR="00C73324" w:rsidRPr="00322575" w:rsidRDefault="009B5A39" w:rsidP="00D57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 w:rsidRPr="00322575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>longitudinal craniofacial or mandibular growth prediction</w:t>
            </w:r>
          </w:p>
        </w:tc>
      </w:tr>
      <w:tr w:rsidR="00B63FEC" w:rsidRPr="00195542" w14:paraId="63BECAE8" w14:textId="77777777" w:rsidTr="00E05BA3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E0FD1" w14:textId="77777777" w:rsidR="00B63FEC" w:rsidRPr="00E05BA3" w:rsidRDefault="00195542" w:rsidP="00E05BA3">
            <w:pPr>
              <w:jc w:val="both"/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</w:pPr>
            <w:r w:rsidRPr="00195542"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>Park J.H.</w:t>
            </w:r>
            <w:r w:rsidR="00B63FEC" w:rsidRPr="00195542">
              <w:rPr>
                <w:rFonts w:ascii="Calibri" w:hAnsi="Calibri"/>
                <w:b/>
                <w:i w:val="0"/>
                <w:sz w:val="20"/>
                <w:szCs w:val="20"/>
                <w:lang w:val="en-US"/>
                <w14:ligatures w14:val="none"/>
              </w:rPr>
              <w:t xml:space="preserve"> et al.</w:t>
            </w:r>
            <w:r w:rsidR="00B63FEC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Use of artificial intelligence to predict outcomes of nonextraction treatmen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t of Class II malocclusions. Seminars in Orthodontics 2021; 27 (2):</w:t>
            </w:r>
            <w:r w:rsidR="00B63FEC" w:rsidRPr="00E05BA3"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  <w:t>87-95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B1CAD2" w14:textId="2933EBB3" w:rsidR="00B63FEC" w:rsidRPr="00322575" w:rsidRDefault="009B5A39" w:rsidP="00D57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 w:rsidRPr="00322575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>longitudinal craniofacial or mandibular growth prediction</w:t>
            </w:r>
          </w:p>
        </w:tc>
      </w:tr>
      <w:tr w:rsidR="003057E5" w:rsidRPr="00322575" w14:paraId="21B92FC7" w14:textId="77777777" w:rsidTr="00E0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B006C" w14:textId="77777777" w:rsidR="003057E5" w:rsidRPr="00E05BA3" w:rsidRDefault="003057E5" w:rsidP="00195542">
            <w:pPr>
              <w:jc w:val="both"/>
              <w:rPr>
                <w:rFonts w:ascii="Calibri" w:hAnsi="Calibri"/>
                <w:sz w:val="20"/>
                <w:szCs w:val="20"/>
                <w:lang w:val="en-US"/>
                <w14:ligatures w14:val="none"/>
              </w:rPr>
            </w:pPr>
            <w:r w:rsidRPr="003057E5">
              <w:rPr>
                <w:rFonts w:ascii="Calibri" w:hAnsi="Calibri" w:cs="Segoe UI"/>
                <w:b/>
                <w:i w:val="0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Hersberger-Zurfluh M</w:t>
            </w:r>
            <w:r w:rsidR="00195542" w:rsidRPr="00195542">
              <w:rPr>
                <w:rFonts w:ascii="Calibri" w:hAnsi="Calibri" w:cs="Segoe UI"/>
                <w:b/>
                <w:i w:val="0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.</w:t>
            </w:r>
            <w:r w:rsidRPr="003057E5">
              <w:rPr>
                <w:rFonts w:ascii="Calibri" w:hAnsi="Calibri" w:cs="Segoe UI"/>
                <w:b/>
                <w:i w:val="0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A</w:t>
            </w:r>
            <w:r w:rsidR="00195542" w:rsidRPr="00195542">
              <w:rPr>
                <w:rFonts w:ascii="Calibri" w:hAnsi="Calibri" w:cs="Segoe UI"/>
                <w:b/>
                <w:i w:val="0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. et al.</w:t>
            </w:r>
            <w:r w:rsidR="00195542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</w:t>
            </w:r>
            <w:r w:rsidRPr="003057E5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Genetic and environmental components of vertical growth in mono- and dizygotic twins up to 15-18 years of age. Angle Orthod</w:t>
            </w:r>
            <w:r w:rsidR="00195542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ontist 2021</w:t>
            </w:r>
            <w:r w:rsidRPr="00E05BA3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;</w:t>
            </w:r>
            <w:r w:rsidR="00195542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</w:t>
            </w:r>
            <w:r w:rsidRPr="00E05BA3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91(3):</w:t>
            </w:r>
            <w:r w:rsidR="00195542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</w:t>
            </w:r>
            <w:r w:rsidRPr="00E05BA3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384-390.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BF66A" w14:textId="4A15E3A9" w:rsidR="003057E5" w:rsidRPr="00322575" w:rsidRDefault="009B5A39" w:rsidP="00D57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Not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 xml:space="preserve">AI/ML-based </w:t>
            </w:r>
            <w:r>
              <w:rPr>
                <w:rFonts w:ascii="Calibri" w:eastAsia="Calibri" w:hAnsi="Calibri"/>
                <w:sz w:val="20"/>
                <w:szCs w:val="20"/>
                <w14:ligatures w14:val="none"/>
              </w:rPr>
              <w:t>growth prediction</w:t>
            </w:r>
          </w:p>
        </w:tc>
      </w:tr>
      <w:tr w:rsidR="00D81AED" w:rsidRPr="00322575" w14:paraId="1C434B39" w14:textId="77777777" w:rsidTr="00E05BA3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AB517" w14:textId="77777777" w:rsidR="00D81AED" w:rsidRPr="00E05BA3" w:rsidRDefault="00195542" w:rsidP="00195542">
            <w:pPr>
              <w:jc w:val="both"/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</w:pPr>
            <w:r w:rsidRPr="00195542">
              <w:rPr>
                <w:rFonts w:ascii="Calibri" w:hAnsi="Calibri" w:cs="Segoe UI"/>
                <w:b/>
                <w:i w:val="0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Yamada S. et al.</w:t>
            </w:r>
            <w: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</w:t>
            </w:r>
            <w:r w:rsidR="00D81AED" w:rsidRPr="00D81AED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Accuracy of Artificial Intelligence in Predicting the Treatment Effects of Headgear and/or Functional Appliance on the Maxillo-Mandibular Growth in Preadolescent Patients With Skeletal Class II Malocclusion. Orthod</w:t>
            </w:r>
            <w: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ontics and</w:t>
            </w:r>
            <w:r w:rsidR="00D81AED" w:rsidRPr="00D81AED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Craniofac</w:t>
            </w:r>
            <w: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ial Research. 2025</w:t>
            </w:r>
            <w:r w:rsidR="00D81AED" w:rsidRPr="00D81AED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;</w:t>
            </w:r>
            <w: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</w:t>
            </w:r>
            <w:r w:rsidR="00D81AED" w:rsidRPr="00D81AED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28</w:t>
            </w:r>
            <w: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</w:t>
            </w:r>
            <w:r w:rsidR="00D81AED" w:rsidRPr="00D81AED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(6):</w:t>
            </w:r>
            <w: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</w:t>
            </w:r>
            <w:r w:rsidR="00D81AED" w:rsidRPr="00D81AED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955-961. 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21E5B" w14:textId="5B0107C2" w:rsidR="00D81AED" w:rsidRPr="00322575" w:rsidRDefault="009B5A39" w:rsidP="00D57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 w:rsidRPr="00322575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>longitudinal craniofacial or mandibular growth prediction</w:t>
            </w:r>
          </w:p>
        </w:tc>
      </w:tr>
      <w:tr w:rsidR="00D81AED" w:rsidRPr="00322575" w14:paraId="4220DA05" w14:textId="77777777" w:rsidTr="00E05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98C18" w14:textId="77777777" w:rsidR="00D81AED" w:rsidRPr="00E05BA3" w:rsidRDefault="00195542" w:rsidP="00195542">
            <w:pPr>
              <w:jc w:val="both"/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</w:pPr>
            <w:r w:rsidRPr="00195542">
              <w:rPr>
                <w:rFonts w:ascii="Calibri" w:hAnsi="Calibri" w:cs="Segoe UI"/>
                <w:b/>
                <w:i w:val="0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Kumar M. et al.</w:t>
            </w:r>
            <w: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</w:t>
            </w:r>
            <w:r w:rsidR="00D81AED" w:rsidRPr="00D81AED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Predicting treatment pathways in Class II malocclusion patients using machine learning: A comparative study of four algorithms for classifying camouflage, growth modulation, and surgical decisions. Int</w:t>
            </w:r>
            <w: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ernational Orthodontics</w:t>
            </w:r>
            <w:r w:rsidR="00D81AED" w:rsidRPr="00D81AED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2025</w:t>
            </w:r>
            <w: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; </w:t>
            </w:r>
            <w:r w:rsidR="00D81AED" w:rsidRPr="00D81AED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24</w:t>
            </w:r>
            <w: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</w:t>
            </w:r>
            <w:r w:rsidR="00D81AED" w:rsidRPr="00D81AED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>(1):</w:t>
            </w:r>
            <w: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 </w:t>
            </w:r>
            <w:r w:rsidR="00D81AED" w:rsidRPr="00D81AED"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  <w:t xml:space="preserve">101070. 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04C02" w14:textId="20A8B7DC" w:rsidR="00D81AED" w:rsidRPr="00322575" w:rsidRDefault="009B5A39" w:rsidP="00D572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 w:rsidRPr="00322575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>longitudinal craniofacial or mandibular growth prediction</w:t>
            </w:r>
          </w:p>
        </w:tc>
      </w:tr>
      <w:tr w:rsidR="00D81AED" w:rsidRPr="00322575" w14:paraId="18A2DC0A" w14:textId="77777777" w:rsidTr="00E05BA3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8BDDF" w14:textId="77777777" w:rsidR="00322575" w:rsidRPr="00F634C3" w:rsidRDefault="00195542" w:rsidP="00E05BA3">
            <w:pPr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  <w:r w:rsidRPr="00F634C3">
              <w:rPr>
                <w:rFonts w:ascii="Calibri" w:hAnsi="Calibri"/>
                <w:b/>
                <w:i w:val="0"/>
                <w:sz w:val="20"/>
                <w:szCs w:val="20"/>
                <w:lang w:val="en-US"/>
              </w:rPr>
              <w:t>Sagun M. et al.</w:t>
            </w:r>
            <w:r w:rsidRPr="00F634C3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="00322575" w:rsidRPr="00F634C3">
              <w:rPr>
                <w:rFonts w:ascii="Calibri" w:hAnsi="Calibri"/>
                <w:sz w:val="20"/>
                <w:szCs w:val="20"/>
                <w:lang w:val="en-US"/>
              </w:rPr>
              <w:t xml:space="preserve">Evaluation of Ricketts' and Bolton's growth prediction algorithms embedded in two diagnostic imaging and cephalometric software. </w:t>
            </w:r>
            <w:r w:rsidRPr="00F634C3">
              <w:rPr>
                <w:rFonts w:ascii="Calibri" w:hAnsi="Calibri"/>
                <w:sz w:val="20"/>
                <w:szCs w:val="20"/>
                <w:lang w:val="en-US"/>
              </w:rPr>
              <w:t>Journal of the World Federation of Orthodontics</w:t>
            </w:r>
            <w:r w:rsidR="00322575" w:rsidRPr="00F634C3">
              <w:rPr>
                <w:rFonts w:ascii="Calibri" w:hAnsi="Calibri"/>
                <w:sz w:val="20"/>
                <w:szCs w:val="20"/>
                <w:lang w:val="en-US"/>
              </w:rPr>
              <w:t xml:space="preserve"> 2015; 4 (4): 146-150</w:t>
            </w:r>
          </w:p>
          <w:p w14:paraId="4478D580" w14:textId="77777777" w:rsidR="00D81AED" w:rsidRPr="00F634C3" w:rsidRDefault="00D81AED" w:rsidP="00D81AED">
            <w:pPr>
              <w:rPr>
                <w:rFonts w:ascii="Calibri" w:hAnsi="Calibri" w:cs="Segoe UI"/>
                <w:color w:val="212121"/>
                <w:sz w:val="20"/>
                <w:szCs w:val="20"/>
                <w:shd w:val="clear" w:color="auto" w:fill="FFFFFF"/>
                <w:lang w:val="en-US"/>
                <w14:ligatures w14:val="none"/>
              </w:rPr>
            </w:pP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35FE6" w14:textId="47702A9E" w:rsidR="00D81AED" w:rsidRPr="00F634C3" w:rsidRDefault="00322575" w:rsidP="00D572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</w:pPr>
            <w:r w:rsidRPr="00F634C3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Software </w:t>
            </w:r>
            <w:r w:rsidR="009B5A39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>c</w:t>
            </w:r>
            <w:r w:rsidRPr="00F634C3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>omparison</w:t>
            </w:r>
            <w:r w:rsidR="009B5A39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 only</w:t>
            </w:r>
          </w:p>
        </w:tc>
      </w:tr>
      <w:tr w:rsidR="004525CA" w14:paraId="22F13E42" w14:textId="77777777" w:rsidTr="00F634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bottom w:val="single" w:sz="4" w:space="0" w:color="auto"/>
            </w:tcBorders>
            <w:vAlign w:val="center"/>
          </w:tcPr>
          <w:p w14:paraId="3AE02B2C" w14:textId="77777777" w:rsidR="004525CA" w:rsidRDefault="00000000">
            <w:pPr>
              <w:jc w:val="both"/>
            </w:pPr>
            <w:r>
              <w:rPr>
                <w:rFonts w:ascii="Calibri" w:hAnsi="Calibri"/>
                <w:b/>
                <w:sz w:val="20"/>
              </w:rPr>
              <w:t xml:space="preserve">Hu Z. et al. </w:t>
            </w:r>
            <w:r>
              <w:rPr>
                <w:rFonts w:ascii="Calibri" w:hAnsi="Calibri"/>
                <w:sz w:val="20"/>
              </w:rPr>
              <w:t>Quantification of Craniofacial Growth Pattern Based on Deep Learning. Bioengineering 2026; 13 (3): 277.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vAlign w:val="center"/>
          </w:tcPr>
          <w:p w14:paraId="44E51206" w14:textId="01260C05" w:rsidR="004525CA" w:rsidRDefault="009B5A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2575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>longitudinal craniofacial or mandibular growth prediction</w:t>
            </w:r>
          </w:p>
        </w:tc>
      </w:tr>
      <w:tr w:rsidR="004525CA" w14:paraId="3F0965DD" w14:textId="77777777" w:rsidTr="00F634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E27CC" w14:textId="77777777" w:rsidR="004525CA" w:rsidRDefault="00000000">
            <w:pPr>
              <w:jc w:val="both"/>
            </w:pPr>
            <w:r>
              <w:rPr>
                <w:rFonts w:ascii="Calibri" w:hAnsi="Calibri"/>
                <w:b/>
                <w:sz w:val="20"/>
              </w:rPr>
              <w:t xml:space="preserve">Oh H. et al. </w:t>
            </w:r>
            <w:r>
              <w:rPr>
                <w:rFonts w:ascii="Calibri" w:hAnsi="Calibri"/>
                <w:sz w:val="20"/>
              </w:rPr>
              <w:t>Craniofacial growth percentile curves: A clinical tool from the Craniofacial Growth Consortium Study. American Journal of Orthodontics and Dentofacial Orthopedics 2026; 169 (6): 720-734.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96AF8" w14:textId="54A4953E" w:rsidR="004525CA" w:rsidRDefault="009B5A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Not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 xml:space="preserve">AI/ML-based </w:t>
            </w:r>
            <w:r>
              <w:rPr>
                <w:rFonts w:ascii="Calibri" w:eastAsia="Calibri" w:hAnsi="Calibri"/>
                <w:sz w:val="20"/>
                <w:szCs w:val="20"/>
                <w14:ligatures w14:val="none"/>
              </w:rPr>
              <w:t>growth prediction</w:t>
            </w:r>
          </w:p>
        </w:tc>
      </w:tr>
      <w:tr w:rsidR="004525CA" w14:paraId="16667A7D" w14:textId="77777777" w:rsidTr="00F634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5AAD8" w14:textId="77777777" w:rsidR="004525CA" w:rsidRDefault="00000000">
            <w:pPr>
              <w:jc w:val="both"/>
            </w:pPr>
            <w:r>
              <w:rPr>
                <w:rFonts w:ascii="Calibri" w:hAnsi="Calibri"/>
                <w:b/>
                <w:sz w:val="20"/>
              </w:rPr>
              <w:t xml:space="preserve">Ashkan A. et al. </w:t>
            </w:r>
            <w:r>
              <w:rPr>
                <w:rFonts w:ascii="Calibri" w:hAnsi="Calibri"/>
                <w:sz w:val="20"/>
              </w:rPr>
              <w:t>Feasibility of predicting vertical cephalometric angles from panoramic radiographs using deep learning. International Orthodontics 2026; 24 (3): 101156.</w:t>
            </w:r>
          </w:p>
        </w:tc>
        <w:tc>
          <w:tcPr>
            <w:tcW w:w="2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81F53" w14:textId="6097389B" w:rsidR="004525CA" w:rsidRDefault="009B5A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22575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>longitudinal craniofacial or mandibular growth prediction</w:t>
            </w:r>
          </w:p>
        </w:tc>
      </w:tr>
      <w:tr w:rsidR="004525CA" w14:paraId="530D0AA0" w14:textId="77777777" w:rsidTr="00F634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5" w:type="dxa"/>
            <w:tcBorders>
              <w:top w:val="single" w:sz="4" w:space="0" w:color="auto"/>
            </w:tcBorders>
            <w:vAlign w:val="center"/>
          </w:tcPr>
          <w:p w14:paraId="7475BDE3" w14:textId="77777777" w:rsidR="004525CA" w:rsidRDefault="00000000">
            <w:pPr>
              <w:jc w:val="both"/>
            </w:pPr>
            <w:r>
              <w:rPr>
                <w:rFonts w:ascii="Calibri" w:hAnsi="Calibri"/>
                <w:b/>
                <w:sz w:val="20"/>
              </w:rPr>
              <w:t xml:space="preserve">Guo M. et al. </w:t>
            </w:r>
            <w:r>
              <w:rPr>
                <w:rFonts w:ascii="Calibri" w:hAnsi="Calibri"/>
                <w:sz w:val="20"/>
              </w:rPr>
              <w:t>Prediction of skeletal maturity using machine learning based on multiple biological indicators. American Journal of Orthodontics and Dentofacial Orthopedics 2026; 169 (5): 629-639.e1.</w:t>
            </w:r>
          </w:p>
        </w:tc>
        <w:tc>
          <w:tcPr>
            <w:tcW w:w="2993" w:type="dxa"/>
            <w:tcBorders>
              <w:top w:val="single" w:sz="4" w:space="0" w:color="auto"/>
            </w:tcBorders>
            <w:vAlign w:val="center"/>
          </w:tcPr>
          <w:p w14:paraId="64029B4F" w14:textId="1867AADA" w:rsidR="004525CA" w:rsidRDefault="009B5A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2575">
              <w:rPr>
                <w:rFonts w:ascii="Calibri" w:eastAsia="Calibri" w:hAnsi="Calibri"/>
                <w:sz w:val="20"/>
                <w:szCs w:val="20"/>
                <w:lang w:val="en-US"/>
                <w14:ligatures w14:val="none"/>
              </w:rPr>
              <w:t xml:space="preserve">No </w:t>
            </w:r>
            <w:r w:rsidRPr="009B5A39">
              <w:rPr>
                <w:rFonts w:ascii="Calibri" w:eastAsia="Calibri" w:hAnsi="Calibri"/>
                <w:sz w:val="20"/>
                <w:szCs w:val="20"/>
                <w14:ligatures w14:val="none"/>
              </w:rPr>
              <w:t>longitudinal craniofacial or mandibular growth prediction</w:t>
            </w:r>
          </w:p>
        </w:tc>
      </w:tr>
    </w:tbl>
    <w:p w14:paraId="3E5D4A0B" w14:textId="3966EA72" w:rsidR="0029304C" w:rsidRPr="00322575" w:rsidRDefault="00C73324">
      <w:pPr>
        <w:rPr>
          <w:rFonts w:ascii="Calibri" w:hAnsi="Calibri"/>
          <w:lang w:val="en-US"/>
        </w:rPr>
      </w:pPr>
      <w:bookmarkStart w:id="0" w:name="_Hlk74214267"/>
      <w:r w:rsidRPr="00322575">
        <w:rPr>
          <w:rFonts w:ascii="Calibri" w:hAnsi="Calibri"/>
          <w:b/>
          <w:bCs/>
          <w:lang w:val="en-US"/>
        </w:rPr>
        <w:t xml:space="preserve">Supplementary Table </w:t>
      </w:r>
      <w:r w:rsidR="00F634C3">
        <w:rPr>
          <w:rFonts w:ascii="Calibri" w:hAnsi="Calibri"/>
          <w:b/>
          <w:bCs/>
          <w:lang w:val="en-US"/>
        </w:rPr>
        <w:t>1</w:t>
      </w:r>
      <w:r w:rsidRPr="00322575">
        <w:rPr>
          <w:rFonts w:ascii="Calibri" w:hAnsi="Calibri"/>
          <w:lang w:val="en-US"/>
        </w:rPr>
        <w:t xml:space="preserve">. </w:t>
      </w:r>
      <w:bookmarkEnd w:id="0"/>
      <w:r w:rsidRPr="00322575">
        <w:rPr>
          <w:rFonts w:ascii="Calibri" w:hAnsi="Calibri"/>
          <w:lang w:val="en-US"/>
        </w:rPr>
        <w:t>Articles excluded after full-text evaluation</w:t>
      </w:r>
    </w:p>
    <w:p w14:paraId="1BEE674F" w14:textId="77777777" w:rsidR="00C73324" w:rsidRDefault="00C73324">
      <w:pPr>
        <w:rPr>
          <w:lang w:val="en-US"/>
        </w:rPr>
      </w:pPr>
    </w:p>
    <w:p w14:paraId="23FDF6FA" w14:textId="77777777" w:rsidR="00696643" w:rsidRPr="00696643" w:rsidRDefault="00696643" w:rsidP="00696643">
      <w:pPr>
        <w:rPr>
          <w:lang w:val="en-US"/>
        </w:rPr>
      </w:pPr>
    </w:p>
    <w:sectPr w:rsidR="00696643" w:rsidRPr="00696643" w:rsidSect="00C227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E2MjY3srQ0MLQwMrdU0lEKTi0uzszPAykwrAUA8w7XjiwAAAA="/>
  </w:docVars>
  <w:rsids>
    <w:rsidRoot w:val="00973FEE"/>
    <w:rsid w:val="00021A88"/>
    <w:rsid w:val="00025FBE"/>
    <w:rsid w:val="00032762"/>
    <w:rsid w:val="00064CC8"/>
    <w:rsid w:val="000E0927"/>
    <w:rsid w:val="000F52AD"/>
    <w:rsid w:val="001055D3"/>
    <w:rsid w:val="00153E0A"/>
    <w:rsid w:val="00195542"/>
    <w:rsid w:val="001A0AA2"/>
    <w:rsid w:val="001A19C5"/>
    <w:rsid w:val="001B7388"/>
    <w:rsid w:val="001D6456"/>
    <w:rsid w:val="00237A82"/>
    <w:rsid w:val="0025323E"/>
    <w:rsid w:val="002641F9"/>
    <w:rsid w:val="0029304C"/>
    <w:rsid w:val="002C371F"/>
    <w:rsid w:val="002D0745"/>
    <w:rsid w:val="002E31B0"/>
    <w:rsid w:val="003057E5"/>
    <w:rsid w:val="00322575"/>
    <w:rsid w:val="003E07FA"/>
    <w:rsid w:val="004525CA"/>
    <w:rsid w:val="00596C79"/>
    <w:rsid w:val="005A6A17"/>
    <w:rsid w:val="005F3CEC"/>
    <w:rsid w:val="0067198F"/>
    <w:rsid w:val="00696643"/>
    <w:rsid w:val="006D3ADF"/>
    <w:rsid w:val="0071329D"/>
    <w:rsid w:val="007344F8"/>
    <w:rsid w:val="007976A5"/>
    <w:rsid w:val="007A607F"/>
    <w:rsid w:val="007D6C88"/>
    <w:rsid w:val="008323B9"/>
    <w:rsid w:val="008740B1"/>
    <w:rsid w:val="00894218"/>
    <w:rsid w:val="008C2E66"/>
    <w:rsid w:val="0090210C"/>
    <w:rsid w:val="0092290A"/>
    <w:rsid w:val="00927602"/>
    <w:rsid w:val="00973FEE"/>
    <w:rsid w:val="009B0A1B"/>
    <w:rsid w:val="009B3277"/>
    <w:rsid w:val="009B5A39"/>
    <w:rsid w:val="009B7E9D"/>
    <w:rsid w:val="009C7B42"/>
    <w:rsid w:val="009E1C1F"/>
    <w:rsid w:val="00A46489"/>
    <w:rsid w:val="00A47751"/>
    <w:rsid w:val="00AB3282"/>
    <w:rsid w:val="00AC3E93"/>
    <w:rsid w:val="00AD66E4"/>
    <w:rsid w:val="00AF1535"/>
    <w:rsid w:val="00B05A91"/>
    <w:rsid w:val="00B13C7A"/>
    <w:rsid w:val="00B63FEC"/>
    <w:rsid w:val="00BB1EC2"/>
    <w:rsid w:val="00BE378E"/>
    <w:rsid w:val="00C2272F"/>
    <w:rsid w:val="00C36D53"/>
    <w:rsid w:val="00C46F43"/>
    <w:rsid w:val="00C6287D"/>
    <w:rsid w:val="00C73324"/>
    <w:rsid w:val="00C750F7"/>
    <w:rsid w:val="00C86933"/>
    <w:rsid w:val="00CA07DE"/>
    <w:rsid w:val="00CB4521"/>
    <w:rsid w:val="00CD02F2"/>
    <w:rsid w:val="00D572BA"/>
    <w:rsid w:val="00D81AED"/>
    <w:rsid w:val="00DE6939"/>
    <w:rsid w:val="00E05BA3"/>
    <w:rsid w:val="00E37625"/>
    <w:rsid w:val="00E46010"/>
    <w:rsid w:val="00E50C34"/>
    <w:rsid w:val="00E65F14"/>
    <w:rsid w:val="00EE0E00"/>
    <w:rsid w:val="00F424FC"/>
    <w:rsid w:val="00F634C3"/>
    <w:rsid w:val="00F74702"/>
    <w:rsid w:val="00F8519D"/>
    <w:rsid w:val="00F85EC3"/>
    <w:rsid w:val="00F971D3"/>
    <w:rsid w:val="00FA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2C44B"/>
  <w15:chartTrackingRefBased/>
  <w15:docId w15:val="{42717A54-8B67-4320-9410-4496DF01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D81AED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73FE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3FE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3F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3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3F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3F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3F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3F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3F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3F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3F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3F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3F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3F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3F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3F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3F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3F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3F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973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3FE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3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3FEE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3F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3FEE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973F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3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3F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3FEE"/>
    <w:rPr>
      <w:b/>
      <w:bCs/>
      <w:smallCaps/>
      <w:color w:val="0F4761" w:themeColor="accent1" w:themeShade="BF"/>
      <w:spacing w:val="5"/>
    </w:rPr>
  </w:style>
  <w:style w:type="table" w:customStyle="1" w:styleId="Tabellaelenco7acolori1">
    <w:name w:val="Tabella elenco 7 a colori1"/>
    <w:basedOn w:val="Tabellanormale"/>
    <w:next w:val="Tabellaelenco7acolori"/>
    <w:uiPriority w:val="52"/>
    <w:rsid w:val="00D572BA"/>
    <w:pPr>
      <w:spacing w:after="0" w:line="240" w:lineRule="auto"/>
    </w:pPr>
    <w:rPr>
      <w:color w:val="000000"/>
      <w:kern w:val="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">
    <w:name w:val="List Table 7 Colorful"/>
    <w:basedOn w:val="Tabellanormale"/>
    <w:uiPriority w:val="52"/>
    <w:rsid w:val="00D572B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POLIZZI</dc:creator>
  <cp:keywords/>
  <dc:description/>
  <cp:lastModifiedBy>ALESSANDRO POLIZZI</cp:lastModifiedBy>
  <cp:revision>19</cp:revision>
  <dcterms:created xsi:type="dcterms:W3CDTF">2024-05-26T18:31:00Z</dcterms:created>
  <dcterms:modified xsi:type="dcterms:W3CDTF">2026-08-13T14:40:00Z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fa7bf3fd-70c7-4402-9bd2-3a94cfb945b2</vt:lpwstr>
  </property>
</Properties>
</file>